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13</w:t>
      </w:r>
    </w:p>
    <w:p>
      <w:pPr>
        <w:spacing w:after="60"/>
      </w:pPr>
      <w:r>
        <w:rPr>
          <w:color w:val="5B6475"/>
          <w:sz w:val="24"/>
          <w:szCs w:val="24"/>
        </w:rPr>
        <w:t xml:space="preserve">Lak; sakız, reçine ve diğer bitkisel özsu ve hülasalar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13 kapsamındaki 2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Lak; tabii sakızlar, reçineler ve sakız reçineler ve yağ reçineler (pelesenkler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Bitkisel özsu ve hülasalar; pektik maddeler, pektinatlar ve pektatlar; agar -agar , bitkisel ürünlerden elde edilen yapışkan sıvılar ve kıvam verici maddeler (tadil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bl>
    <w:p>
      <w:pPr>
        <w:pStyle w:val="Heading1"/>
        <w:keepNext/>
        <w:pageBreakBefore/>
        <w:pBdr>
          <w:bottom w:val="single" w:color="C9CED8" w:sz="6" w:space="4"/>
        </w:pBdr>
        <w:spacing w:after="140" w:before="200"/>
      </w:pPr>
      <w:r>
        <w:t xml:space="preserve">1301 – Lak; tabii sakızlar, reçineler ve sakız reçineler ve yağ reçineler (pelesenkler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1301.20.00.00.00</w:t>
            </w:r>
          </w:p>
          <w:p>
            <w:pPr>
              <w:spacing w:after="0" w:line="240"/>
              <w:jc w:val="left"/>
            </w:pPr>
            <w:r>
              <w:rPr>
                <w:b w:val="false"/>
                <w:bCs w:val="false"/>
                <w:sz w:val="15"/>
                <w:szCs w:val="15"/>
              </w:rPr>
              <w:t xml:space="preserve">Arap zamkı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1301.90.00.10.00</w:t>
            </w:r>
          </w:p>
          <w:p>
            <w:pPr>
              <w:spacing w:after="0" w:line="240"/>
              <w:jc w:val="left"/>
            </w:pPr>
            <w:r>
              <w:rPr>
                <w:b w:val="false"/>
                <w:bCs w:val="false"/>
                <w:sz w:val="15"/>
                <w:szCs w:val="15"/>
              </w:rPr>
              <w:t xml:space="preserve">Günlük</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1301.90.00.21.00</w:t>
            </w:r>
          </w:p>
          <w:p>
            <w:pPr>
              <w:spacing w:after="0" w:line="240"/>
              <w:jc w:val="left"/>
            </w:pPr>
            <w:r>
              <w:rPr>
                <w:b w:val="false"/>
                <w:bCs w:val="false"/>
                <w:sz w:val="15"/>
                <w:szCs w:val="15"/>
              </w:rPr>
              <w:t xml:space="preserve">Tababette kullanılanlar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1301.90.00.29.00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1301.90.00.31.00</w:t>
            </w:r>
          </w:p>
          <w:p>
            <w:pPr>
              <w:spacing w:after="0" w:line="240"/>
              <w:jc w:val="left"/>
            </w:pPr>
            <w:r>
              <w:rPr>
                <w:b w:val="false"/>
                <w:bCs w:val="false"/>
                <w:sz w:val="15"/>
                <w:szCs w:val="15"/>
              </w:rPr>
              <w:t xml:space="preserve">Tababette kullanılanlar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1301.90.00.39.00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1301.90.00.41.00</w:t>
            </w:r>
          </w:p>
          <w:p>
            <w:pPr>
              <w:spacing w:after="0" w:line="240"/>
              <w:jc w:val="left"/>
            </w:pPr>
            <w:r>
              <w:rPr>
                <w:b w:val="false"/>
                <w:bCs w:val="false"/>
                <w:sz w:val="15"/>
                <w:szCs w:val="15"/>
              </w:rPr>
              <w:t xml:space="preserve">Lak</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1301.90.00.91.00</w:t>
            </w:r>
          </w:p>
          <w:p>
            <w:pPr>
              <w:spacing w:after="0" w:line="240"/>
              <w:jc w:val="left"/>
            </w:pPr>
            <w:r>
              <w:rPr>
                <w:b w:val="false"/>
                <w:bCs w:val="false"/>
                <w:sz w:val="15"/>
                <w:szCs w:val="15"/>
              </w:rPr>
              <w:t xml:space="preserve">Tababette kullanılanlar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1301.90.00.99.00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Gum Arabic (acacia)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1301.90.00.41.00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Shellac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1301.90.00.41.00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Shellac</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tabii sakızlar, reçineler ve sakız reçineler ve yağ reçineler (pelesenkler gibi):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1302 – Bitkisel özsu ve hülasalar; pektik maddeler, pektinatlar ve pektatlar; agar -agar , bitkisel ürünlerden elde edilen yapışkan sıvılar ve kıvam verici maddeler (tadil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1302.20.10.10.00</w:t>
            </w:r>
          </w:p>
          <w:p>
            <w:pPr>
              <w:spacing w:after="0" w:line="240"/>
              <w:jc w:val="left"/>
            </w:pPr>
            <w:r>
              <w:rPr>
                <w:b w:val="false"/>
                <w:bCs w:val="false"/>
                <w:sz w:val="15"/>
                <w:szCs w:val="15"/>
              </w:rPr>
              <w:t xml:space="preserve">Pektik maddeler (pektinler)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1302.20.10.90.11</w:t>
            </w:r>
          </w:p>
          <w:p>
            <w:pPr>
              <w:spacing w:after="0" w:line="240"/>
              <w:jc w:val="left"/>
            </w:pPr>
            <w:r>
              <w:rPr>
                <w:b w:val="false"/>
                <w:bCs w:val="false"/>
                <w:sz w:val="15"/>
                <w:szCs w:val="15"/>
              </w:rPr>
              <w:t xml:space="preserve">Pektinatlar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1302.20.90.10.00</w:t>
            </w:r>
          </w:p>
          <w:p>
            <w:pPr>
              <w:spacing w:after="0" w:line="240"/>
              <w:jc w:val="left"/>
            </w:pPr>
            <w:r>
              <w:rPr>
                <w:b w:val="false"/>
                <w:bCs w:val="false"/>
                <w:sz w:val="15"/>
                <w:szCs w:val="15"/>
              </w:rPr>
              <w:t xml:space="preserve">Pektik maddeler (pektinler)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1302.20.90.90.11</w:t>
            </w:r>
          </w:p>
          <w:p>
            <w:pPr>
              <w:spacing w:after="0" w:line="240"/>
              <w:jc w:val="left"/>
            </w:pPr>
            <w:r>
              <w:rPr>
                <w:b w:val="false"/>
                <w:bCs w:val="false"/>
                <w:sz w:val="15"/>
                <w:szCs w:val="15"/>
              </w:rPr>
              <w:t xml:space="preserve">Pektinatlar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/Tek Pencere Sistemi - E-Devlet (Ürün Güvenliği ve Denetimi: 2026/5 - Ek 5 - Veteriner Tıbbi Ürünler ve Veteriner Tıbbi Ürün İmalinde Kullanılan Hammaddeler)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1302.39.00.10.00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Eterifiye veya esterifıye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/Tek Pencere Sistemi - E-Devlet (Ürün Güvenliği ve Denetimi: 2026/5 - Ek 5 - Veteriner Tıbbi Ürünler ve Veteriner Tıbbi Ürün İmalinde Kullanılan Hammaddeler)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Pektik maddeler (pektinler)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M-9156</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Meyan kökünden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Vanilya yağ reçineleri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1302.20.10.90.12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Meyan kökünden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Vanilya yağ reçineleri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1302.20.10.90.12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1302.20.90.90.12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6. </w:t>
      </w:r>
      <w:r>
        <w:rPr>
          <w:b/>
          <w:bCs/>
          <w:sz w:val="20"/>
          <w:szCs w:val="20"/>
        </w:rPr>
        <w:t xml:space="preserve">EFTA üyesi ülkelerden İsviçre Konfederasyonu ve Lihtenştayn Prensliği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1302.19.05.00.00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Vanilya yağ reçineleri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M-9425</w:t>
      </w:r>
    </w:p>
    <w:p>
      <w:pPr>
        <w:keepNext/>
        <w:spacing w:after="60" w:before="140"/>
      </w:pPr>
      <w:r>
        <w:rPr>
          <w:b/>
          <w:bCs/>
          <w:color w:val="2F5BD3"/>
          <w:sz w:val="20"/>
          <w:szCs w:val="20"/>
        </w:rPr>
        <w:t xml:space="preserve">7.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Pektik maddeler (pektinler) (Üretimi Gerçekleştirilecek Nihai Ürün: 19.05 ve 2106.90.59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Pektik maddeler (pektinler) (Üretimi Gerçekleştirilecek Nihai Ürün: 19.05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1302.31.00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Agar-agar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17.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Pektik maddeler (Pektinler)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Pektik maddeler (Pektinler)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1302.31.00.10.00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Eterifiye veya esterifiye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ilaçlarının ihracatı Tarım ve Köyişleri Bakanlığının Ön İznine tabidir./ TPS-Tarım ve Orman Bakanlığı-Ön İzin Belgesi (Veterinerlik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Meyan kökünden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1302.20.90.10.00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Pektik maddeler (pektinler)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M-2997</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1302.39.00.10.00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Eterifiye veya esterifiye edilmiş olanlar (Yalnız aromatik madde)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 sakız, reçine ve diğer bitkisel özsu ve hülasalar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Afyon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Başlıca içeriği cannabidiol (CBD) (1200 mg CBD/10 ml), cannabinol (CBN), cannabigerol (CBG) ve % 0,2’den az delta-9-tetrahydrocannabinol (delta-9-THC) olan, kenevir (Cannabis sativa L. ) bitkisinden elde edilen kendir (Cannabis) hülasası. Herhangi bir hastalığın tedavisinde kullanılması amaçlanmamaktadır.Ürün iki adet 5 ml’lik değiştirilebilir kartuş halinde perakende ambalajda sunulur.1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(1302)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1302.32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guaraprolose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M-2997 · Veteriner ilaçlarının ihracatı Tarım ve Köyişleri Bakanlığının Ön İznine tabidir./ TPS-Tarım ve Orman Bakanlığı-Ön İzin Belgesi (Veterinerlik Ürünleri)</w:t>
      </w:r>
    </w:p>
    <w:p>
      <w:pPr>
        <w:spacing w:after="60" w:line="260"/>
      </w:pPr>
      <w:r>
        <w:rPr>
          <w:b/>
          <w:bCs/>
          <w:color w:val="5B6475"/>
          <w:sz w:val="19"/>
          <w:szCs w:val="19"/>
        </w:rPr>
        <w:t xml:space="preserve">Uygulama tarihi: </w:t>
      </w:r>
      <w:r>
        <w:rPr>
          <w:sz w:val="19"/>
          <w:szCs w:val="19"/>
        </w:rPr>
        <w:t xml:space="preserve">İlgili mevzuat 01.01.2011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1262 sayılı "İspençiyarı ve Tıbbi Müstahzarlar Kanununa Yeniden Bazı Hükümler İlavesine Dair 3490 sayılı Kanun" kapsamına giren veteriner ilaçlarının ihracatı Tarım ve Köyişleri Bakanlığının Ön İznine tabidir. (Ek-2/12)</w:t>
      </w:r>
    </w:p>
    <w:p>
      <w:pPr>
        <w:spacing w:after="60" w:line="260"/>
      </w:pPr>
      <w:r>
        <w:rPr>
          <w:sz w:val="19"/>
          <w:szCs w:val="19"/>
        </w:rPr>
        <w:t xml:space="preserve">12.03.2019 tarihinden itibaren Tek Pencere Sistemine yapılacak başvurular E-Devlet Kapısı üzerinden gerçekleştirilir. Sistem tarafından verilecek referans numarası beyannamenin 44 nolu hanesine yazılacaktır. (2019/7 sayılı Genelge)</w:t>
      </w:r>
    </w:p>
    <w:p>
      <w:pPr>
        <w:spacing w:after="60" w:line="260"/>
      </w:pPr>
      <w:r>
        <w:rPr>
          <w:sz w:val="19"/>
          <w:szCs w:val="19"/>
        </w:rPr>
        <w:t xml:space="preserve">96/31 sayılı Tebliğ’in Ek-2/12 nolu (Veteriner İlaçları) satırında herhangi bir GTİP listesi yer almamakta olup, GTİP numaralarının Ürün Güvenliği Tebliği (Seri No: 5)’in Ek-4 ve Ek-5’teki listeler kapsamında değerlendirilmesinin mümkün olabileceği hususu, MevzuatNet tarafından yol gösterici mahiyette sunulmuştur.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kalemlerini(5) görmek için tıklayınız 1. Genelge No: 2019/7 (TPS-Tarım ve Orman Bakanlığı-Ön İzin Belgesi Veterinerlik Ürünleri)) (Yayım.Trh.: 8.03.2019) Tarım ve Orman Bakanlığı-Gıda ve Kontrol Genel Müdürlüğü (Veteriner Sağlık Ürünleri ve Halk Sağlığı Daire Başkanlığı) ve yetki verdiği İl Tarım Orman Müdürlükleri tarafından düzenlenen ve onaylanan 1011 kodlu TPS-Tarım ve Orman Bakanlığı-Ön İzin Belgesi (Veterinerlik Ürünleri) başvurusu, iznin verilmesi ve kullanılmasına ilişkin işlemler 12.03.2019 tarihinden itibaren TPS kapsamına alınmıştır.2. Genelge No: 2016/16 (Serbest Bölgelerden Tamir Amaçlı İthalat) (Yayım.Trh.: 9.11.2016) Yürürlükte DeğilSerbest bölgelerde yerleşik firmaların demirbaşına kayıtlı eşyanın tamir ve bakıma tabi tutulmak üzere ülkemize ithali ve yeniden ihracında yapılacak işlemler.3.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Tebliğ4. İspençiyari ve Tıbbi Müstahzarlar Kanununa Yeniden Bazı Hükümler İlavesine Dair Kanun - 3940 (Yayım.Trh.: 20.12.1940) İspençiyari ve Tıbbi Müstahzarlar Kanununa Yeniden Bazı Hükümler İlavesine Dair Kanun5. İspençiyari ve Tıbbi Müstahzarlar Kanunu - 1262 (Yayım.Trh.: 26.05.1928) İspençiyari ve Tıbbi Müstahzarlar Kanunu</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M-9156 · Tarım ve Orman Bakanlığı Uygunluk Yazısı aranır /Tek Pencere Sistemi - E-Devlet (Ürün Güvenliği ve Denetimi: 2026/5 - Ek 5 - Veteriner Tıbbi Ürünler ve Veteriner Tıbbi Ürün İmalinde Kullanılan Hammaddeler)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5 - Veteriner Tıbbi Ürünler ve Veteriner Tıbbi Ürün İmalinde Kullanılan Hammaddeler içerisinde yer alan ve uygunluk denetimine tabi olan 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veteriner tıbbi ürün ve veteriner tıbbi ürün imalinde kullanılan hammadde sanayiine verilmeyecek olması halinde 10655019861881571511690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Uygunluk Yazısı düzenlenmez. (Madde 10)</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2016/59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kalemlerini(4)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alınmıştır.4. Risk Yönetimi ve Kontrol Genel Müdürlüğünün 2015/17 Sayılı Genelgesi (Veteriner İlaç Hammaddesi/Veteriner İlaç İthalat Uygunluk Belgesi Tek Pencere e-belge kapsamına alınması) (Yayım.Trh.: 11.12.2015) Yürürlükte DeğilGıda Tarım Hayvancılık Bakanlığının Kontrolüne Tabi Ürünlerin İthalat Denetimi Tebliği (Ürün Güvenliği ve Denetimi:2015/5) Ek-5 kapsamındaki ürünler için verilen belgelerin 14.12.2015 tarihinden itibaren Tek Pencere e-belge sistemi kapsamına alınması hk.</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M-9417 ·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M-9425 · EFTA üyesi ülkelerden İsviçre Konfederasyonu ve Lihtenştayn Prensliği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DÜ sütunundaki gümrük vergileri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13 – Vergi ve Mevzuat Bilgileri</dc:title>
  <dc:creator>Gümrük Koçu - Ufuk Çetintaş</dc:creator>
  <cp:lastModifiedBy>Un-named</cp:lastModifiedBy>
  <cp:revision>1</cp:revision>
  <dcterms:created xsi:type="dcterms:W3CDTF">2026-10-21T18:18:22.377Z</dcterms:created>
  <dcterms:modified xsi:type="dcterms:W3CDTF">2026-10-21T18:18:22.377Z</dcterms:modified>
</cp:coreProperties>
</file>

<file path=docProps/custom.xml><?xml version="1.0" encoding="utf-8"?>
<Properties xmlns="http://schemas.openxmlformats.org/officeDocument/2006/custom-properties" xmlns:vt="http://schemas.openxmlformats.org/officeDocument/2006/docPropsVTypes"/>
</file>