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F5FA8"/>
          <w:sz w:val="60"/>
        </w:rPr>
        <w:t>Retell AI Voice Intake System</w:t>
      </w:r>
    </w:p>
    <w:p>
      <w:pPr>
        <w:jc w:val="center"/>
      </w:pPr>
      <w:r>
        <w:rPr>
          <w:color w:val="5B6478"/>
          <w:sz w:val="32"/>
        </w:rPr>
        <w:t>Configuration &amp; Project Status Report</w:t>
      </w:r>
    </w:p>
    <w:p/>
    <w:p>
      <w:pPr>
        <w:jc w:val="center"/>
      </w:pPr>
      <w:r>
        <w:rPr>
          <w:color w:val="5B6478"/>
          <w:sz w:val="22"/>
        </w:rPr>
        <w:t>Prepared: July 31, 2026</w:t>
      </w:r>
    </w:p>
    <w:p>
      <w:pPr>
        <w:jc w:val="center"/>
      </w:pPr>
      <w:r>
        <w:rPr>
          <w:color w:val="5B6478"/>
          <w:sz w:val="22"/>
        </w:rPr>
        <w:t>System: retell-intake — Law office phone intake automation</w:t>
      </w:r>
    </w:p>
    <w:p>
      <w:r>
        <w:br w:type="page"/>
      </w:r>
    </w:p>
    <w:p>
      <w:pPr>
        <w:pStyle w:val="Heading1"/>
      </w:pPr>
      <w:r>
        <w:rPr>
          <w:color w:val="2F5FA8"/>
        </w:rPr>
        <w:t>1. Executive Summary</w:t>
      </w:r>
    </w:p>
    <w:p>
      <w:r>
        <w:rPr>
          <w:i w:val="0"/>
          <w:color w:val="1B2230"/>
          <w:sz w:val="23"/>
        </w:rPr>
        <w:t>This system automates the first point of contact for the law office's general intake line. An AI voice agent (“Maya”) answers every call, runs a mandatory safety check, gathers the caller's situation and contact details, and hands off a structured record to staff for follow-up — without ever giving legal advice or discussing case outcomes.</w:t>
      </w:r>
    </w:p>
    <w:p>
      <w:r>
        <w:rPr>
          <w:i w:val="0"/>
          <w:color w:val="1B2230"/>
          <w:sz w:val="23"/>
        </w:rPr>
        <w:t>Every call is automatically sorted into one of five categories so staff can triage efficiently: completed intakes ready for attorney review, disconnected calls, safety escalations, and two categories that filter out non-productive calls (nonsensical/prank calls and evasive callers) so they don't clutter the real case queue.</w:t>
      </w:r>
    </w:p>
    <w:p>
      <w:r>
        <w:rPr>
          <w:i w:val="0"/>
          <w:color w:val="1B2230"/>
          <w:sz w:val="23"/>
        </w:rPr>
        <w:t>As of this report, the agent configuration, call handling logic, and data validation are complete and have been tested against real call scenarios. Connecting a real inbound phone number (via Twilio) is documented and ready, pending a decision on whether/when to go live with a public number.</w:t>
      </w:r>
    </w:p>
    <w:p>
      <w:pPr>
        <w:pStyle w:val="Heading1"/>
      </w:pPr>
      <w:r>
        <w:rPr>
          <w:color w:val="2F5FA8"/>
        </w:rPr>
        <w:t>2. How a Call Flows Through the System</w:t>
      </w:r>
    </w:p>
    <w:p>
      <w:pPr>
        <w:pStyle w:val="ListNumber"/>
      </w:pPr>
      <w:r>
        <w:rPr>
          <w:sz w:val="22"/>
        </w:rPr>
        <w:t>Caller dials in. The agent greets them and confirms it's a safe time to talk.</w:t>
      </w:r>
    </w:p>
    <w:p>
      <w:pPr>
        <w:pStyle w:val="ListNumber"/>
      </w:pPr>
      <w:r>
        <w:rPr>
          <w:sz w:val="22"/>
        </w:rPr>
        <w:t>Safety check (always first). If the caller describes a real emergency happening right now, the agent immediately directs them to call 911 and ends the call — no other questions are asked.</w:t>
      </w:r>
    </w:p>
    <w:p>
      <w:pPr>
        <w:pStyle w:val="ListNumber"/>
      </w:pPr>
      <w:r>
        <w:rPr>
          <w:sz w:val="22"/>
        </w:rPr>
        <w:t>Situation &amp; category. The agent identifies what kind of legal matter this is (personal injury, family law, criminal defense, etc.) and asks only the relevant follow-up questions for that category.</w:t>
      </w:r>
    </w:p>
    <w:p>
      <w:pPr>
        <w:pStyle w:val="ListNumber"/>
      </w:pPr>
      <w:r>
        <w:rPr>
          <w:sz w:val="22"/>
        </w:rPr>
        <w:t>Contact details. Full name, callback number (with country code, verified to be a complete 10-digit number), and email are collected and read back to the caller to confirm.</w:t>
      </w:r>
    </w:p>
    <w:p>
      <w:pPr>
        <w:pStyle w:val="ListNumber"/>
      </w:pPr>
      <w:r>
        <w:rPr>
          <w:sz w:val="22"/>
        </w:rPr>
        <w:t>Closing confirmation. The agent reads back everything collected and thanks the caller before ending the call — this is the only way a normal call is allowed to end.</w:t>
      </w:r>
    </w:p>
    <w:p>
      <w:pPr>
        <w:pStyle w:val="ListNumber"/>
      </w:pPr>
      <w:r>
        <w:rPr>
          <w:sz w:val="22"/>
        </w:rPr>
        <w:t>Automatic filing. Once the call ends, the system reads the full transcript and automatically files the call into the correct category (see Section 3) for staff to review.</w:t>
      </w:r>
    </w:p>
    <w:p>
      <w:pPr>
        <w:pStyle w:val="Heading1"/>
      </w:pPr>
      <w:r>
        <w:rPr>
          <w:color w:val="2F5FA8"/>
        </w:rPr>
        <w:t>3. Call Categories</w:t>
      </w:r>
    </w:p>
    <w:p>
      <w:r>
        <w:rPr>
          <w:i w:val="0"/>
          <w:color w:val="1B2230"/>
          <w:sz w:val="22"/>
        </w:rPr>
        <w:t>Every call lands in exactly one of five categories. This keeps the attorney review queue clean — only real, complete intakes show up there — while nothing is discarded.</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shd w:val="clear" w:color="auto" w:fill="2F5FA8"/>
          </w:tcPr>
          <w:p>
            <w:r/>
            <w:r>
              <w:rPr>
                <w:b/>
                <w:color w:val="FFFFFF"/>
                <w:sz w:val="21"/>
              </w:rPr>
              <w:t>Category</w:t>
            </w:r>
          </w:p>
        </w:tc>
        <w:tc>
          <w:tcPr>
            <w:tcW w:type="dxa" w:w="2880"/>
            <w:vAlign w:val="center"/>
            <w:shd w:val="clear" w:color="auto" w:fill="2F5FA8"/>
          </w:tcPr>
          <w:p>
            <w:r/>
            <w:r>
              <w:rPr>
                <w:b/>
                <w:color w:val="FFFFFF"/>
                <w:sz w:val="21"/>
              </w:rPr>
              <w:t>What it means</w:t>
            </w:r>
          </w:p>
        </w:tc>
        <w:tc>
          <w:tcPr>
            <w:tcW w:type="dxa" w:w="2880"/>
            <w:vAlign w:val="center"/>
            <w:shd w:val="clear" w:color="auto" w:fill="2F5FA8"/>
          </w:tcPr>
          <w:p>
            <w:r/>
            <w:r>
              <w:rPr>
                <w:b/>
                <w:color w:val="FFFFFF"/>
                <w:sz w:val="21"/>
              </w:rPr>
              <w:t>Example</w:t>
            </w:r>
          </w:p>
        </w:tc>
      </w:tr>
      <w:tr>
        <w:tc>
          <w:tcPr>
            <w:tcW w:type="dxa" w:w="2880"/>
            <w:vAlign w:val="center"/>
          </w:tcPr>
          <w:p>
            <w:r/>
            <w:r>
              <w:rPr>
                <w:b w:val="0"/>
                <w:sz w:val="21"/>
              </w:rPr>
              <w:t>Completed Cases</w:t>
            </w:r>
          </w:p>
        </w:tc>
        <w:tc>
          <w:tcPr>
            <w:tcW w:type="dxa" w:w="2880"/>
            <w:vAlign w:val="center"/>
          </w:tcPr>
          <w:p>
            <w:r/>
            <w:r>
              <w:rPr>
                <w:b w:val="0"/>
                <w:sz w:val="21"/>
              </w:rPr>
              <w:t>Caller went through the full intake and confirmed their details at the end.</w:t>
            </w:r>
          </w:p>
        </w:tc>
        <w:tc>
          <w:tcPr>
            <w:tcW w:type="dxa" w:w="2880"/>
            <w:vAlign w:val="center"/>
          </w:tcPr>
          <w:p>
            <w:r/>
            <w:r>
              <w:rPr>
                <w:b w:val="0"/>
                <w:sz w:val="21"/>
              </w:rPr>
              <w:t>Bicycle accident caller who provided name, number, email, and a clear summary.</w:t>
            </w:r>
          </w:p>
        </w:tc>
      </w:tr>
      <w:tr>
        <w:tc>
          <w:tcPr>
            <w:tcW w:type="dxa" w:w="2880"/>
            <w:vAlign w:val="center"/>
          </w:tcPr>
          <w:p>
            <w:r/>
            <w:r>
              <w:rPr>
                <w:b w:val="0"/>
                <w:sz w:val="21"/>
              </w:rPr>
              <w:t>Partial / Disconnected</w:t>
            </w:r>
          </w:p>
        </w:tc>
        <w:tc>
          <w:tcPr>
            <w:tcW w:type="dxa" w:w="2880"/>
            <w:vAlign w:val="center"/>
          </w:tcPr>
          <w:p>
            <w:r/>
            <w:r>
              <w:rPr>
                <w:b w:val="0"/>
                <w:sz w:val="21"/>
              </w:rPr>
              <w:t>Call was cut off, or the caller stopped responding, before intake finished.</w:t>
            </w:r>
          </w:p>
        </w:tc>
        <w:tc>
          <w:tcPr>
            <w:tcW w:type="dxa" w:w="2880"/>
            <w:vAlign w:val="center"/>
          </w:tcPr>
          <w:p>
            <w:r/>
            <w:r>
              <w:rPr>
                <w:b w:val="0"/>
                <w:sz w:val="21"/>
              </w:rPr>
              <w:t>Caller goes silent mid-call or the line drops.</w:t>
            </w:r>
          </w:p>
        </w:tc>
      </w:tr>
      <w:tr>
        <w:tc>
          <w:tcPr>
            <w:tcW w:type="dxa" w:w="2880"/>
            <w:vAlign w:val="center"/>
          </w:tcPr>
          <w:p>
            <w:r/>
            <w:r>
              <w:rPr>
                <w:b w:val="0"/>
                <w:sz w:val="21"/>
              </w:rPr>
              <w:t>Unwanted</w:t>
            </w:r>
          </w:p>
        </w:tc>
        <w:tc>
          <w:tcPr>
            <w:tcW w:type="dxa" w:w="2880"/>
            <w:vAlign w:val="center"/>
          </w:tcPr>
          <w:p>
            <w:r/>
            <w:r>
              <w:rPr>
                <w:b w:val="0"/>
                <w:sz w:val="21"/>
              </w:rPr>
              <w:t>Caller's answers never formed a real, coherent situation.</w:t>
            </w:r>
          </w:p>
        </w:tc>
        <w:tc>
          <w:tcPr>
            <w:tcW w:type="dxa" w:w="2880"/>
            <w:vAlign w:val="center"/>
          </w:tcPr>
          <w:p>
            <w:r/>
            <w:r>
              <w:rPr>
                <w:b w:val="0"/>
                <w:sz w:val="21"/>
              </w:rPr>
              <w:t>Caller gives unrelated or nonsensical answers repeatedly.</w:t>
            </w:r>
          </w:p>
        </w:tc>
      </w:tr>
      <w:tr>
        <w:tc>
          <w:tcPr>
            <w:tcW w:type="dxa" w:w="2880"/>
            <w:vAlign w:val="center"/>
          </w:tcPr>
          <w:p>
            <w:r/>
            <w:r>
              <w:rPr>
                <w:b w:val="0"/>
                <w:sz w:val="21"/>
              </w:rPr>
              <w:t>Spam</w:t>
            </w:r>
          </w:p>
        </w:tc>
        <w:tc>
          <w:tcPr>
            <w:tcW w:type="dxa" w:w="2880"/>
            <w:vAlign w:val="center"/>
          </w:tcPr>
          <w:p>
            <w:r/>
            <w:r>
              <w:rPr>
                <w:b w:val="0"/>
                <w:sz w:val="21"/>
              </w:rPr>
              <w:t>Caller understood the questions but repeatedly refused to answer them.</w:t>
            </w:r>
          </w:p>
        </w:tc>
        <w:tc>
          <w:tcPr>
            <w:tcW w:type="dxa" w:w="2880"/>
            <w:vAlign w:val="center"/>
          </w:tcPr>
          <w:p>
            <w:r/>
            <w:r>
              <w:rPr>
                <w:b w:val="0"/>
                <w:sz w:val="21"/>
              </w:rPr>
              <w:t>Caller says “not telling you” to every intake question.</w:t>
            </w:r>
          </w:p>
        </w:tc>
      </w:tr>
      <w:tr>
        <w:tc>
          <w:tcPr>
            <w:tcW w:type="dxa" w:w="2880"/>
            <w:vAlign w:val="center"/>
          </w:tcPr>
          <w:p>
            <w:r/>
            <w:r>
              <w:rPr>
                <w:b w:val="0"/>
                <w:sz w:val="21"/>
              </w:rPr>
              <w:t>Emergency Flags</w:t>
            </w:r>
          </w:p>
        </w:tc>
        <w:tc>
          <w:tcPr>
            <w:tcW w:type="dxa" w:w="2880"/>
            <w:vAlign w:val="center"/>
          </w:tcPr>
          <w:p>
            <w:r/>
            <w:r>
              <w:rPr>
                <w:b w:val="0"/>
                <w:sz w:val="21"/>
              </w:rPr>
              <w:t>The safety branch was triggered — a real, active emergency or danger.</w:t>
            </w:r>
          </w:p>
        </w:tc>
        <w:tc>
          <w:tcPr>
            <w:tcW w:type="dxa" w:w="2880"/>
            <w:vAlign w:val="center"/>
          </w:tcPr>
          <w:p>
            <w:r/>
            <w:r>
              <w:rPr>
                <w:b w:val="0"/>
                <w:sz w:val="21"/>
              </w:rPr>
              <w:t>Caller reports an accident happening right now, or an active unsafe situation.</w:t>
            </w:r>
          </w:p>
        </w:tc>
      </w:tr>
    </w:tbl>
    <w:p/>
    <w:p>
      <w:pPr>
        <w:pStyle w:val="Heading1"/>
      </w:pPr>
      <w:r>
        <w:rPr>
          <w:color w:val="2F5FA8"/>
        </w:rPr>
        <w:t>4. Data Captured Per Completed Call</w:t>
      </w:r>
    </w:p>
    <w:tbl>
      <w:tblPr>
        <w:tblW w:type="auto" w:w="0"/>
        <w:jc w:val="center"/>
        <w:tblLayout w:type="autofit"/>
        <w:tblLook w:firstColumn="1" w:firstRow="1" w:lastColumn="0" w:lastRow="0" w:noHBand="0" w:noVBand="1" w:val="04A0"/>
      </w:tblPr>
      <w:tblGrid>
        <w:gridCol w:w="4320"/>
        <w:gridCol w:w="4320"/>
      </w:tblGrid>
      <w:tr>
        <w:tc>
          <w:tcPr>
            <w:tcW w:type="dxa" w:w="4320"/>
            <w:vAlign w:val="center"/>
            <w:shd w:val="clear" w:color="auto" w:fill="2F5FA8"/>
          </w:tcPr>
          <w:p>
            <w:r/>
            <w:r>
              <w:rPr>
                <w:b/>
                <w:color w:val="FFFFFF"/>
                <w:sz w:val="21"/>
              </w:rPr>
              <w:t>Field</w:t>
            </w:r>
          </w:p>
        </w:tc>
        <w:tc>
          <w:tcPr>
            <w:tcW w:type="dxa" w:w="4320"/>
            <w:vAlign w:val="center"/>
            <w:shd w:val="clear" w:color="auto" w:fill="2F5FA8"/>
          </w:tcPr>
          <w:p>
            <w:r/>
            <w:r>
              <w:rPr>
                <w:b/>
                <w:color w:val="FFFFFF"/>
                <w:sz w:val="21"/>
              </w:rPr>
              <w:t>Purpose</w:t>
            </w:r>
          </w:p>
        </w:tc>
      </w:tr>
      <w:tr>
        <w:tc>
          <w:tcPr>
            <w:tcW w:type="dxa" w:w="4320"/>
            <w:vAlign w:val="center"/>
          </w:tcPr>
          <w:p>
            <w:r/>
            <w:r>
              <w:rPr>
                <w:b w:val="0"/>
                <w:sz w:val="21"/>
              </w:rPr>
              <w:t>Case category</w:t>
            </w:r>
          </w:p>
        </w:tc>
        <w:tc>
          <w:tcPr>
            <w:tcW w:type="dxa" w:w="4320"/>
            <w:vAlign w:val="center"/>
          </w:tcPr>
          <w:p>
            <w:r/>
            <w:r>
              <w:rPr>
                <w:b w:val="0"/>
                <w:sz w:val="21"/>
              </w:rPr>
              <w:t>Type of legal matter (personal injury, family law, immigration, etc.)</w:t>
            </w:r>
          </w:p>
        </w:tc>
      </w:tr>
      <w:tr>
        <w:tc>
          <w:tcPr>
            <w:tcW w:type="dxa" w:w="4320"/>
            <w:vAlign w:val="center"/>
          </w:tcPr>
          <w:p>
            <w:r/>
            <w:r>
              <w:rPr>
                <w:b w:val="0"/>
                <w:sz w:val="21"/>
              </w:rPr>
              <w:t>Caller name &amp; callback number</w:t>
            </w:r>
          </w:p>
        </w:tc>
        <w:tc>
          <w:tcPr>
            <w:tcW w:type="dxa" w:w="4320"/>
            <w:vAlign w:val="center"/>
          </w:tcPr>
          <w:p>
            <w:r/>
            <w:r>
              <w:rPr>
                <w:b w:val="0"/>
                <w:sz w:val="21"/>
              </w:rPr>
              <w:t>Verified to be a complete, valid 10-digit number with country code.</w:t>
            </w:r>
          </w:p>
        </w:tc>
      </w:tr>
      <w:tr>
        <w:tc>
          <w:tcPr>
            <w:tcW w:type="dxa" w:w="4320"/>
            <w:vAlign w:val="center"/>
          </w:tcPr>
          <w:p>
            <w:r/>
            <w:r>
              <w:rPr>
                <w:b w:val="0"/>
                <w:sz w:val="21"/>
              </w:rPr>
              <w:t>Email address</w:t>
            </w:r>
          </w:p>
        </w:tc>
        <w:tc>
          <w:tcPr>
            <w:tcW w:type="dxa" w:w="4320"/>
            <w:vAlign w:val="center"/>
          </w:tcPr>
          <w:p>
            <w:r/>
            <w:r>
              <w:rPr>
                <w:b w:val="0"/>
                <w:sz w:val="21"/>
              </w:rPr>
              <w:t>Validated for a proper address format.</w:t>
            </w:r>
          </w:p>
        </w:tc>
      </w:tr>
      <w:tr>
        <w:tc>
          <w:tcPr>
            <w:tcW w:type="dxa" w:w="4320"/>
            <w:vAlign w:val="center"/>
          </w:tcPr>
          <w:p>
            <w:r/>
            <w:r>
              <w:rPr>
                <w:b w:val="0"/>
                <w:sz w:val="21"/>
              </w:rPr>
              <w:t>Situation summary</w:t>
            </w:r>
          </w:p>
        </w:tc>
        <w:tc>
          <w:tcPr>
            <w:tcW w:type="dxa" w:w="4320"/>
            <w:vAlign w:val="center"/>
          </w:tcPr>
          <w:p>
            <w:r/>
            <w:r>
              <w:rPr>
                <w:b w:val="0"/>
                <w:sz w:val="21"/>
              </w:rPr>
              <w:t>Plain-language description of what happened.</w:t>
            </w:r>
          </w:p>
        </w:tc>
      </w:tr>
      <w:tr>
        <w:tc>
          <w:tcPr>
            <w:tcW w:type="dxa" w:w="4320"/>
            <w:vAlign w:val="center"/>
          </w:tcPr>
          <w:p>
            <w:r/>
            <w:r>
              <w:rPr>
                <w:b w:val="0"/>
                <w:sz w:val="21"/>
              </w:rPr>
              <w:t>Category-specific details</w:t>
            </w:r>
          </w:p>
        </w:tc>
        <w:tc>
          <w:tcPr>
            <w:tcW w:type="dxa" w:w="4320"/>
            <w:vAlign w:val="center"/>
          </w:tcPr>
          <w:p>
            <w:r/>
            <w:r>
              <w:rPr>
                <w:b w:val="0"/>
                <w:sz w:val="21"/>
              </w:rPr>
              <w:t>E.g. incident date, location, other party involved, court dates.</w:t>
            </w:r>
          </w:p>
        </w:tc>
      </w:tr>
      <w:tr>
        <w:tc>
          <w:tcPr>
            <w:tcW w:type="dxa" w:w="4320"/>
            <w:vAlign w:val="center"/>
          </w:tcPr>
          <w:p>
            <w:r/>
            <w:r>
              <w:rPr>
                <w:b w:val="0"/>
                <w:sz w:val="21"/>
              </w:rPr>
              <w:t>Safety / injury / police report flags</w:t>
            </w:r>
          </w:p>
        </w:tc>
        <w:tc>
          <w:tcPr>
            <w:tcW w:type="dxa" w:w="4320"/>
            <w:vAlign w:val="center"/>
          </w:tcPr>
          <w:p>
            <w:r/>
            <w:r>
              <w:rPr>
                <w:b w:val="0"/>
                <w:sz w:val="21"/>
              </w:rPr>
              <w:t>Quick-reference indicators for triage.</w:t>
            </w:r>
          </w:p>
        </w:tc>
      </w:tr>
      <w:tr>
        <w:tc>
          <w:tcPr>
            <w:tcW w:type="dxa" w:w="4320"/>
            <w:vAlign w:val="center"/>
          </w:tcPr>
          <w:p>
            <w:r/>
            <w:r>
              <w:rPr>
                <w:b w:val="0"/>
                <w:sz w:val="21"/>
              </w:rPr>
              <w:t>Call recording &amp; transcript</w:t>
            </w:r>
          </w:p>
        </w:tc>
        <w:tc>
          <w:tcPr>
            <w:tcW w:type="dxa" w:w="4320"/>
            <w:vAlign w:val="center"/>
          </w:tcPr>
          <w:p>
            <w:r/>
            <w:r>
              <w:rPr>
                <w:b w:val="0"/>
                <w:sz w:val="21"/>
              </w:rPr>
              <w:t>Full audio and text available for staff to review.</w:t>
            </w:r>
          </w:p>
        </w:tc>
      </w:tr>
    </w:tbl>
    <w:p/>
    <w:p>
      <w:r>
        <w:rPr>
          <w:i/>
          <w:color w:val="5B6478"/>
          <w:sz w:val="21"/>
        </w:rPr>
        <w:t>Phone numbers and emails are automatically checked for validity. A record is never blocked or hidden for failing this check — it's simply flagged so staff know a callback may be needed to confirm the correct number or address.</w:t>
      </w:r>
    </w:p>
    <w:p>
      <w:pPr>
        <w:pStyle w:val="Heading1"/>
      </w:pPr>
      <w:r>
        <w:rPr>
          <w:color w:val="2F5FA8"/>
        </w:rPr>
        <w:t>5. Configuration Status</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shd w:val="clear" w:color="auto" w:fill="2F5FA8"/>
          </w:tcPr>
          <w:p>
            <w:r/>
            <w:r>
              <w:rPr>
                <w:b/>
                <w:color w:val="FFFFFF"/>
                <w:sz w:val="21"/>
              </w:rPr>
              <w:t>Component</w:t>
            </w:r>
          </w:p>
        </w:tc>
        <w:tc>
          <w:tcPr>
            <w:tcW w:type="dxa" w:w="2880"/>
            <w:vAlign w:val="center"/>
            <w:shd w:val="clear" w:color="auto" w:fill="2F5FA8"/>
          </w:tcPr>
          <w:p>
            <w:r/>
            <w:r>
              <w:rPr>
                <w:b/>
                <w:color w:val="FFFFFF"/>
                <w:sz w:val="21"/>
              </w:rPr>
              <w:t>Status</w:t>
            </w:r>
          </w:p>
        </w:tc>
        <w:tc>
          <w:tcPr>
            <w:tcW w:type="dxa" w:w="2880"/>
            <w:vAlign w:val="center"/>
            <w:shd w:val="clear" w:color="auto" w:fill="2F5FA8"/>
          </w:tcPr>
          <w:p>
            <w:r/>
            <w:r>
              <w:rPr>
                <w:b/>
                <w:color w:val="FFFFFF"/>
                <w:sz w:val="21"/>
              </w:rPr>
              <w:t>Notes</w:t>
            </w:r>
          </w:p>
        </w:tc>
      </w:tr>
      <w:tr>
        <w:tc>
          <w:tcPr>
            <w:tcW w:type="dxa" w:w="2880"/>
            <w:vAlign w:val="center"/>
          </w:tcPr>
          <w:p>
            <w:r/>
            <w:r>
              <w:rPr>
                <w:b w:val="0"/>
                <w:sz w:val="21"/>
              </w:rPr>
              <w:t>Webhook connection (agent → backend)</w:t>
            </w:r>
          </w:p>
        </w:tc>
        <w:tc>
          <w:tcPr>
            <w:tcW w:type="dxa" w:w="2880"/>
            <w:vAlign w:val="center"/>
            <w:shd w:val="clear" w:color="auto" w:fill="E3F2EA"/>
          </w:tcPr>
          <w:p>
            <w:r/>
            <w:r>
              <w:rPr>
                <w:b/>
                <w:color w:val="2F7D5B"/>
                <w:sz w:val="21"/>
              </w:rPr>
              <w:t>Configured</w:t>
            </w:r>
          </w:p>
        </w:tc>
        <w:tc>
          <w:tcPr>
            <w:tcW w:type="dxa" w:w="2880"/>
            <w:vAlign w:val="center"/>
          </w:tcPr>
          <w:p>
            <w:r/>
            <w:r>
              <w:rPr>
                <w:b w:val="0"/>
                <w:sz w:val="21"/>
              </w:rPr>
              <w:t>Signature verification confirmed working.</w:t>
            </w:r>
          </w:p>
        </w:tc>
      </w:tr>
      <w:tr>
        <w:tc>
          <w:tcPr>
            <w:tcW w:type="dxa" w:w="2880"/>
            <w:vAlign w:val="center"/>
          </w:tcPr>
          <w:p>
            <w:r/>
            <w:r>
              <w:rPr>
                <w:b w:val="0"/>
                <w:sz w:val="21"/>
              </w:rPr>
              <w:t>Agent conversation script</w:t>
            </w:r>
          </w:p>
        </w:tc>
        <w:tc>
          <w:tcPr>
            <w:tcW w:type="dxa" w:w="2880"/>
            <w:vAlign w:val="center"/>
            <w:shd w:val="clear" w:color="auto" w:fill="E3F2EA"/>
          </w:tcPr>
          <w:p>
            <w:r/>
            <w:r>
              <w:rPr>
                <w:b/>
                <w:color w:val="2F7D5B"/>
                <w:sz w:val="21"/>
              </w:rPr>
              <w:t>Configured</w:t>
            </w:r>
          </w:p>
        </w:tc>
        <w:tc>
          <w:tcPr>
            <w:tcW w:type="dxa" w:w="2880"/>
            <w:vAlign w:val="center"/>
          </w:tcPr>
          <w:p>
            <w:r/>
            <w:r>
              <w:rPr>
                <w:b w:val="0"/>
                <w:sz w:val="21"/>
              </w:rPr>
              <w:t>Includes safety check, phone verification, and closing confirmation.</w:t>
            </w:r>
          </w:p>
        </w:tc>
      </w:tr>
      <w:tr>
        <w:tc>
          <w:tcPr>
            <w:tcW w:type="dxa" w:w="2880"/>
            <w:vAlign w:val="center"/>
          </w:tcPr>
          <w:p>
            <w:r/>
            <w:r>
              <w:rPr>
                <w:b w:val="0"/>
                <w:sz w:val="21"/>
              </w:rPr>
              <w:t>Structured data extraction (14 fields)</w:t>
            </w:r>
          </w:p>
        </w:tc>
        <w:tc>
          <w:tcPr>
            <w:tcW w:type="dxa" w:w="2880"/>
            <w:vAlign w:val="center"/>
            <w:shd w:val="clear" w:color="auto" w:fill="E3F2EA"/>
          </w:tcPr>
          <w:p>
            <w:r/>
            <w:r>
              <w:rPr>
                <w:b/>
                <w:color w:val="2F7D5B"/>
                <w:sz w:val="21"/>
              </w:rPr>
              <w:t>Configured</w:t>
            </w:r>
          </w:p>
        </w:tc>
        <w:tc>
          <w:tcPr>
            <w:tcW w:type="dxa" w:w="2880"/>
            <w:vAlign w:val="center"/>
          </w:tcPr>
          <w:p>
            <w:r/>
            <w:r>
              <w:rPr>
                <w:b w:val="0"/>
                <w:sz w:val="21"/>
              </w:rPr>
              <w:t>Matches what the backend expects to receive.</w:t>
            </w:r>
          </w:p>
        </w:tc>
      </w:tr>
      <w:tr>
        <w:tc>
          <w:tcPr>
            <w:tcW w:type="dxa" w:w="2880"/>
            <w:vAlign w:val="center"/>
          </w:tcPr>
          <w:p>
            <w:r/>
            <w:r>
              <w:rPr>
                <w:b w:val="0"/>
                <w:sz w:val="21"/>
              </w:rPr>
              <w:t>Automatic call categorization</w:t>
            </w:r>
          </w:p>
        </w:tc>
        <w:tc>
          <w:tcPr>
            <w:tcW w:type="dxa" w:w="2880"/>
            <w:vAlign w:val="center"/>
            <w:shd w:val="clear" w:color="auto" w:fill="E3F2EA"/>
          </w:tcPr>
          <w:p>
            <w:r/>
            <w:r>
              <w:rPr>
                <w:b/>
                <w:color w:val="2F7D5B"/>
                <w:sz w:val="21"/>
              </w:rPr>
              <w:t>Configured</w:t>
            </w:r>
          </w:p>
        </w:tc>
        <w:tc>
          <w:tcPr>
            <w:tcW w:type="dxa" w:w="2880"/>
            <w:vAlign w:val="center"/>
          </w:tcPr>
          <w:p>
            <w:r/>
            <w:r>
              <w:rPr>
                <w:b w:val="0"/>
                <w:sz w:val="21"/>
              </w:rPr>
              <w:t>Reads the agent's own closing statement directly for accuracy.</w:t>
            </w:r>
          </w:p>
        </w:tc>
      </w:tr>
      <w:tr>
        <w:tc>
          <w:tcPr>
            <w:tcW w:type="dxa" w:w="2880"/>
            <w:vAlign w:val="center"/>
          </w:tcPr>
          <w:p>
            <w:r/>
            <w:r>
              <w:rPr>
                <w:b w:val="0"/>
                <w:sz w:val="21"/>
              </w:rPr>
              <w:t>Phone / email validation</w:t>
            </w:r>
          </w:p>
        </w:tc>
        <w:tc>
          <w:tcPr>
            <w:tcW w:type="dxa" w:w="2880"/>
            <w:vAlign w:val="center"/>
            <w:shd w:val="clear" w:color="auto" w:fill="E3F2EA"/>
          </w:tcPr>
          <w:p>
            <w:r/>
            <w:r>
              <w:rPr>
                <w:b/>
                <w:color w:val="2F7D5B"/>
                <w:sz w:val="21"/>
              </w:rPr>
              <w:t>Configured</w:t>
            </w:r>
          </w:p>
        </w:tc>
        <w:tc>
          <w:tcPr>
            <w:tcW w:type="dxa" w:w="2880"/>
            <w:vAlign w:val="center"/>
          </w:tcPr>
          <w:p>
            <w:r/>
            <w:r>
              <w:rPr>
                <w:b w:val="0"/>
                <w:sz w:val="21"/>
              </w:rPr>
              <w:t>Supports international country codes.</w:t>
            </w:r>
          </w:p>
        </w:tc>
      </w:tr>
      <w:tr>
        <w:tc>
          <w:tcPr>
            <w:tcW w:type="dxa" w:w="2880"/>
            <w:vAlign w:val="center"/>
          </w:tcPr>
          <w:p>
            <w:r/>
            <w:r>
              <w:rPr>
                <w:b w:val="0"/>
                <w:sz w:val="21"/>
              </w:rPr>
              <w:t>Staff review dashboard</w:t>
            </w:r>
          </w:p>
        </w:tc>
        <w:tc>
          <w:tcPr>
            <w:tcW w:type="dxa" w:w="2880"/>
            <w:vAlign w:val="center"/>
            <w:shd w:val="clear" w:color="auto" w:fill="E3F2EA"/>
          </w:tcPr>
          <w:p>
            <w:r/>
            <w:r>
              <w:rPr>
                <w:b/>
                <w:color w:val="2F7D5B"/>
                <w:sz w:val="21"/>
              </w:rPr>
              <w:t>Configured</w:t>
            </w:r>
          </w:p>
        </w:tc>
        <w:tc>
          <w:tcPr>
            <w:tcW w:type="dxa" w:w="2880"/>
            <w:vAlign w:val="center"/>
          </w:tcPr>
          <w:p>
            <w:r/>
            <w:r>
              <w:rPr>
                <w:b w:val="0"/>
                <w:sz w:val="21"/>
              </w:rPr>
              <w:t>Tab per category, with recordings and transcripts.</w:t>
            </w:r>
          </w:p>
        </w:tc>
      </w:tr>
      <w:tr>
        <w:tc>
          <w:tcPr>
            <w:tcW w:type="dxa" w:w="2880"/>
            <w:vAlign w:val="center"/>
          </w:tcPr>
          <w:p>
            <w:r/>
            <w:r>
              <w:rPr>
                <w:b w:val="0"/>
                <w:sz w:val="21"/>
              </w:rPr>
              <w:t>Real inbound phone number (Twilio)</w:t>
            </w:r>
          </w:p>
        </w:tc>
        <w:tc>
          <w:tcPr>
            <w:tcW w:type="dxa" w:w="2880"/>
            <w:vAlign w:val="center"/>
            <w:shd w:val="clear" w:color="auto" w:fill="FAF1E0"/>
          </w:tcPr>
          <w:p>
            <w:r/>
            <w:r>
              <w:rPr>
                <w:b/>
                <w:color w:val="A2701D"/>
                <w:sz w:val="21"/>
              </w:rPr>
              <w:t>Pending</w:t>
            </w:r>
          </w:p>
        </w:tc>
        <w:tc>
          <w:tcPr>
            <w:tcW w:type="dxa" w:w="2880"/>
            <w:vAlign w:val="center"/>
          </w:tcPr>
          <w:p>
            <w:r/>
            <w:r>
              <w:rPr>
                <w:b w:val="0"/>
                <w:sz w:val="21"/>
              </w:rPr>
              <w:t>Setup guide is ready; requires a Twilio number to connect.</w:t>
            </w:r>
          </w:p>
        </w:tc>
      </w:tr>
    </w:tbl>
    <w:p/>
    <w:p>
      <w:pPr>
        <w:pStyle w:val="Heading1"/>
      </w:pPr>
      <w:r>
        <w:rPr>
          <w:color w:val="2F5FA8"/>
        </w:rPr>
        <w:t>6. Step-by-Step Setup Process</w:t>
      </w:r>
    </w:p>
    <w:p>
      <w:r>
        <w:rPr>
          <w:i w:val="0"/>
          <w:color w:val="1B2230"/>
          <w:sz w:val="22"/>
        </w:rPr>
        <w:t>This section documents the exact steps already completed to configure the agent, and the remaining steps to connect a live phone number. It's written so anyone on the team can follow it to reproduce, audit, or hand off the configuration.</w:t>
      </w:r>
    </w:p>
    <w:p>
      <w:pPr>
        <w:pStyle w:val="Heading2"/>
      </w:pPr>
      <w:r>
        <w:rPr>
          <w:color w:val="1B2230"/>
        </w:rPr>
        <w:t>6.1 Configuring the Retell Agent</w:t>
      </w:r>
    </w:p>
    <w:p>
      <w:pPr>
        <w:pStyle w:val="ListNumber"/>
      </w:pPr>
      <w:r>
        <w:rPr>
          <w:sz w:val="22"/>
        </w:rPr>
        <w:t>Set the webhook URLs. Under Agent → Webhook Settings, point the agent at the backend's two endpoints: one that fires the instant a call connects (used to recognize returning callers), and one that fires when the call ends (used to save the final record).</w:t>
      </w:r>
    </w:p>
    <w:p>
      <w:pPr>
        <w:pStyle w:val="ListNumber"/>
      </w:pPr>
      <w:r>
        <w:rPr>
          <w:sz w:val="22"/>
        </w:rPr>
        <w:t>Connect the signing key. Retell signs every webhook with a specific API key — the one marked with a “webhook” badge in the Retell dashboard, not just any key on the account. This key is stored as an environment variable on the backend so it can verify each webhook is genuinely from Retell before trusting it.</w:t>
      </w:r>
    </w:p>
    <w:p>
      <w:pPr>
        <w:pStyle w:val="ListNumber"/>
      </w:pPr>
      <w:r>
        <w:rPr>
          <w:sz w:val="22"/>
        </w:rPr>
        <w:t>Paste in the conversation script. The full agent prompt is pasted into the agent's script box. It defines the greeting, the mandatory safety check, the category-specific questions, the phone number verification steps, and the closing confirmation.</w:t>
      </w:r>
    </w:p>
    <w:p>
      <w:pPr>
        <w:pStyle w:val="ListNumber"/>
      </w:pPr>
      <w:r>
        <w:rPr>
          <w:sz w:val="22"/>
        </w:rPr>
        <w:t>Add the 14 structured data fields. Under Agent → Post-Call Data Extraction, each field the backend expects (case category, caller name, callback number, email, situation summary, etc.) is added with a matching name, type, and description so Retell knows exactly what to pull out of each conversation.</w:t>
      </w:r>
    </w:p>
    <w:p>
      <w:pPr>
        <w:pStyle w:val="ListNumber"/>
      </w:pPr>
      <w:r>
        <w:rPr>
          <w:sz w:val="22"/>
        </w:rPr>
        <w:t>Verify the connection. A test call is run from Retell's dashboard and checked against the backend to confirm the record was received, verified, and saved correctly.</w:t>
      </w:r>
    </w:p>
    <w:p>
      <w:pPr>
        <w:pStyle w:val="Heading2"/>
      </w:pPr>
      <w:r>
        <w:rPr>
          <w:color w:val="1B2230"/>
        </w:rPr>
        <w:t>6.2 Connecting a Real Phone Number via Twilio</w:t>
      </w:r>
    </w:p>
    <w:p>
      <w:r>
        <w:rPr>
          <w:i w:val="0"/>
          <w:color w:val="1B2230"/>
          <w:sz w:val="22"/>
        </w:rPr>
        <w:t>This is the remaining step to take live calls from a public phone number, rather than only Retell's browser-based test call. It does not require any change to the script, data fields, or call categorization already configured above.</w:t>
      </w:r>
    </w:p>
    <w:p>
      <w:pPr>
        <w:pStyle w:val="ListNumber"/>
      </w:pPr>
      <w:r>
        <w:rPr>
          <w:sz w:val="22"/>
        </w:rPr>
        <w:t>Purchase or identify the Twilio phone number that will become the public intake line.</w:t>
      </w:r>
    </w:p>
    <w:p>
      <w:pPr>
        <w:pStyle w:val="ListNumber"/>
      </w:pPr>
      <w:r>
        <w:rPr>
          <w:sz w:val="22"/>
        </w:rPr>
        <w:t>Create a trunk in Twilio. This is a one-time connection setup between Twilio and Retell, configured with a security method (either an approved address or a username/password) so only Retell can route calls through it.</w:t>
      </w:r>
    </w:p>
    <w:p>
      <w:pPr>
        <w:pStyle w:val="ListNumber"/>
      </w:pPr>
      <w:r>
        <w:rPr>
          <w:sz w:val="22"/>
        </w:rPr>
        <w:t>Point inbound calls at Retell. A single setting in Twilio tells it to hand off incoming calls to Retell's system.</w:t>
      </w:r>
    </w:p>
    <w:p>
      <w:pPr>
        <w:pStyle w:val="ListNumber"/>
      </w:pPr>
      <w:r>
        <w:rPr>
          <w:sz w:val="22"/>
        </w:rPr>
        <w:t>Assign the phone number to the trunk created above.</w:t>
      </w:r>
    </w:p>
    <w:p>
      <w:pPr>
        <w:pStyle w:val="ListNumber"/>
      </w:pPr>
      <w:r>
        <w:rPr>
          <w:sz w:val="22"/>
        </w:rPr>
        <w:t>Import the number into Retell and assign it to the configured agent. The number now appears in the Retell dashboard as a working phone number.</w:t>
      </w:r>
    </w:p>
    <w:p>
      <w:pPr>
        <w:pStyle w:val="ListNumber"/>
      </w:pPr>
      <w:r>
        <w:rPr>
          <w:sz w:val="22"/>
        </w:rPr>
        <w:t>Place a real test call to the number and confirm the call appears correctly in the staff dashboard, in the right category, with the caller's actual phone number attached.</w:t>
      </w:r>
    </w:p>
    <w:p>
      <w:pPr>
        <w:pStyle w:val="Heading1"/>
      </w:pPr>
      <w:r>
        <w:rPr>
          <w:color w:val="2F5FA8"/>
        </w:rPr>
        <w:t>7. Quality &amp; Testing</w:t>
      </w:r>
    </w:p>
    <w:p>
      <w:r>
        <w:rPr>
          <w:i w:val="0"/>
          <w:color w:val="1B2230"/>
          <w:sz w:val="22"/>
        </w:rPr>
        <w:t>A set of scripted test calls covers every category, including a specific regression check to confirm that a serious-sounding but already-resolved incident (e.g. “I broke my arm yesterday”) is correctly treated as a normal case and not mistaken for a live emergency.</w:t>
      </w:r>
    </w:p>
    <w:p>
      <w:pPr>
        <w:pStyle w:val="Heading2"/>
      </w:pPr>
      <w:r>
        <w:rPr>
          <w:color w:val="1B2230"/>
        </w:rPr>
        <w:t>Issues found during testing and resolved</w:t>
      </w:r>
    </w:p>
    <w:p>
      <w:pPr>
        <w:pStyle w:val="ListBullet"/>
      </w:pPr>
      <w:r>
        <w:rPr>
          <w:sz w:val="22"/>
        </w:rPr>
        <w:t>Webhook authentication was failing (calls weren't being received at all) — fixed by correcting which security key the connection uses.</w:t>
      </w:r>
    </w:p>
    <w:p>
      <w:pPr>
        <w:pStyle w:val="ListBullet"/>
      </w:pPr>
      <w:r>
        <w:rPr>
          <w:sz w:val="22"/>
        </w:rPr>
        <w:t>The agent occasionally ended calls abruptly without finishing the closing confirmation — the script now explicitly requires the full closing sequence every time.</w:t>
      </w:r>
    </w:p>
    <w:p>
      <w:pPr>
        <w:pStyle w:val="ListBullet"/>
      </w:pPr>
      <w:r>
        <w:rPr>
          <w:sz w:val="22"/>
        </w:rPr>
        <w:t>Case categories sometimes displayed as blank due to a minor formatting inconsistency — now automatically cleaned up before display.</w:t>
      </w:r>
    </w:p>
    <w:p>
      <w:pPr>
        <w:pStyle w:val="ListBullet"/>
      </w:pPr>
      <w:r>
        <w:rPr>
          <w:sz w:val="22"/>
        </w:rPr>
        <w:t>Call categorization was occasionally inaccurate when relying on Retell's own classification — the system now reads the agent's exact closing statement directly, which is fully reliable.</w:t>
      </w:r>
    </w:p>
    <w:p>
      <w:pPr>
        <w:pStyle w:val="ListBullet"/>
      </w:pPr>
      <w:r>
        <w:rPr>
          <w:sz w:val="22"/>
        </w:rPr>
        <w:t>Added a distinct “Spam” category to separate callers who are evasive but coherent from those giving nonsensical answers, so staff can tell the two apart.</w:t>
      </w:r>
    </w:p>
    <w:p>
      <w:pPr>
        <w:pStyle w:val="Heading1"/>
      </w:pPr>
      <w:r>
        <w:rPr>
          <w:color w:val="2F5FA8"/>
        </w:rPr>
        <w:t>8. Open Items &amp; Next Steps</w:t>
      </w:r>
    </w:p>
    <w:p>
      <w:pPr>
        <w:pStyle w:val="ListNumber"/>
      </w:pPr>
      <w:r>
        <w:rPr>
          <w:sz w:val="22"/>
        </w:rPr>
        <w:t>Decide on timing to connect a live Twilio phone number.</w:t>
      </w:r>
    </w:p>
    <w:p>
      <w:pPr>
        <w:pStyle w:val="ListNumber"/>
      </w:pPr>
      <w:r>
        <w:rPr>
          <w:sz w:val="22"/>
        </w:rPr>
        <w:t>Run the full test-call checklist once more after any future script changes.</w:t>
      </w:r>
    </w:p>
    <w:p>
      <w:pPr>
        <w:pStyle w:val="ListNumber"/>
      </w:pPr>
      <w:r>
        <w:rPr>
          <w:sz w:val="22"/>
        </w:rPr>
        <w:t>Periodically spot-check the “Unwanted” and “Spam” categories to confirm real callers aren't being misclassified into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22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5FA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23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23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