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bidi w:val="false"/>
        <w:spacing/>
        <w:ind/>
        <w:jc w:val="right"/>
        <w:rPr/>
      </w:pPr>
      <w:r/>
      <w:bookmarkStart w:id="0" w:name="__RefHeading___Toc22824_3112285084"/>
      <w:r/>
      <w:bookmarkEnd w:id="0"/>
      <w:r>
        <w:rPr>
          <w:rStyle w:val="701"/>
          <w:rFonts w:ascii="Caladea;Cambria" w:hAnsi="Caladea;Cambria" w:cs="Caladea;Cambria"/>
        </w:rPr>
        <w:t xml:space="preserve">RENCANA PELAKSANAAN PEMBELAJARAN</w:t>
      </w:r>
      <w:r/>
    </w:p>
    <w:p>
      <w:pPr>
        <w:pStyle w:val="719"/>
        <w:pBdr/>
        <w:bidi w:val="false"/>
        <w:spacing/>
        <w:ind/>
        <w:jc w:val="right"/>
        <w:rPr/>
      </w:pPr>
      <w:r/>
      <w:bookmarkStart w:id="1" w:name="__RefHeading___Toc34637_12284567401"/>
      <w:r/>
      <w:bookmarkEnd w:id="1"/>
      <w:r>
        <w:rPr>
          <w:rFonts w:ascii="Caladea;Cambria" w:hAnsi="Caladea;Cambria" w:cs="Caladea;Cambria"/>
        </w:rPr>
        <w:t xml:space="preserve">(RPP-8-3.</w:t>
      </w:r>
      <w:r>
        <w:rPr>
          <w:rFonts w:ascii="Caladea;Cambria" w:hAnsi="Caladea;Cambria" w:eastAsia="Noto Sans CJK SC Regular" w:cs="Caladea;Cambria"/>
          <w:b/>
          <w:bCs/>
          <w:color w:val="ff8000"/>
          <w:sz w:val="32"/>
          <w:szCs w:val="56"/>
        </w:rPr>
        <w:t xml:space="preserve">6</w:t>
      </w:r>
      <w:r>
        <w:rPr>
          <w:rFonts w:ascii="Caladea;Cambria" w:hAnsi="Caladea;Cambria" w:cs="Caladea;Cambria"/>
        </w:rPr>
        <w:t xml:space="preserve">-1)</w:t>
      </w:r>
      <w:r/>
    </w:p>
    <w:p>
      <w:pPr>
        <w:pStyle w:val="718"/>
        <w:pBdr/>
        <w:spacing/>
        <w:ind/>
        <w:jc w:val="right"/>
        <w:rPr>
          <w:rFonts w:ascii="Caladea;Cambria" w:hAnsi="Caladea;Cambria" w:cs="Caladea;Cambria"/>
          <w:b/>
          <w:bCs/>
          <w:color w:val="ff7825"/>
          <w:sz w:val="21"/>
          <w:szCs w:val="21"/>
        </w:rPr>
      </w:pPr>
      <w:r>
        <w:rPr>
          <w:rFonts w:ascii="Caladea;Cambria" w:hAnsi="Caladea;Cambria" w:cs="Caladea;Cambria"/>
          <w:b/>
          <w:bCs/>
          <w:color w:val="ff7825"/>
          <w:sz w:val="21"/>
          <w:szCs w:val="21"/>
        </w:rPr>
      </w:r>
      <w:r>
        <w:rPr>
          <w:rFonts w:ascii="Caladea;Cambria" w:hAnsi="Caladea;Cambria" w:cs="Caladea;Cambria"/>
          <w:b/>
          <w:bCs/>
          <w:color w:val="ff7825"/>
          <w:sz w:val="21"/>
          <w:szCs w:val="21"/>
        </w:rPr>
      </w:r>
    </w:p>
    <w:p>
      <w:pPr>
        <w:pStyle w:val="724"/>
        <w:pBdr/>
        <w:bidi w:val="false"/>
        <w:spacing/>
        <w:ind/>
        <w:jc w:val="left"/>
        <w:rPr>
          <w:rFonts w:ascii="Caladea;Cambria" w:hAnsi="Caladea;Cambria" w:cs="Caladea;Cambria"/>
        </w:rPr>
      </w:pPr>
      <w:r>
        <w:rPr>
          <w:rFonts w:ascii="Caladea;Cambria" w:hAnsi="Caladea;Cambria" w:cs="Caladea;Cambria"/>
        </w:rPr>
        <w:t xml:space="preserve">TUJUAN PEMBELAJARAN</w:t>
      </w:r>
      <w:r>
        <w:rPr>
          <w:rFonts w:ascii="Caladea;Cambria" w:hAnsi="Caladea;Cambria" w:cs="Caladea;Cambria"/>
        </w:rPr>
      </w:r>
    </w:p>
    <w:p>
      <w:pPr>
        <w:pStyle w:val="718"/>
        <w:numPr>
          <w:ilvl w:val="0"/>
          <w:numId w:val="0"/>
        </w:numPr>
        <w:pBdr/>
        <w:bidi w:val="false"/>
        <w:spacing/>
        <w:ind w:right="0" w:firstLine="0" w:left="0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Setelah berdiskusi, menggali informasi melalui model pembelajaran </w:t>
      </w:r>
      <w:r>
        <w:rPr>
          <w:rFonts w:ascii="Caladea;Cambria" w:hAnsi="Caladea;Cambria" w:cs="Caladea;Cambria"/>
          <w:i/>
          <w:iCs/>
          <w:sz w:val="20"/>
          <w:szCs w:val="20"/>
        </w:rPr>
        <w:t xml:space="preserve">discovery learning </w:t>
      </w:r>
      <w:r>
        <w:rPr>
          <w:rFonts w:ascii="Caladea;Cambria" w:hAnsi="Caladea;Cambria" w:cs="Caladea;Cambria"/>
          <w:sz w:val="20"/>
          <w:szCs w:val="20"/>
        </w:rPr>
        <w:t xml:space="preserve">murid dapat menjelaskan kebenaran teorema Pythagoras Pythagoras mengedepankan karakter rasa ingin tahu selama proses pembelajaran dengan baik.</w:t>
      </w:r>
      <w:r/>
    </w:p>
    <w:p>
      <w:pPr>
        <w:pStyle w:val="724"/>
        <w:pBdr/>
        <w:bidi w:val="false"/>
        <w:spacing/>
        <w:ind/>
        <w:jc w:val="left"/>
        <w:rPr>
          <w:rFonts w:ascii="Caladea;Cambria" w:hAnsi="Caladea;Cambria" w:cs="Caladea;Cambria"/>
        </w:rPr>
      </w:pPr>
      <w:r>
        <w:rPr>
          <w:rFonts w:ascii="Caladea;Cambria" w:hAnsi="Caladea;Cambria" w:cs="Caladea;Cambria"/>
        </w:rPr>
        <w:t xml:space="preserve">SUMBER BELAJAR</w:t>
      </w:r>
      <w:r>
        <w:rPr>
          <w:rFonts w:ascii="Caladea;Cambria" w:hAnsi="Caladea;Cambria" w:cs="Caladea;Cambria"/>
        </w:rPr>
      </w:r>
    </w:p>
    <w:p>
      <w:pPr>
        <w:pStyle w:val="718"/>
        <w:numPr>
          <w:ilvl w:val="0"/>
          <w:numId w:val="2"/>
        </w:numPr>
        <w:pBdr/>
        <w:spacing/>
        <w:ind w:right="0" w:hanging="340" w:left="340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Kementerian Pendidikan dan Kebudayaan. 2017. Matematika: Kelas VIII SMP Semester Genap Edisi Revisi. Jakarta. Kementerian Pendidikan dan Kebudayaan. (Halaman 5 – 45). </w:t>
      </w:r>
      <w:r/>
    </w:p>
    <w:p>
      <w:pPr>
        <w:pStyle w:val="718"/>
        <w:numPr>
          <w:ilvl w:val="0"/>
          <w:numId w:val="2"/>
        </w:numPr>
        <w:pBdr/>
        <w:spacing/>
        <w:ind w:right="0" w:hanging="340" w:left="340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Materi Teorema Pythagoras pada laman https://www.youtube.com/watch?v=LX1pBh3ia8U diakses 13 Desember 2021.</w:t>
      </w:r>
      <w:r/>
    </w:p>
    <w:p>
      <w:pPr>
        <w:pStyle w:val="724"/>
        <w:pBdr/>
        <w:bidi w:val="false"/>
        <w:spacing/>
        <w:ind/>
        <w:jc w:val="left"/>
        <w:rPr>
          <w:rFonts w:ascii="Caladea;Cambria" w:hAnsi="Caladea;Cambria" w:cs="Caladea;Cambria"/>
        </w:rPr>
      </w:pPr>
      <w:r>
        <w:rPr>
          <w:rFonts w:ascii="Caladea;Cambria" w:hAnsi="Caladea;Cambria" w:cs="Caladea;Cambria"/>
        </w:rPr>
        <w:t xml:space="preserve">MEDIA PEMBELAJARAN</w:t>
      </w:r>
      <w:r>
        <w:rPr>
          <w:rFonts w:ascii="Caladea;Cambria" w:hAnsi="Caladea;Cambria" w:cs="Caladea;Cambria"/>
        </w:rPr>
      </w:r>
    </w:p>
    <w:p>
      <w:pPr>
        <w:pStyle w:val="718"/>
        <w:pBdr/>
        <w:bidi w:val="false"/>
        <w:spacing/>
        <w:ind/>
        <w:jc w:val="both"/>
        <w:rPr>
          <w:rFonts w:ascii="Caladea;Cambria" w:hAnsi="Caladea;Cambria" w:cs="Caladea;Cambria"/>
          <w:sz w:val="20"/>
          <w:szCs w:val="20"/>
        </w:rPr>
      </w:pPr>
      <w:r>
        <w:rPr>
          <w:rFonts w:ascii="Caladea;Cambria" w:hAnsi="Caladea;Cambria" w:cs="Caladea;Cambria"/>
          <w:sz w:val="20"/>
          <w:szCs w:val="20"/>
        </w:rPr>
        <w:t xml:space="preserve">Media pembelajaran yang akan diberikan dalam pembelajaran adalah Lembar Kegiatan Pembelajaran Murid (LKPM-1).</w:t>
      </w:r>
      <w:r>
        <w:rPr>
          <w:rFonts w:ascii="Caladea;Cambria" w:hAnsi="Caladea;Cambria" w:cs="Caladea;Cambria"/>
          <w:sz w:val="20"/>
          <w:szCs w:val="20"/>
        </w:rPr>
      </w:r>
    </w:p>
    <w:p>
      <w:pPr>
        <w:pStyle w:val="724"/>
        <w:pBdr/>
        <w:bidi w:val="false"/>
        <w:spacing/>
        <w:ind/>
        <w:jc w:val="left"/>
        <w:rPr>
          <w:rFonts w:ascii="Caladea;Cambria" w:hAnsi="Caladea;Cambria" w:cs="Caladea;Cambria"/>
        </w:rPr>
      </w:pPr>
      <w:r>
        <w:rPr>
          <w:rFonts w:ascii="Caladea;Cambria" w:hAnsi="Caladea;Cambria" w:cs="Caladea;Cambria"/>
        </w:rPr>
        <w:t xml:space="preserve">KEGIATAN PEMBELAJARAN</w:t>
      </w:r>
      <w:r>
        <w:rPr>
          <w:rFonts w:ascii="Caladea;Cambria" w:hAnsi="Caladea;Cambria" w:cs="Caladea;Cambria"/>
        </w:rPr>
      </w:r>
    </w:p>
    <w:p>
      <w:pPr>
        <w:pStyle w:val="699"/>
        <w:pBdr/>
        <w:bidi w:val="false"/>
        <w:spacing w:after="119" w:before="28"/>
        <w:ind w:right="0"/>
        <w:jc w:val="left"/>
        <w:rPr/>
      </w:pPr>
      <w:r>
        <w:rPr>
          <w:rFonts w:cs="Caladea;Cambria"/>
          <w:sz w:val="21"/>
          <w:szCs w:val="21"/>
        </w:rPr>
        <w:t xml:space="preserve">A. Pendahuluan</w:t>
      </w:r>
      <w:r/>
    </w:p>
    <w:p>
      <w:pPr>
        <w:pStyle w:val="718"/>
        <w:pBdr/>
        <w:bidi w:val="false"/>
        <w:spacing/>
        <w:ind/>
        <w:jc w:val="both"/>
        <w:rPr>
          <w:rFonts w:ascii="Caladea;Cambria" w:hAnsi="Caladea;Cambria" w:cs="Caladea;Cambria"/>
          <w:sz w:val="20"/>
          <w:szCs w:val="20"/>
        </w:rPr>
      </w:pPr>
      <w:r>
        <w:rPr>
          <w:rFonts w:ascii="Caladea;Cambria" w:hAnsi="Caladea;Cambria" w:cs="Caladea;Cambria"/>
          <w:sz w:val="20"/>
          <w:szCs w:val="20"/>
        </w:rPr>
        <w:t xml:space="preserve">Menyiapkan murid secara psikis untuk mengikuti proses pembelajaran, membahas tujuan pembelajaran, dan rencana penilaian. </w:t>
      </w:r>
      <w:r>
        <w:rPr>
          <w:rFonts w:ascii="Caladea;Cambria" w:hAnsi="Caladea;Cambria" w:cs="Caladea;Cambria"/>
          <w:sz w:val="20"/>
          <w:szCs w:val="20"/>
        </w:rPr>
      </w:r>
    </w:p>
    <w:p>
      <w:pPr>
        <w:pStyle w:val="699"/>
        <w:pBdr/>
        <w:bidi w:val="false"/>
        <w:spacing/>
        <w:ind w:right="0"/>
        <w:jc w:val="left"/>
        <w:rPr/>
      </w:pPr>
      <w:r>
        <w:rPr>
          <w:rFonts w:cs="Caladea;Cambria"/>
          <w:sz w:val="21"/>
          <w:szCs w:val="21"/>
        </w:rPr>
        <w:t xml:space="preserve">B. Kegiatan Inti</w:t>
      </w:r>
      <w:r/>
    </w:p>
    <w:p>
      <w:pPr>
        <w:pStyle w:val="725"/>
        <w:numPr>
          <w:ilvl w:val="0"/>
          <w:numId w:val="3"/>
        </w:numPr>
        <w:pBdr/>
        <w:spacing/>
        <w:ind w:right="0" w:hanging="283" w:left="567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Memberikan gambaran tentang pentingnya memahami konsep Teorema Pythagoras dan memberikan gambaran tentang penerapan Teorema Pythagoras.dalam kehidupan sehari-hari, misalnya dalam konstruksi bangunan atap rumah.</w:t>
      </w:r>
      <w:r/>
    </w:p>
    <w:p>
      <w:pPr>
        <w:pStyle w:val="725"/>
        <w:numPr>
          <w:ilvl w:val="0"/>
          <w:numId w:val="3"/>
        </w:numPr>
        <w:pBdr/>
        <w:bidi w:val="false"/>
        <w:spacing/>
        <w:ind w:right="0" w:hanging="283" w:left="567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Mengelompokan murid ke dalam beberapa kelompok dengan tiap kelompok terdiri atas 3-5 orang. Meminta murid mencermati dan mendiskusikan LKPM-1 dalam kelompoknya.</w:t>
      </w:r>
      <w:r/>
    </w:p>
    <w:p>
      <w:pPr>
        <w:pStyle w:val="725"/>
        <w:numPr>
          <w:ilvl w:val="0"/>
          <w:numId w:val="3"/>
        </w:numPr>
        <w:pBdr/>
        <w:spacing/>
        <w:ind w:right="0" w:hanging="283" w:left="567"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Memfasilitasi murid dalam menarik     kesimpulan dari hasil pengerjaan LKPM-1.</w:t>
      </w:r>
      <w:r/>
    </w:p>
    <w:p>
      <w:pPr>
        <w:pStyle w:val="699"/>
        <w:pBdr/>
        <w:bidi w:val="false"/>
        <w:spacing/>
        <w:ind w:right="0"/>
        <w:jc w:val="left"/>
        <w:rPr/>
      </w:pPr>
      <w:r>
        <w:rPr>
          <w:rFonts w:cs="Caladea;Cambria"/>
          <w:sz w:val="21"/>
          <w:szCs w:val="21"/>
        </w:rPr>
        <w:t xml:space="preserve">C. Kegiatan Penutup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0"/>
          <w:szCs w:val="20"/>
        </w:rPr>
      </w:pPr>
      <w:r>
        <w:rPr>
          <w:rFonts w:ascii="Caladea;Cambria" w:hAnsi="Caladea;Cambria" w:cs="Caladea;Cambria"/>
          <w:sz w:val="20"/>
          <w:szCs w:val="20"/>
        </w:rPr>
      </w:r>
      <w:r/>
      <w:r>
        <w:rPr>
          <w:rFonts w:ascii="Caladea;Cambria" w:hAnsi="Caladea;Cambria" w:cs="Caladea;Cambria"/>
          <w:sz w:val="20"/>
          <w:szCs w:val="20"/>
        </w:rPr>
        <w:t xml:space="preserve">Memberikan penguatan terkait kesimpulan yang telah dibuat secara bersama-sama. Melakukan refleksi terhadap pembelajaran yang telah dilakukan, dan guru menyampaikan rencana pembelajaran berikutnya.</w:t>
      </w:r>
      <w:r>
        <w:rPr>
          <w:rFonts w:ascii="Caladea;Cambria" w:hAnsi="Caladea;Cambria" w:cs="Caladea;Cambria"/>
          <w:sz w:val="20"/>
          <w:szCs w:val="20"/>
        </w:rPr>
      </w:r>
    </w:p>
    <w:p>
      <w:pPr>
        <w:pStyle w:val="724"/>
        <w:pBdr/>
        <w:bidi w:val="false"/>
        <w:spacing/>
        <w:ind/>
        <w:jc w:val="left"/>
        <w:rPr>
          <w:rFonts w:ascii="Caladea;Cambria" w:hAnsi="Caladea;Cambria" w:cs="Caladea;Cambria"/>
        </w:rPr>
      </w:pPr>
      <w:r>
        <w:rPr>
          <w:rFonts w:ascii="Caladea;Cambria" w:hAnsi="Caladea;Cambria" w:cs="Caladea;Cambria"/>
        </w:rPr>
        <w:t xml:space="preserve">PENILAIAN</w:t>
      </w:r>
      <w:r>
        <w:rPr>
          <w:rFonts w:ascii="Caladea;Cambria" w:hAnsi="Caladea;Cambria" w:cs="Caladea;Cambria"/>
        </w:rPr>
      </w:r>
    </w:p>
    <w:p>
      <w:pPr>
        <w:pStyle w:val="699"/>
        <w:pBdr/>
        <w:bidi w:val="false"/>
        <w:spacing/>
        <w:ind w:right="0"/>
        <w:jc w:val="left"/>
        <w:rPr/>
      </w:pPr>
      <w:r>
        <w:rPr>
          <w:rFonts w:cs="Caladea;Cambria"/>
          <w:sz w:val="21"/>
          <w:szCs w:val="21"/>
        </w:rPr>
        <w:t xml:space="preserve">A. Penilaian Sikap</w:t>
      </w:r>
      <w:r/>
    </w:p>
    <w:p>
      <w:pPr>
        <w:pStyle w:val="725"/>
        <w:numPr>
          <w:ilvl w:val="0"/>
          <w:numId w:val="4"/>
        </w:numPr>
        <w:pBdr/>
        <w:spacing/>
        <w:ind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Teknik : Jurnal</w:t>
      </w:r>
      <w:r/>
    </w:p>
    <w:p>
      <w:pPr>
        <w:pStyle w:val="725"/>
        <w:numPr>
          <w:ilvl w:val="0"/>
          <w:numId w:val="4"/>
        </w:numPr>
        <w:pBdr/>
        <w:spacing/>
        <w:ind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Bentuk Instrumen: Lembar Pengamatan.</w:t>
      </w:r>
      <w:r/>
    </w:p>
    <w:p>
      <w:pPr>
        <w:pStyle w:val="699"/>
        <w:pBdr/>
        <w:bidi w:val="false"/>
        <w:spacing/>
        <w:ind w:right="0"/>
        <w:jc w:val="left"/>
        <w:rPr/>
      </w:pPr>
      <w:r>
        <w:rPr>
          <w:rFonts w:cs="Caladea;Cambria"/>
          <w:sz w:val="21"/>
          <w:szCs w:val="21"/>
        </w:rPr>
        <w:t xml:space="preserve">B. Penilaian Pengetahuan dan Keterampilan</w:t>
      </w:r>
      <w:r/>
    </w:p>
    <w:p>
      <w:pPr>
        <w:pStyle w:val="725"/>
        <w:numPr>
          <w:ilvl w:val="0"/>
          <w:numId w:val="5"/>
        </w:numPr>
        <w:pBdr/>
        <w:bidi w:val="false"/>
        <w:spacing/>
        <w:ind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Teknik : Penugasan Individu dan Kelompok.</w:t>
      </w:r>
      <w:r/>
    </w:p>
    <w:p>
      <w:pPr>
        <w:pStyle w:val="725"/>
        <w:numPr>
          <w:ilvl w:val="0"/>
          <w:numId w:val="5"/>
        </w:numPr>
        <w:pBdr/>
        <w:bidi w:val="false"/>
        <w:spacing/>
        <w:ind/>
        <w:jc w:val="both"/>
        <w:rPr/>
      </w:pPr>
      <w:r>
        <w:rPr>
          <w:rFonts w:ascii="Caladea;Cambria" w:hAnsi="Caladea;Cambria" w:cs="Caladea;Cambria"/>
          <w:sz w:val="20"/>
          <w:szCs w:val="20"/>
        </w:rPr>
        <w:t xml:space="preserve">Bentuk Instrumen: Soal Pilihan Ganda, Soal Uraian, dan Proyek.</w:t>
      </w:r>
      <w:r/>
    </w:p>
    <w:p>
      <w:pPr>
        <w:pStyle w:val="718"/>
        <w:pBdr/>
        <w:spacing/>
        <w:ind w:right="0"/>
        <w:jc w:val="both"/>
        <w:rPr>
          <w:rFonts w:ascii="Caladea;Cambria" w:hAnsi="Caladea;Cambria" w:cs="Caladea;Cambria"/>
          <w:sz w:val="20"/>
          <w:szCs w:val="20"/>
        </w:rPr>
      </w:pPr>
      <w:r>
        <w:rPr>
          <w:rFonts w:ascii="Caladea;Cambria" w:hAnsi="Caladea;Cambria" w:cs="Caladea;Cambria"/>
          <w:sz w:val="20"/>
          <w:szCs w:val="20"/>
        </w:rPr>
      </w:r>
      <w:r>
        <w:rPr>
          <w:rFonts w:ascii="Caladea;Cambria" w:hAnsi="Caladea;Cambria" w:cs="Caladea;Cambria"/>
          <w:sz w:val="20"/>
          <w:szCs w:val="20"/>
        </w:rPr>
      </w:r>
    </w:p>
    <w:tbl>
      <w:tblPr>
        <w:tblInd w:w="0" w:type="dxa"/>
        <w:tblW w:w="6712" w:type="dxa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4"/>
        <w:gridCol w:w="3130"/>
        <w:gridCol w:w="384"/>
        <w:gridCol w:w="2974"/>
      </w:tblGrid>
      <w:tr>
        <w:trPr/>
        <w:tc>
          <w:tcPr>
            <w:tcBorders/>
            <w:tcW w:w="22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130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  <w:t xml:space="preserve">Mengetahui:</w:t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8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2974" w:type="dxa"/>
          </w:tcPr>
          <w:p>
            <w:pPr>
              <w:pStyle w:val="726"/>
              <w:pBdr/>
              <w:bidi w:val="false"/>
              <w:spacing/>
              <w:ind/>
              <w:jc w:val="left"/>
              <w:rPr/>
            </w:pPr>
            <w:r>
              <w:rPr>
                <w:rFonts w:cs="Caladea;Cambria"/>
                <w:sz w:val="20"/>
                <w:szCs w:val="20"/>
              </w:rPr>
              <w:t xml:space="preserve">Lampung Tengah, </w:t>
            </w:r>
            <w:r>
              <w:rPr>
                <w:rFonts w:cs="Caladea;Cambria"/>
                <w:b w:val="0"/>
                <w:bCs w:val="0"/>
                <w:sz w:val="20"/>
                <w:szCs w:val="20"/>
              </w:rPr>
              <w:t xml:space="preserve">15</w:t>
            </w:r>
            <w:r>
              <w:rPr>
                <w:rFonts w:cs="Caladea;Cambria"/>
                <w:sz w:val="20"/>
                <w:szCs w:val="20"/>
              </w:rPr>
              <w:t xml:space="preserve"> </w:t>
            </w:r>
            <w:r>
              <w:rPr>
                <w:rFonts w:cs="Caladea;Cambria"/>
                <w:b w:val="0"/>
                <w:bCs w:val="0"/>
                <w:sz w:val="20"/>
                <w:szCs w:val="20"/>
              </w:rPr>
              <w:t xml:space="preserve">Des</w:t>
            </w:r>
            <w:r>
              <w:rPr>
                <w:rFonts w:cs="Caladea;Cambria"/>
                <w:sz w:val="20"/>
                <w:szCs w:val="20"/>
              </w:rPr>
              <w:t xml:space="preserve"> 2021</w:t>
            </w:r>
            <w:r/>
          </w:p>
        </w:tc>
      </w:tr>
      <w:tr>
        <w:trPr/>
        <w:tc>
          <w:tcPr>
            <w:tcBorders/>
            <w:tcW w:w="22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130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  <w:t xml:space="preserve">Kepala SMP NEGERI 1 PUNGGUR</w:t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8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297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  <w:t xml:space="preserve">Guru Mata Pelajaran</w:t>
            </w:r>
            <w:r>
              <w:rPr>
                <w:rFonts w:cs="Caladea;Cambria"/>
                <w:sz w:val="20"/>
                <w:szCs w:val="20"/>
              </w:rPr>
            </w:r>
          </w:p>
        </w:tc>
      </w:tr>
      <w:tr>
        <w:trPr>
          <w:trHeight w:val="723"/>
        </w:trPr>
        <w:tc>
          <w:tcPr>
            <w:tcBorders/>
            <w:tcW w:w="22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130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8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297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2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130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b/>
                <w:bCs/>
                <w:sz w:val="20"/>
                <w:szCs w:val="20"/>
              </w:rPr>
            </w:pPr>
            <w:r>
              <w:rPr>
                <w:rFonts w:cs="Caladea;Cambria"/>
                <w:b/>
                <w:bCs/>
                <w:sz w:val="20"/>
                <w:szCs w:val="20"/>
              </w:rPr>
              <w:t xml:space="preserve">SLAMET WARDOYO, S.Pd., M.A.</w:t>
            </w:r>
            <w:r>
              <w:rPr>
                <w:rFonts w:cs="Caladea;Cambria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8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b/>
                <w:bCs/>
                <w:sz w:val="20"/>
                <w:szCs w:val="20"/>
              </w:rPr>
            </w:pPr>
            <w:r>
              <w:rPr>
                <w:rFonts w:cs="Caladea;Cambria"/>
                <w:b/>
                <w:bCs/>
                <w:sz w:val="20"/>
                <w:szCs w:val="20"/>
              </w:rPr>
            </w:r>
            <w:r>
              <w:rPr>
                <w:rFonts w:cs="Caladea;Cambria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97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b/>
                <w:bCs/>
                <w:sz w:val="20"/>
                <w:szCs w:val="20"/>
              </w:rPr>
            </w:pPr>
            <w:r>
              <w:rPr>
                <w:rFonts w:cs="Caladea;Cambria"/>
                <w:b/>
                <w:bCs/>
                <w:sz w:val="20"/>
                <w:szCs w:val="20"/>
              </w:rPr>
              <w:t xml:space="preserve">GUNANTO, S.Pd.</w:t>
            </w:r>
            <w:r>
              <w:rPr>
                <w:rFonts w:cs="Caladea;Cambria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2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130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  <w:t xml:space="preserve">NIP 19630511 198412 1 001</w:t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38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</w:r>
            <w:r>
              <w:rPr>
                <w:rFonts w:cs="Caladea;Cambria"/>
                <w:sz w:val="20"/>
                <w:szCs w:val="20"/>
              </w:rPr>
            </w:r>
          </w:p>
        </w:tc>
        <w:tc>
          <w:tcPr>
            <w:tcBorders/>
            <w:tcW w:w="2974" w:type="dxa"/>
          </w:tcPr>
          <w:p>
            <w:pPr>
              <w:pStyle w:val="726"/>
              <w:pBdr/>
              <w:bidi w:val="false"/>
              <w:spacing/>
              <w:ind/>
              <w:jc w:val="left"/>
              <w:rPr>
                <w:rFonts w:cs="Caladea;Cambria"/>
                <w:sz w:val="20"/>
                <w:szCs w:val="20"/>
              </w:rPr>
            </w:pPr>
            <w:r>
              <w:rPr>
                <w:rFonts w:cs="Caladea;Cambria"/>
                <w:sz w:val="20"/>
                <w:szCs w:val="20"/>
              </w:rPr>
              <w:t xml:space="preserve">NIP 197510102006041007</w:t>
            </w:r>
            <w:r>
              <w:rPr>
                <w:rFonts w:cs="Caladea;Cambria"/>
                <w:sz w:val="20"/>
                <w:szCs w:val="20"/>
              </w:rPr>
            </w:r>
          </w:p>
        </w:tc>
      </w:tr>
    </w:tbl>
    <w:p>
      <w:pPr>
        <w:pStyle w:val="700"/>
        <w:numPr>
          <w:ilvl w:val="2"/>
          <w:numId w:val="1"/>
        </w:numPr>
        <w:pBdr/>
        <w:bidi w:val="false"/>
        <w:spacing/>
        <w:ind w:right="0"/>
        <w:jc w:val="left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</w:r>
      <w:r>
        <w:rPr>
          <w:rFonts w:ascii="Caladea;Cambria" w:hAnsi="Caladea;Cambria" w:cs="Caladea;Cambria"/>
          <w:sz w:val="21"/>
          <w:szCs w:val="21"/>
        </w:rPr>
      </w:r>
    </w:p>
    <w:p w14:paraId="54E07F90"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  <w:highlight w:val="none"/>
        </w:rPr>
      </w:r>
      <w:r>
        <w:rPr>
          <w:rFonts w:ascii="Caladea;Cambria" w:hAnsi="Caladea;Cambria" w:cs="Caladea;Cambria"/>
          <w:sz w:val="21"/>
          <w:szCs w:val="21"/>
          <w:highlight w:val="none"/>
        </w:rPr>
      </w:r>
      <w:r>
        <w:rPr>
          <w:rFonts w:ascii="Caladea;Cambria" w:hAnsi="Caladea;Cambria" w:cs="Caladea;Cambria"/>
          <w:sz w:val="21"/>
          <w:szCs w:val="21"/>
          <w:highlight w:val="none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SEKOLAH</w:t>
      </w:r>
      <w:r/>
    </w:p>
    <w:p>
      <w:pPr>
        <w:pStyle w:val="718"/>
        <w:pBdr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SMP NEGERI 1 PUNGGUR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GURU PENGAMPU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Gunanto, S.Pd.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MATA PELAJARAN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Matematika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KELAS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VIII (Delapan)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TAHUN PELAJARAN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2021/2022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SEMESTER</w:t>
      </w:r>
      <w:r/>
    </w:p>
    <w:p>
      <w:pPr>
        <w:pStyle w:val="718"/>
        <w:pBdr/>
        <w:spacing/>
        <w:ind/>
        <w:jc w:val="both"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2 (GENAP)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KOMPETENSI DASAR</w:t>
      </w:r>
      <w:r/>
    </w:p>
    <w:p>
      <w:pPr>
        <w:pStyle w:val="718"/>
        <w:pBdr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3.6.</w:t>
        <w:tab/>
        <w:t xml:space="preserve">Menjelaskan dan membuktikan teorema Pythagoras dan tripel Pythagoras.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MATERI POKOK</w:t>
      </w:r>
      <w:r/>
    </w:p>
    <w:p>
      <w:pPr>
        <w:pStyle w:val="718"/>
        <w:pBdr/>
        <w:bidi w:val="false"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Teorema Pythagoras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SUB MATERI POKOK</w:t>
      </w:r>
      <w:r/>
    </w:p>
    <w:p>
      <w:pPr>
        <w:pStyle w:val="698"/>
        <w:pBdr/>
        <w:bidi w:val="false"/>
        <w:spacing/>
        <w:ind/>
        <w:jc w:val="left"/>
        <w:rPr>
          <w:rFonts w:ascii="Caladea;Cambria" w:hAnsi="Caladea;Cambria" w:cs="Caladea;Cambria"/>
          <w:b w:val="0"/>
          <w:bCs w:val="0"/>
          <w:sz w:val="22"/>
          <w:szCs w:val="22"/>
        </w:rPr>
      </w:pPr>
      <w:r>
        <w:rPr>
          <w:rFonts w:ascii="Caladea;Cambria" w:hAnsi="Caladea;Cambria" w:cs="Caladea;Cambria"/>
          <w:b w:val="0"/>
          <w:bCs w:val="0"/>
          <w:sz w:val="22"/>
          <w:szCs w:val="22"/>
        </w:rPr>
        <w:t xml:space="preserve">Memeriksa Kebenaran Teorema Pythagoras</w:t>
      </w:r>
      <w:r>
        <w:rPr>
          <w:rFonts w:ascii="Caladea;Cambria" w:hAnsi="Caladea;Cambria" w:cs="Caladea;Cambria"/>
          <w:b w:val="0"/>
          <w:bCs w:val="0"/>
          <w:sz w:val="22"/>
          <w:szCs w:val="22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ALOKASI WAKTU</w:t>
      </w:r>
      <w:r/>
    </w:p>
    <w:p>
      <w:pPr>
        <w:pStyle w:val="718"/>
        <w:pBdr/>
        <w:bidi w:val="false"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1 pertemuan (3 Jam Pelajaran @ 20 menit)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PELAKSANAAN KBM</w:t>
      </w:r>
      <w:r/>
    </w:p>
    <w:p>
      <w:pPr>
        <w:pStyle w:val="718"/>
        <w:pBdr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  <w:t xml:space="preserve">Pekan 1 (Jan 2022)</w:t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FOKUS KARAKTER</w:t>
      </w:r>
      <w:r/>
    </w:p>
    <w:p>
      <w:pPr>
        <w:pStyle w:val="718"/>
        <w:pBdr/>
        <w:bidi w:val="false"/>
        <w:spacing/>
        <w:ind/>
        <w:rPr/>
      </w:pPr>
      <w:r>
        <w:rPr>
          <w:rFonts w:ascii="Caladea;Cambria" w:hAnsi="Caladea;Cambria" w:cs="Caladea;Cambria"/>
          <w:sz w:val="21"/>
          <w:szCs w:val="21"/>
        </w:rPr>
        <w:t xml:space="preserve">Sikap </w:t>
      </w:r>
      <w:r>
        <w:rPr>
          <w:rFonts w:ascii="Caladea;Cambria" w:hAnsi="Caladea;Cambria" w:cs="Caladea;Cambria"/>
          <w:sz w:val="20"/>
          <w:szCs w:val="20"/>
        </w:rPr>
        <w:t xml:space="preserve">rasa ingin tahu</w:t>
      </w:r>
      <w:r>
        <w:rPr>
          <w:rFonts w:ascii="Caladea;Cambria" w:hAnsi="Caladea;Cambria" w:eastAsia="Arial" w:cs="Caladea;Cambria"/>
          <w:b w:val="0"/>
          <w:bCs w:val="0"/>
          <w:sz w:val="21"/>
          <w:szCs w:val="21"/>
        </w:rPr>
        <w:t xml:space="preserve">.</w:t>
      </w:r>
      <w:r/>
    </w:p>
    <w:p>
      <w:pPr>
        <w:pStyle w:val="700"/>
        <w:pBdr/>
        <w:bidi w:val="false"/>
        <w:spacing/>
        <w:ind w:right="0"/>
        <w:jc w:val="left"/>
        <w:rPr/>
      </w:pPr>
      <w:r>
        <w:rPr>
          <w:rFonts w:ascii="Caladea;Cambria" w:hAnsi="Caladea;Cambria" w:cs="Caladea;Cambria"/>
          <w:sz w:val="21"/>
          <w:szCs w:val="21"/>
        </w:rPr>
        <w:t xml:space="preserve">MODEL PEMBELAJARAN</w:t>
      </w:r>
      <w:r/>
      <w:r>
        <w:rPr>
          <w:rFonts w:ascii="Caladea;Cambria" w:hAnsi="Caladea;Cambria" w:cs="Caladea;Cambria"/>
          <w:sz w:val="21"/>
          <w:szCs w:val="21"/>
        </w:rPr>
      </w:r>
      <w:r/>
    </w:p>
    <w:p>
      <w:pPr>
        <w:pStyle w:val="718"/>
        <w:pBdr/>
        <w:bidi w:val="false"/>
        <w:spacing/>
        <w:ind/>
        <w:rPr/>
      </w:pPr>
      <w:r>
        <w:rPr>
          <w:rFonts w:ascii="Caladea;Cambria" w:hAnsi="Caladea;Cambria" w:cs="Caladea;Cambria"/>
          <w:i/>
          <w:iCs/>
          <w:sz w:val="20"/>
          <w:szCs w:val="20"/>
        </w:rPr>
        <w:t xml:space="preserve">Discovery learning</w:t>
      </w:r>
      <w:r>
        <w:rPr>
          <w:rFonts w:ascii="Caladea;Cambria" w:hAnsi="Caladea;Cambria" w:cs="Caladea;Cambria"/>
          <w:sz w:val="21"/>
          <w:szCs w:val="21"/>
        </w:rPr>
        <w:t xml:space="preserve"> </w:t>
      </w:r>
      <w:r/>
    </w:p>
    <w:p>
      <w:pPr>
        <w:pStyle w:val="718"/>
        <w:pBdr/>
        <w:spacing/>
        <w:ind/>
        <w:rPr>
          <w:rFonts w:ascii="Caladea;Cambria" w:hAnsi="Caladea;Cambria" w:cs="Caladea;Cambria"/>
          <w:sz w:val="21"/>
          <w:szCs w:val="21"/>
        </w:rPr>
      </w:pPr>
      <w:r>
        <w:rPr>
          <w:rFonts w:ascii="Caladea;Cambria" w:hAnsi="Caladea;Cambria" w:cs="Caladea;Cambria"/>
          <w:sz w:val="21"/>
          <w:szCs w:val="21"/>
        </w:rPr>
      </w:r>
      <w:r>
        <w:rPr>
          <w:rFonts w:ascii="Caladea;Cambria" w:hAnsi="Caladea;Cambria" w:cs="Caladea;Cambria"/>
          <w:sz w:val="21"/>
          <w:szCs w:val="21"/>
        </w:rPr>
      </w:r>
    </w:p>
    <w:p>
      <w:pPr>
        <w:pStyle w:val="718"/>
        <w:pBdr/>
        <w:spacing/>
        <w:ind/>
        <w:rPr/>
      </w:pPr>
      <w:r>
        <w:rPr>
          <w:rStyle w:val="701"/>
          <w:rFonts w:ascii="Caladea;Cambria" w:hAnsi="Caladea;Cambria" w:cs="Caladea;Cambria"/>
          <w:sz w:val="21"/>
          <w:szCs w:val="21"/>
        </w:rPr>
        <w:t xml:space="preserve">Catatan:</w:t>
      </w:r>
      <w:r/>
    </w:p>
    <w:p>
      <w:pPr>
        <w:pStyle w:val="718"/>
        <w:pBdr/>
        <w:spacing/>
        <w:ind/>
        <w:rPr/>
      </w:pPr>
      <w:r>
        <w:rPr>
          <w:rStyle w:val="701"/>
          <w:rFonts w:ascii="Caladea;Cambria" w:hAnsi="Caladea;Cambria" w:cs="Caladea;Cambria"/>
          <w:sz w:val="14"/>
          <w:szCs w:val="14"/>
        </w:rPr>
        <w:t xml:space="preserve">-</w:t>
      </w:r>
      <w:bookmarkStart w:id="2" w:name="_PictureBullets"/>
      <w:r/>
      <w:bookmarkEnd w:id="2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850" w:right="850" w:bottom="1068" w:left="1701" w:header="720" w:footer="850" w:gutter="0"/>
      <w:cols w:num="2" w:sep="0" w:space="1701" w:equalWidth="0">
        <w:col w:w="6712" w:space="282"/>
        <w:col w:w="236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;Times New Roman">
    <w:panose1 w:val="02020603050405020304"/>
  </w:font>
  <w:font w:name="Noto Sans CJK SC">
    <w:panose1 w:val="020B0500000000000000"/>
  </w:font>
  <w:font w:name="Symbol">
    <w:panose1 w:val="05010000000000000000"/>
  </w:font>
  <w:font w:name="Lohit Devanagari">
    <w:panose1 w:val="02020503060805020204"/>
  </w:font>
  <w:font w:name="Courier New">
    <w:panose1 w:val="02070409020205020404"/>
  </w:font>
  <w:font w:name="Gentium">
    <w:panose1 w:val="02000503060000020004"/>
  </w:font>
  <w:font w:name="Caladea;Cambria">
    <w:panose1 w:val="02040503050406030204"/>
  </w:font>
  <w:font w:name="Noto Sans CJK SC Regular">
    <w:panose1 w:val="020B0500000000000000"/>
  </w:font>
  <w:font w:name="Arial">
    <w:panose1 w:val="020B0604020202020204"/>
  </w:font>
  <w:font w:name="Liberation Sans">
    <w:panose1 w:val="020B0604020202020204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Source Han Sans CN Regular">
    <w:panose1 w:val="02020503060805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0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8"/>
      <w:pBdr/>
      <w:bidi w:val="false"/>
      <w:spacing/>
      <w:ind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99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700"/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979"/>
        </w:tabs>
        <w:spacing/>
        <w:ind w:hanging="360" w:left="979"/>
      </w:pPr>
      <w:rPr>
        <w:rFonts w:ascii="Gentium" w:hAnsi="Gentium" w:cs="Gentium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339"/>
        </w:tabs>
        <w:spacing/>
        <w:ind w:hanging="360" w:left="1339"/>
      </w:pPr>
      <w:rPr>
        <w:rFonts w:ascii="Gentium" w:hAnsi="Gentium" w:cs="Gentium"/>
        <w:sz w:val="22"/>
        <w:szCs w:val="22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699"/>
        </w:tabs>
        <w:spacing/>
        <w:ind w:hanging="360" w:left="1699"/>
      </w:pPr>
      <w:rPr>
        <w:rFonts w:ascii="Gentium" w:hAnsi="Gentium" w:cs="Gentium"/>
        <w:sz w:val="22"/>
        <w:szCs w:val="22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059"/>
        </w:tabs>
        <w:spacing/>
        <w:ind w:hanging="360" w:left="2059"/>
      </w:pPr>
      <w:rPr>
        <w:rFonts w:ascii="Gentium" w:hAnsi="Gentium" w:cs="Gentium"/>
        <w:sz w:val="22"/>
        <w:szCs w:val="22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419"/>
        </w:tabs>
        <w:spacing/>
        <w:ind w:hanging="360" w:left="2419"/>
      </w:pPr>
      <w:rPr>
        <w:rFonts w:ascii="Gentium" w:hAnsi="Gentium" w:cs="Gentium"/>
        <w:sz w:val="22"/>
        <w:szCs w:val="22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779"/>
        </w:tabs>
        <w:spacing/>
        <w:ind w:hanging="360" w:left="2779"/>
      </w:pPr>
      <w:rPr>
        <w:rFonts w:ascii="Gentium" w:hAnsi="Gentium" w:cs="Gentium"/>
        <w:sz w:val="22"/>
        <w:szCs w:val="22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3139"/>
        </w:tabs>
        <w:spacing/>
        <w:ind w:hanging="360" w:left="3139"/>
      </w:pPr>
      <w:rPr>
        <w:rFonts w:ascii="Gentium" w:hAnsi="Gentium" w:cs="Gentium"/>
        <w:sz w:val="22"/>
        <w:szCs w:val="22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499"/>
        </w:tabs>
        <w:spacing/>
        <w:ind w:hanging="360" w:left="3499"/>
      </w:pPr>
      <w:rPr>
        <w:rFonts w:ascii="Gentium" w:hAnsi="Gentium" w:cs="Gentium"/>
        <w:sz w:val="22"/>
        <w:szCs w:val="22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859"/>
        </w:tabs>
        <w:spacing/>
        <w:ind w:hanging="360" w:left="3859"/>
      </w:pPr>
      <w:rPr>
        <w:rFonts w:ascii="Gentium" w:hAnsi="Gentium" w:cs="Gentium"/>
        <w:sz w:val="22"/>
        <w:szCs w:val="22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ascii="Caladea;Cambria" w:hAnsi="Caladea;Cambria" w:cs="Caladea;Cambria"/>
        <w:color w:val="auto"/>
        <w:sz w:val="18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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  <w:sz w:val="20"/>
        <w:szCs w:val="20"/>
      </w:rPr>
      <w:start w:val="1"/>
      <w:suff w:val="tab"/>
    </w:lvl>
  </w:abstractNum>
  <w:abstractNum w:abstractNumId="4">
    <w:lvl w:ilvl="0">
      <w:isLgl w:val="false"/>
      <w:lvlJc w:val="left"/>
      <w:lvlText w:val="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id-ID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8"/>
    <w:next w:val="69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98"/>
    <w:next w:val="69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98"/>
    <w:next w:val="6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1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character" w:styleId="179">
    <w:name w:val="Footer Char"/>
    <w:basedOn w:val="701"/>
    <w:link w:val="720"/>
    <w:uiPriority w:val="99"/>
    <w:pPr>
      <w:pBdr/>
      <w:spacing/>
      <w:ind/>
    </w:p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id-ID" w:eastAsia="zh-CN" w:bidi="hi-IN"/>
    </w:rPr>
  </w:style>
  <w:style w:type="paragraph" w:styleId="699">
    <w:name w:val="Heading 2"/>
    <w:basedOn w:val="713"/>
    <w:next w:val="714"/>
    <w:qFormat/>
    <w:pPr>
      <w:numPr>
        <w:ilvl w:val="1"/>
        <w:numId w:val="1"/>
      </w:numPr>
      <w:pBdr/>
      <w:spacing w:after="57" w:before="85"/>
      <w:ind w:right="0" w:firstLine="0" w:left="0"/>
      <w:jc w:val="left"/>
      <w:outlineLvl w:val="1"/>
    </w:pPr>
    <w:rPr>
      <w:rFonts w:ascii="Caladea;Cambria" w:hAnsi="Caladea;Cambria" w:cs="Caladea;Cambria"/>
      <w:b/>
      <w:bCs/>
      <w:color w:val="069a2e"/>
      <w:sz w:val="28"/>
      <w:szCs w:val="32"/>
    </w:rPr>
  </w:style>
  <w:style w:type="paragraph" w:styleId="700">
    <w:name w:val="Heading 4"/>
    <w:basedOn w:val="713"/>
    <w:next w:val="714"/>
    <w:qFormat/>
    <w:pPr>
      <w:numPr>
        <w:ilvl w:val="3"/>
        <w:numId w:val="1"/>
      </w:numPr>
      <w:pBdr/>
      <w:spacing w:after="6" w:before="176"/>
      <w:ind w:right="0" w:firstLine="0" w:left="0"/>
      <w:jc w:val="left"/>
      <w:outlineLvl w:val="3"/>
    </w:pPr>
    <w:rPr>
      <w:b/>
      <w:bCs/>
      <w:i/>
      <w:iCs/>
      <w:color w:val="acb20c"/>
      <w:sz w:val="25"/>
      <w:szCs w:val="27"/>
    </w:rPr>
  </w:style>
  <w:style w:type="character" w:styleId="701" w:default="1">
    <w:name w:val="Default Paragraph Font"/>
    <w:qFormat/>
    <w:pPr>
      <w:pBdr/>
      <w:spacing/>
      <w:ind/>
    </w:pPr>
  </w:style>
  <w:style w:type="character" w:styleId="702">
    <w:name w:val="WW8Num13z0"/>
    <w:qFormat/>
    <w:pPr>
      <w:pBdr/>
      <w:spacing/>
      <w:ind/>
    </w:pPr>
    <w:rPr>
      <w:rFonts w:ascii="Gentium" w:hAnsi="Gentium" w:cs="Gentium"/>
      <w:sz w:val="22"/>
      <w:szCs w:val="22"/>
    </w:rPr>
  </w:style>
  <w:style w:type="character" w:styleId="703">
    <w:name w:val="WW8Num10z0"/>
    <w:qFormat/>
    <w:pPr>
      <w:pBdr/>
      <w:spacing/>
      <w:ind/>
    </w:pPr>
    <w:rPr>
      <w:rFonts w:ascii="Caladea;Cambria" w:hAnsi="Caladea;Cambria" w:cs="Caladea;Cambria"/>
      <w:color w:val="auto"/>
      <w:sz w:val="18"/>
      <w:szCs w:val="20"/>
    </w:rPr>
  </w:style>
  <w:style w:type="character" w:styleId="704">
    <w:name w:val="WW8Num10z1"/>
    <w:qFormat/>
    <w:pPr>
      <w:pBdr/>
      <w:spacing/>
      <w:ind/>
    </w:pPr>
    <w:rPr>
      <w:rFonts w:ascii="Courier New" w:hAnsi="Courier New" w:cs="Courier New"/>
    </w:rPr>
  </w:style>
  <w:style w:type="character" w:styleId="705">
    <w:name w:val="WW8Num10z2"/>
    <w:qFormat/>
    <w:pPr>
      <w:pBdr/>
      <w:spacing/>
      <w:ind/>
    </w:pPr>
    <w:rPr>
      <w:rFonts w:ascii="Wingdings" w:hAnsi="Wingdings" w:cs="Wingdings"/>
    </w:rPr>
  </w:style>
  <w:style w:type="character" w:styleId="706">
    <w:name w:val="WW8Num10z3"/>
    <w:qFormat/>
    <w:pPr>
      <w:pBdr/>
      <w:spacing/>
      <w:ind/>
    </w:pPr>
    <w:rPr>
      <w:rFonts w:ascii="Symbol" w:hAnsi="Symbol" w:cs="Symbol"/>
    </w:rPr>
  </w:style>
  <w:style w:type="character" w:styleId="707">
    <w:name w:val="WW8Num11z0"/>
    <w:qFormat/>
    <w:pPr>
      <w:pBdr/>
      <w:spacing/>
      <w:ind/>
    </w:pPr>
    <w:rPr>
      <w:rFonts w:ascii="Wingdings" w:hAnsi="Wingdings" w:cs="Wingdings"/>
      <w:sz w:val="20"/>
      <w:szCs w:val="20"/>
    </w:rPr>
  </w:style>
  <w:style w:type="character" w:styleId="708">
    <w:name w:val="WW8Num11z1"/>
    <w:qFormat/>
    <w:pPr>
      <w:pBdr/>
      <w:spacing/>
      <w:ind/>
    </w:pPr>
    <w:rPr>
      <w:rFonts w:ascii="Courier New" w:hAnsi="Courier New" w:cs="Courier New"/>
    </w:rPr>
  </w:style>
  <w:style w:type="character" w:styleId="709">
    <w:name w:val="WW8Num11z3"/>
    <w:qFormat/>
    <w:pPr>
      <w:pBdr/>
      <w:spacing/>
      <w:ind/>
    </w:pPr>
    <w:rPr>
      <w:rFonts w:ascii="Symbol" w:hAnsi="Symbol" w:cs="Symbol"/>
    </w:rPr>
  </w:style>
  <w:style w:type="character" w:styleId="710">
    <w:name w:val="WW8Num12z0"/>
    <w:qFormat/>
    <w:pPr>
      <w:pBdr/>
      <w:spacing/>
      <w:ind/>
    </w:pPr>
    <w:rPr>
      <w:rFonts w:ascii="Wingdings" w:hAnsi="Wingdings" w:cs="Wingdings"/>
      <w:sz w:val="20"/>
      <w:szCs w:val="20"/>
    </w:rPr>
  </w:style>
  <w:style w:type="character" w:styleId="711">
    <w:name w:val="WW8Num12z1"/>
    <w:qFormat/>
    <w:pPr>
      <w:pBdr/>
      <w:spacing/>
      <w:ind/>
    </w:pPr>
    <w:rPr>
      <w:rFonts w:ascii="Courier New" w:hAnsi="Courier New" w:cs="Courier New"/>
    </w:rPr>
  </w:style>
  <w:style w:type="character" w:styleId="712">
    <w:name w:val="WW8Num12z3"/>
    <w:qFormat/>
    <w:pPr>
      <w:pBdr/>
      <w:spacing/>
      <w:ind/>
    </w:pPr>
    <w:rPr>
      <w:rFonts w:ascii="Symbol" w:hAnsi="Symbol" w:cs="Symbol"/>
    </w:rPr>
  </w:style>
  <w:style w:type="paragraph" w:styleId="713">
    <w:name w:val="Heading"/>
    <w:basedOn w:val="698"/>
    <w:next w:val="71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14">
    <w:name w:val="Body Text"/>
    <w:basedOn w:val="698"/>
    <w:pPr>
      <w:pBdr/>
      <w:spacing w:after="140" w:before="0" w:line="276" w:lineRule="auto"/>
      <w:ind/>
    </w:pPr>
  </w:style>
  <w:style w:type="paragraph" w:styleId="715">
    <w:name w:val="List"/>
    <w:basedOn w:val="714"/>
    <w:pPr>
      <w:pBdr/>
      <w:spacing/>
      <w:ind/>
    </w:pPr>
    <w:rPr>
      <w:rFonts w:cs="Noto Sans Devanagari"/>
    </w:rPr>
  </w:style>
  <w:style w:type="paragraph" w:styleId="716">
    <w:name w:val="Caption"/>
    <w:basedOn w:val="698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17">
    <w:name w:val="Index"/>
    <w:basedOn w:val="698"/>
    <w:qFormat/>
    <w:pPr>
      <w:suppressLineNumbers w:val="true"/>
      <w:pBdr/>
      <w:spacing/>
      <w:ind/>
    </w:pPr>
    <w:rPr>
      <w:rFonts w:cs="Noto Sans Devanagari"/>
    </w:rPr>
  </w:style>
  <w:style w:type="paragraph" w:styleId="718">
    <w:name w:val="LO-Normal1"/>
    <w:qFormat/>
    <w:pPr>
      <w:widowControl w:val="false"/>
      <w:pBdr/>
      <w:bidi w:val="false"/>
      <w:spacing/>
      <w:ind/>
    </w:pPr>
    <w:rPr>
      <w:rFonts w:ascii="Liberation Serif;Times New Roman" w:hAnsi="Liberation Serif;Times New Roman" w:eastAsia="Source Han Sans CN Regular" w:cs="Lohit Devanagari"/>
      <w:color w:val="auto"/>
      <w:sz w:val="14"/>
      <w:szCs w:val="22"/>
      <w:lang w:val="en-US" w:eastAsia="en-US" w:bidi="ar-SA"/>
    </w:rPr>
  </w:style>
  <w:style w:type="paragraph" w:styleId="719">
    <w:name w:val="Title"/>
    <w:basedOn w:val="713"/>
    <w:next w:val="714"/>
    <w:qFormat/>
    <w:pPr>
      <w:pBdr/>
      <w:spacing w:after="0" w:before="0"/>
      <w:ind/>
      <w:jc w:val="right"/>
    </w:pPr>
    <w:rPr>
      <w:rFonts w:ascii="Gentium" w:hAnsi="Gentium" w:cs="Gentium"/>
      <w:b/>
      <w:bCs/>
      <w:color w:val="ff8000"/>
      <w:sz w:val="32"/>
      <w:szCs w:val="56"/>
    </w:rPr>
  </w:style>
  <w:style w:type="paragraph" w:styleId="720">
    <w:name w:val="Footer"/>
    <w:basedOn w:val="718"/>
    <w:pPr>
      <w:pBdr/>
      <w:tabs>
        <w:tab w:val="clear" w:leader="none" w:pos="709"/>
        <w:tab w:val="center" w:leader="none" w:pos="4680"/>
        <w:tab w:val="right" w:leader="none" w:pos="9360"/>
      </w:tabs>
      <w:spacing/>
      <w:ind/>
    </w:pPr>
  </w:style>
  <w:style w:type="paragraph" w:styleId="721">
    <w:name w:val="0-JUDUL"/>
    <w:basedOn w:val="698"/>
    <w:next w:val="723"/>
    <w:qFormat/>
    <w:pPr>
      <w:pBdr/>
      <w:spacing/>
      <w:ind w:right="227" w:firstLine="0" w:left="0"/>
      <w:jc w:val="center"/>
    </w:pPr>
    <w:rPr>
      <w:rFonts w:ascii="Gentium" w:hAnsi="Gentium" w:cs="Gentium"/>
      <w:b/>
      <w:color w:val="158466"/>
      <w:sz w:val="30"/>
    </w:rPr>
  </w:style>
  <w:style w:type="paragraph" w:styleId="722">
    <w:name w:val="0-Rata Kanan"/>
    <w:basedOn w:val="698"/>
    <w:qFormat/>
    <w:pPr>
      <w:pBdr/>
      <w:spacing/>
      <w:ind/>
      <w:jc w:val="right"/>
    </w:pPr>
    <w:rPr>
      <w:rFonts w:ascii="Gentium" w:hAnsi="Gentium" w:cs="Gentium"/>
      <w:sz w:val="22"/>
    </w:rPr>
  </w:style>
  <w:style w:type="paragraph" w:styleId="723">
    <w:name w:val="0-Rata Kiri"/>
    <w:basedOn w:val="722"/>
    <w:qFormat/>
    <w:pPr>
      <w:pBdr/>
      <w:spacing/>
      <w:ind/>
      <w:jc w:val="left"/>
    </w:pPr>
  </w:style>
  <w:style w:type="paragraph" w:styleId="724">
    <w:name w:val="0-SUBJUDUL"/>
    <w:basedOn w:val="721"/>
    <w:qFormat/>
    <w:pPr>
      <w:pBdr>
        <w:bottom w:val="single" w:color="ffbf00" w:sz="12" w:space="1"/>
      </w:pBdr>
      <w:spacing w:after="0" w:before="113"/>
      <w:ind w:right="0" w:firstLine="0" w:left="0"/>
      <w:jc w:val="left"/>
    </w:pPr>
    <w:rPr>
      <w:rFonts w:ascii="Gentium" w:hAnsi="Gentium" w:cs="Gentium"/>
      <w:b/>
      <w:color w:val="468a1a"/>
      <w:sz w:val="26"/>
    </w:rPr>
  </w:style>
  <w:style w:type="paragraph" w:styleId="725">
    <w:name w:val="List Paragraph"/>
    <w:basedOn w:val="718"/>
    <w:qFormat/>
    <w:pPr>
      <w:pBdr/>
      <w:spacing/>
      <w:ind w:right="0" w:firstLine="0" w:left="720"/>
    </w:pPr>
    <w:rPr>
      <w:sz w:val="18"/>
    </w:rPr>
  </w:style>
  <w:style w:type="paragraph" w:styleId="726">
    <w:name w:val="Table Contents"/>
    <w:basedOn w:val="698"/>
    <w:qFormat/>
    <w:pPr>
      <w:suppressLineNumbers w:val="true"/>
      <w:pBdr/>
      <w:spacing/>
      <w:ind/>
      <w:jc w:val="left"/>
    </w:pPr>
    <w:rPr>
      <w:rFonts w:ascii="Caladea;Cambria" w:hAnsi="Caladea;Cambria" w:cs="Caladea;Cambria"/>
      <w:sz w:val="20"/>
    </w:rPr>
  </w:style>
  <w:style w:type="numbering" w:styleId="727">
    <w:name w:val="WW8Num13"/>
    <w:qFormat/>
    <w:pPr>
      <w:pBdr/>
      <w:spacing/>
      <w:ind/>
    </w:pPr>
  </w:style>
  <w:style w:type="numbering" w:styleId="728">
    <w:name w:val="WW8Num10"/>
    <w:qFormat/>
    <w:pPr>
      <w:pBdr/>
      <w:spacing/>
      <w:ind/>
    </w:pPr>
  </w:style>
  <w:style w:type="numbering" w:styleId="729">
    <w:name w:val="WW8Num11"/>
    <w:qFormat/>
    <w:pPr>
      <w:pBdr/>
      <w:spacing/>
      <w:ind/>
    </w:pPr>
  </w:style>
  <w:style w:type="numbering" w:styleId="730">
    <w:name w:val="WW8Num12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id-ID</dc:language>
  <cp:revision>2</cp:revision>
  <dcterms:created xsi:type="dcterms:W3CDTF">2026-06-27T17:33:19Z</dcterms:created>
  <dcterms:modified xsi:type="dcterms:W3CDTF">2026-06-29T21:37:05Z</dcterms:modified>
</cp:coreProperties>
</file>