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17D" w:rsidRPr="007C1311" w:rsidRDefault="00073557" w:rsidP="009776E5">
      <w:pPr>
        <w:spacing w:line="360" w:lineRule="auto"/>
        <w:rPr>
          <w:rFonts w:cs="Times New Roman"/>
          <w:b/>
          <w:u w:val="single"/>
        </w:rPr>
      </w:pPr>
      <w:r w:rsidRPr="004D278F">
        <w:rPr>
          <w:rFonts w:cs="Times New Roman"/>
        </w:rPr>
        <w:t xml:space="preserve">                             </w:t>
      </w:r>
      <w:r w:rsidR="00C0769E" w:rsidRPr="004D278F">
        <w:rPr>
          <w:rFonts w:cs="Times New Roman"/>
        </w:rPr>
        <w:t xml:space="preserve">              </w:t>
      </w:r>
      <w:r w:rsidRPr="004D278F">
        <w:rPr>
          <w:rFonts w:cs="Times New Roman"/>
        </w:rPr>
        <w:t xml:space="preserve"> </w:t>
      </w:r>
      <w:r w:rsidR="007C1311">
        <w:rPr>
          <w:rFonts w:cs="Times New Roman"/>
        </w:rPr>
        <w:t xml:space="preserve">                             </w:t>
      </w:r>
      <w:r w:rsidR="007C1311" w:rsidRPr="007C1311">
        <w:rPr>
          <w:rFonts w:cs="Times New Roman"/>
          <w:b/>
          <w:u w:val="single"/>
        </w:rPr>
        <w:t>SAMPLE</w:t>
      </w:r>
      <w:r w:rsidRPr="007C1311">
        <w:rPr>
          <w:rFonts w:cs="Times New Roman"/>
          <w:b/>
          <w:u w:val="single"/>
        </w:rPr>
        <w:t xml:space="preserve"> QUESTIONS</w:t>
      </w:r>
    </w:p>
    <w:p w:rsidR="00073557" w:rsidRPr="004D278F" w:rsidRDefault="00073557" w:rsidP="009776E5">
      <w:pPr>
        <w:pStyle w:val="ListParagraph"/>
        <w:numPr>
          <w:ilvl w:val="0"/>
          <w:numId w:val="1"/>
        </w:numPr>
        <w:spacing w:line="360" w:lineRule="auto"/>
        <w:rPr>
          <w:rFonts w:cs="Times New Roman"/>
          <w:b/>
        </w:rPr>
      </w:pPr>
      <w:r w:rsidRPr="004D278F">
        <w:rPr>
          <w:rFonts w:cs="Times New Roman"/>
          <w:b/>
        </w:rPr>
        <w:t>What is a balance sheet?</w:t>
      </w:r>
    </w:p>
    <w:p w:rsidR="00073557" w:rsidRPr="004D278F" w:rsidRDefault="00073557" w:rsidP="009776E5">
      <w:pPr>
        <w:pStyle w:val="ListParagraph"/>
        <w:spacing w:line="360" w:lineRule="auto"/>
        <w:rPr>
          <w:rFonts w:cs="Times New Roman"/>
        </w:rPr>
      </w:pPr>
    </w:p>
    <w:p w:rsidR="00073557" w:rsidRPr="004D278F" w:rsidRDefault="00073557" w:rsidP="009776E5">
      <w:pPr>
        <w:pStyle w:val="ListParagraph"/>
        <w:spacing w:line="360" w:lineRule="auto"/>
        <w:rPr>
          <w:rFonts w:cs="Times New Roman"/>
          <w:b/>
        </w:rPr>
      </w:pPr>
      <w:r w:rsidRPr="004D278F">
        <w:rPr>
          <w:rFonts w:cs="Times New Roman"/>
        </w:rPr>
        <w:t>A financial statement that summarizes a company's assets, liabilities and shareholders' equity at a specific point in time. These three balance sheet segments give investors an idea as to what the company owns and owes, as well as the amount invested by the shareholders.</w:t>
      </w:r>
      <w:r w:rsidRPr="004D278F">
        <w:rPr>
          <w:rFonts w:cs="Times New Roman"/>
        </w:rPr>
        <w:br/>
      </w:r>
      <w:r w:rsidRPr="004D278F">
        <w:rPr>
          <w:rFonts w:cs="Times New Roman"/>
        </w:rPr>
        <w:br/>
        <w:t>The balance sheet mu</w:t>
      </w:r>
      <w:r w:rsidR="00591090" w:rsidRPr="004D278F">
        <w:rPr>
          <w:rFonts w:cs="Times New Roman"/>
        </w:rPr>
        <w:t>st follow the following formula</w:t>
      </w:r>
      <w:r w:rsidRPr="004D278F">
        <w:rPr>
          <w:rFonts w:cs="Times New Roman"/>
        </w:rPr>
        <w:br/>
      </w:r>
      <w:r w:rsidRPr="004D278F">
        <w:rPr>
          <w:rFonts w:cs="Times New Roman"/>
        </w:rPr>
        <w:br/>
      </w:r>
      <w:r w:rsidRPr="004D278F">
        <w:rPr>
          <w:rFonts w:cs="Times New Roman"/>
          <w:b/>
        </w:rPr>
        <w:t>Assets = Liabilities + Shareholders' Equity</w:t>
      </w:r>
    </w:p>
    <w:p w:rsidR="00073557" w:rsidRPr="004D278F" w:rsidRDefault="00473096" w:rsidP="00473096">
      <w:pPr>
        <w:pStyle w:val="ListParagraph"/>
        <w:tabs>
          <w:tab w:val="left" w:pos="5865"/>
        </w:tabs>
        <w:spacing w:line="360" w:lineRule="auto"/>
        <w:rPr>
          <w:rFonts w:cs="Times New Roman"/>
        </w:rPr>
      </w:pPr>
      <w:r w:rsidRPr="004D278F">
        <w:rPr>
          <w:rFonts w:cs="Times New Roman"/>
        </w:rPr>
        <w:tab/>
      </w:r>
    </w:p>
    <w:p w:rsidR="00073557" w:rsidRPr="004D278F" w:rsidRDefault="00761CBC" w:rsidP="009776E5">
      <w:pPr>
        <w:pStyle w:val="ListParagraph"/>
        <w:spacing w:line="360" w:lineRule="auto"/>
        <w:rPr>
          <w:rFonts w:cs="Times New Roman"/>
        </w:rPr>
      </w:pPr>
      <w:r w:rsidRPr="004D278F">
        <w:rPr>
          <w:rFonts w:cs="Times New Roman"/>
        </w:rPr>
        <w:t>A</w:t>
      </w:r>
      <w:r w:rsidR="00073557" w:rsidRPr="004D278F">
        <w:rPr>
          <w:rFonts w:cs="Times New Roman"/>
        </w:rPr>
        <w:t xml:space="preserve"> statement of the assets, liabilities, and capital of a business or other organization at a particular point in time, detailing the balance of income and expenditure over the preceding period.</w:t>
      </w:r>
    </w:p>
    <w:p w:rsidR="00073557" w:rsidRPr="004D278F" w:rsidRDefault="00073557" w:rsidP="009776E5">
      <w:pPr>
        <w:pStyle w:val="ListParagraph"/>
        <w:spacing w:line="360" w:lineRule="auto"/>
        <w:rPr>
          <w:rFonts w:cs="Times New Roman"/>
        </w:rPr>
      </w:pPr>
    </w:p>
    <w:p w:rsidR="00073557" w:rsidRPr="004D278F" w:rsidRDefault="00C0769E" w:rsidP="009776E5">
      <w:pPr>
        <w:pStyle w:val="ListParagraph"/>
        <w:numPr>
          <w:ilvl w:val="0"/>
          <w:numId w:val="1"/>
        </w:numPr>
        <w:spacing w:line="360" w:lineRule="auto"/>
        <w:rPr>
          <w:rFonts w:cs="Times New Roman"/>
          <w:b/>
        </w:rPr>
      </w:pPr>
      <w:r w:rsidRPr="004D278F">
        <w:rPr>
          <w:rFonts w:cs="Times New Roman"/>
          <w:b/>
        </w:rPr>
        <w:t xml:space="preserve">What is </w:t>
      </w:r>
      <w:r w:rsidR="005318F9" w:rsidRPr="004D278F">
        <w:rPr>
          <w:rFonts w:cs="Times New Roman"/>
          <w:b/>
        </w:rPr>
        <w:t>cash flow</w:t>
      </w:r>
      <w:r w:rsidRPr="004D278F">
        <w:rPr>
          <w:rFonts w:cs="Times New Roman"/>
          <w:b/>
        </w:rPr>
        <w:t xml:space="preserve"> statement</w:t>
      </w:r>
      <w:r w:rsidR="0019534A" w:rsidRPr="004D278F">
        <w:rPr>
          <w:rFonts w:cs="Times New Roman"/>
          <w:b/>
        </w:rPr>
        <w:t xml:space="preserve"> and fund flow</w:t>
      </w:r>
      <w:r w:rsidRPr="004D278F">
        <w:rPr>
          <w:rFonts w:cs="Times New Roman"/>
          <w:b/>
        </w:rPr>
        <w:t>?</w:t>
      </w:r>
    </w:p>
    <w:p w:rsidR="00C0769E" w:rsidRPr="004D278F" w:rsidRDefault="0019534A" w:rsidP="009776E5">
      <w:pPr>
        <w:pStyle w:val="ListParagraph"/>
        <w:spacing w:line="360" w:lineRule="auto"/>
        <w:rPr>
          <w:rFonts w:cs="Times New Roman"/>
          <w:b/>
        </w:rPr>
      </w:pPr>
      <w:r w:rsidRPr="004D278F">
        <w:rPr>
          <w:rFonts w:cs="Times New Roman"/>
          <w:b/>
        </w:rPr>
        <w:t>CASH FLOW:</w:t>
      </w:r>
    </w:p>
    <w:p w:rsidR="00C0769E" w:rsidRPr="004D278F" w:rsidRDefault="00C0769E" w:rsidP="009776E5">
      <w:pPr>
        <w:pStyle w:val="ListParagraph"/>
        <w:spacing w:line="360" w:lineRule="auto"/>
        <w:rPr>
          <w:rFonts w:cs="Times New Roman"/>
        </w:rPr>
      </w:pPr>
      <w:r w:rsidRPr="004D278F">
        <w:rPr>
          <w:rFonts w:cs="Times New Roman"/>
        </w:rPr>
        <w:t xml:space="preserve">In </w:t>
      </w:r>
      <w:hyperlink r:id="rId7" w:tooltip="Financial accounting" w:history="1">
        <w:r w:rsidRPr="004D278F">
          <w:rPr>
            <w:rStyle w:val="Hyperlink"/>
            <w:rFonts w:cs="Times New Roman"/>
            <w:color w:val="auto"/>
            <w:u w:val="none"/>
          </w:rPr>
          <w:t>financial accounting</w:t>
        </w:r>
      </w:hyperlink>
      <w:r w:rsidRPr="004D278F">
        <w:rPr>
          <w:rFonts w:cs="Times New Roman"/>
        </w:rPr>
        <w:t xml:space="preserve">, a </w:t>
      </w:r>
      <w:r w:rsidRPr="004D278F">
        <w:rPr>
          <w:rFonts w:cs="Times New Roman"/>
          <w:b/>
          <w:bCs/>
        </w:rPr>
        <w:t>cash flow statement</w:t>
      </w:r>
      <w:r w:rsidRPr="004D278F">
        <w:rPr>
          <w:rFonts w:cs="Times New Roman"/>
        </w:rPr>
        <w:t xml:space="preserve">, also known as </w:t>
      </w:r>
      <w:r w:rsidRPr="004D278F">
        <w:rPr>
          <w:rFonts w:cs="Times New Roman"/>
          <w:b/>
          <w:bCs/>
          <w:i/>
          <w:iCs/>
        </w:rPr>
        <w:t>statement of cash flows</w:t>
      </w:r>
      <w:r w:rsidR="00481F9C">
        <w:rPr>
          <w:rFonts w:cs="Times New Roman"/>
        </w:rPr>
        <w:t xml:space="preserve"> </w:t>
      </w:r>
      <w:r w:rsidRPr="004D278F">
        <w:rPr>
          <w:rFonts w:cs="Times New Roman"/>
        </w:rPr>
        <w:t xml:space="preserve"> is a </w:t>
      </w:r>
      <w:hyperlink r:id="rId8" w:tooltip="Financial statements" w:history="1">
        <w:r w:rsidRPr="004D278F">
          <w:rPr>
            <w:rStyle w:val="Hyperlink"/>
            <w:rFonts w:cs="Times New Roman"/>
            <w:color w:val="auto"/>
            <w:u w:val="none"/>
          </w:rPr>
          <w:t>financial statement</w:t>
        </w:r>
      </w:hyperlink>
      <w:r w:rsidRPr="004D278F">
        <w:rPr>
          <w:rFonts w:cs="Times New Roman"/>
        </w:rPr>
        <w:t xml:space="preserve"> that shows how changes in </w:t>
      </w:r>
      <w:hyperlink r:id="rId9" w:tooltip="Balance sheet" w:history="1">
        <w:r w:rsidRPr="004D278F">
          <w:rPr>
            <w:rStyle w:val="Hyperlink"/>
            <w:rFonts w:cs="Times New Roman"/>
            <w:color w:val="auto"/>
            <w:u w:val="none"/>
          </w:rPr>
          <w:t>balance sheet</w:t>
        </w:r>
      </w:hyperlink>
      <w:r w:rsidRPr="004D278F">
        <w:rPr>
          <w:rFonts w:cs="Times New Roman"/>
        </w:rPr>
        <w:t xml:space="preserve"> accounts and income affect </w:t>
      </w:r>
      <w:hyperlink r:id="rId10" w:tooltip="Cash and cash equivalents" w:history="1">
        <w:r w:rsidRPr="004D278F">
          <w:rPr>
            <w:rStyle w:val="Hyperlink"/>
            <w:rFonts w:cs="Times New Roman"/>
            <w:color w:val="auto"/>
            <w:u w:val="none"/>
          </w:rPr>
          <w:t>cash and cash equivalents</w:t>
        </w:r>
      </w:hyperlink>
      <w:r w:rsidRPr="004D278F">
        <w:rPr>
          <w:rFonts w:cs="Times New Roman"/>
        </w:rPr>
        <w:t>, and breaks the analysis down to operating, investing, and financing activities. Essentially, the cash flow statement is concerned with the flow of cash in and out of the business. International Accounting Standard 7 (IAS 7</w:t>
      </w:r>
      <w:r w:rsidR="00A4126A" w:rsidRPr="004D278F">
        <w:rPr>
          <w:rFonts w:cs="Times New Roman"/>
        </w:rPr>
        <w:t>)</w:t>
      </w:r>
      <w:r w:rsidRPr="004D278F">
        <w:rPr>
          <w:rFonts w:cs="Times New Roman"/>
        </w:rPr>
        <w:t xml:space="preserve"> is the </w:t>
      </w:r>
      <w:hyperlink r:id="rId11" w:tooltip="International Accounting Standard" w:history="1">
        <w:r w:rsidRPr="004D278F">
          <w:rPr>
            <w:rStyle w:val="Hyperlink"/>
            <w:rFonts w:cs="Times New Roman"/>
            <w:color w:val="auto"/>
            <w:u w:val="none"/>
          </w:rPr>
          <w:t>International Accounting Standard</w:t>
        </w:r>
      </w:hyperlink>
      <w:r w:rsidRPr="004D278F">
        <w:rPr>
          <w:rFonts w:cs="Times New Roman"/>
        </w:rPr>
        <w:t xml:space="preserve"> that deals with cash flow statements.</w:t>
      </w:r>
    </w:p>
    <w:p w:rsidR="0019534A" w:rsidRPr="004D278F" w:rsidRDefault="0019534A" w:rsidP="009776E5">
      <w:pPr>
        <w:pStyle w:val="ListParagraph"/>
        <w:spacing w:line="360" w:lineRule="auto"/>
        <w:rPr>
          <w:rFonts w:cs="Times New Roman"/>
        </w:rPr>
      </w:pPr>
    </w:p>
    <w:p w:rsidR="0019534A" w:rsidRPr="004D278F" w:rsidRDefault="0019534A" w:rsidP="009776E5">
      <w:pPr>
        <w:pStyle w:val="ListParagraph"/>
        <w:spacing w:line="360" w:lineRule="auto"/>
        <w:rPr>
          <w:rFonts w:cs="Times New Roman"/>
          <w:b/>
        </w:rPr>
      </w:pPr>
      <w:r w:rsidRPr="004D278F">
        <w:rPr>
          <w:rFonts w:cs="Times New Roman"/>
          <w:b/>
        </w:rPr>
        <w:t>FUND FLOW:</w:t>
      </w:r>
    </w:p>
    <w:p w:rsidR="0019534A" w:rsidRDefault="0019534A" w:rsidP="009776E5">
      <w:pPr>
        <w:pStyle w:val="ListParagraph"/>
        <w:spacing w:line="360" w:lineRule="auto"/>
      </w:pPr>
      <w:r w:rsidRPr="004D278F">
        <w:t>Fund flow statement analyses the sources and application of funds of long term nature and the changes in working capital. It tallies funds generated from various sources with various uses to which they are put. It is based on accrual accounting system and very useful for long range financial planning.</w:t>
      </w:r>
    </w:p>
    <w:p w:rsidR="004D278F" w:rsidRDefault="004D278F" w:rsidP="009776E5">
      <w:pPr>
        <w:pStyle w:val="ListParagraph"/>
        <w:spacing w:line="360" w:lineRule="auto"/>
      </w:pPr>
    </w:p>
    <w:p w:rsidR="004D278F" w:rsidRPr="004D278F" w:rsidRDefault="004D278F" w:rsidP="009776E5">
      <w:pPr>
        <w:pStyle w:val="ListParagraph"/>
        <w:spacing w:line="360" w:lineRule="auto"/>
        <w:rPr>
          <w:rFonts w:cs="Times New Roman"/>
        </w:rPr>
      </w:pPr>
    </w:p>
    <w:p w:rsidR="00C0769E" w:rsidRPr="004D278F" w:rsidRDefault="00C0769E" w:rsidP="009776E5">
      <w:pPr>
        <w:pStyle w:val="ListParagraph"/>
        <w:spacing w:line="360" w:lineRule="auto"/>
        <w:rPr>
          <w:rFonts w:cs="Times New Roman"/>
        </w:rPr>
      </w:pPr>
    </w:p>
    <w:p w:rsidR="00C0769E" w:rsidRPr="004D278F" w:rsidRDefault="00C0769E" w:rsidP="009776E5">
      <w:pPr>
        <w:pStyle w:val="ListParagraph"/>
        <w:numPr>
          <w:ilvl w:val="0"/>
          <w:numId w:val="1"/>
        </w:numPr>
        <w:spacing w:line="360" w:lineRule="auto"/>
        <w:rPr>
          <w:rFonts w:cs="Times New Roman"/>
          <w:b/>
        </w:rPr>
      </w:pPr>
      <w:r w:rsidRPr="004D278F">
        <w:rPr>
          <w:rFonts w:cs="Times New Roman"/>
          <w:b/>
        </w:rPr>
        <w:lastRenderedPageBreak/>
        <w:t>What is equity ratio?</w:t>
      </w:r>
    </w:p>
    <w:p w:rsidR="00C0769E" w:rsidRPr="004D278F" w:rsidRDefault="00C0769E" w:rsidP="009776E5">
      <w:pPr>
        <w:spacing w:before="100" w:beforeAutospacing="1" w:after="100" w:afterAutospacing="1" w:line="360" w:lineRule="auto"/>
        <w:ind w:left="720"/>
        <w:rPr>
          <w:rFonts w:eastAsia="Times New Roman" w:cs="Times New Roman"/>
        </w:rPr>
      </w:pPr>
      <w:r w:rsidRPr="004D278F">
        <w:rPr>
          <w:rFonts w:eastAsia="Times New Roman" w:cs="Times New Roman"/>
        </w:rPr>
        <w:t xml:space="preserve">The </w:t>
      </w:r>
      <w:r w:rsidRPr="004D278F">
        <w:rPr>
          <w:rFonts w:eastAsia="Times New Roman" w:cs="Times New Roman"/>
          <w:b/>
          <w:bCs/>
        </w:rPr>
        <w:t>equity ratio</w:t>
      </w:r>
      <w:r w:rsidRPr="004D278F">
        <w:rPr>
          <w:rFonts w:eastAsia="Times New Roman" w:cs="Times New Roman"/>
        </w:rPr>
        <w:t xml:space="preserve"> is a </w:t>
      </w:r>
      <w:hyperlink r:id="rId12" w:tooltip="Financial ratio" w:history="1">
        <w:r w:rsidRPr="004D278F">
          <w:rPr>
            <w:rFonts w:eastAsia="Times New Roman" w:cs="Times New Roman"/>
          </w:rPr>
          <w:t>financial ratio</w:t>
        </w:r>
      </w:hyperlink>
      <w:r w:rsidRPr="004D278F">
        <w:rPr>
          <w:rFonts w:eastAsia="Times New Roman" w:cs="Times New Roman"/>
        </w:rPr>
        <w:t xml:space="preserve"> indicating the relative proportion of </w:t>
      </w:r>
      <w:hyperlink r:id="rId13" w:tooltip="Equity (finance)" w:history="1">
        <w:r w:rsidRPr="004D278F">
          <w:rPr>
            <w:rFonts w:eastAsia="Times New Roman" w:cs="Times New Roman"/>
          </w:rPr>
          <w:t>equity</w:t>
        </w:r>
      </w:hyperlink>
      <w:r w:rsidRPr="004D278F">
        <w:rPr>
          <w:rFonts w:eastAsia="Times New Roman" w:cs="Times New Roman"/>
        </w:rPr>
        <w:t xml:space="preserve"> used to finance a company's assets. The two components are often taken from the firm's </w:t>
      </w:r>
      <w:hyperlink r:id="rId14" w:tooltip="Balance sheet" w:history="1">
        <w:r w:rsidRPr="004D278F">
          <w:rPr>
            <w:rFonts w:eastAsia="Times New Roman" w:cs="Times New Roman"/>
          </w:rPr>
          <w:t>balance sheet</w:t>
        </w:r>
      </w:hyperlink>
      <w:r w:rsidRPr="004D278F">
        <w:rPr>
          <w:rFonts w:eastAsia="Times New Roman" w:cs="Times New Roman"/>
        </w:rPr>
        <w:t xml:space="preserve"> or statement of financial position (so-called book value), but the ratio may also be calculated using market values for both, if the company's equities are publicly traded.</w:t>
      </w:r>
    </w:p>
    <w:p w:rsidR="00C0769E" w:rsidRPr="004D278F" w:rsidRDefault="00C0769E" w:rsidP="009776E5">
      <w:pPr>
        <w:spacing w:before="100" w:beforeAutospacing="1" w:after="100" w:afterAutospacing="1" w:line="360" w:lineRule="auto"/>
        <w:ind w:left="720"/>
        <w:rPr>
          <w:rFonts w:eastAsia="Times New Roman" w:cs="Times New Roman"/>
        </w:rPr>
      </w:pPr>
      <w:r w:rsidRPr="004D278F">
        <w:rPr>
          <w:rFonts w:eastAsia="Times New Roman" w:cs="Times New Roman"/>
        </w:rPr>
        <w:t xml:space="preserve">The equity ratio is a very common financial ratio, especially in </w:t>
      </w:r>
      <w:r w:rsidR="00F33EED" w:rsidRPr="004D278F">
        <w:rPr>
          <w:rFonts w:eastAsia="Times New Roman" w:cs="Times New Roman"/>
        </w:rPr>
        <w:t xml:space="preserve">Central Europe, while in the US </w:t>
      </w:r>
      <w:r w:rsidRPr="004D278F">
        <w:rPr>
          <w:rFonts w:eastAsia="Times New Roman" w:cs="Times New Roman"/>
        </w:rPr>
        <w:t xml:space="preserve">the </w:t>
      </w:r>
      <w:hyperlink r:id="rId15" w:tooltip="Debt to equity ratio" w:history="1">
        <w:r w:rsidRPr="004D278F">
          <w:rPr>
            <w:rFonts w:eastAsia="Times New Roman" w:cs="Times New Roman"/>
          </w:rPr>
          <w:t>debt to equity ratio</w:t>
        </w:r>
      </w:hyperlink>
      <w:r w:rsidRPr="004D278F">
        <w:rPr>
          <w:rFonts w:eastAsia="Times New Roman" w:cs="Times New Roman"/>
        </w:rPr>
        <w:t xml:space="preserve"> is more often used in financial (research) reports.</w:t>
      </w:r>
    </w:p>
    <w:p w:rsidR="00C0769E" w:rsidRPr="004D278F" w:rsidRDefault="00C0769E" w:rsidP="009776E5">
      <w:pPr>
        <w:spacing w:before="100" w:beforeAutospacing="1" w:after="100" w:afterAutospacing="1" w:line="360" w:lineRule="auto"/>
        <w:ind w:left="720"/>
        <w:rPr>
          <w:rFonts w:eastAsia="Times New Roman" w:cs="Times New Roman"/>
          <w:b/>
        </w:rPr>
      </w:pPr>
      <w:r w:rsidRPr="004D278F">
        <w:rPr>
          <w:rFonts w:eastAsia="Times New Roman" w:cs="Times New Roman"/>
          <w:b/>
        </w:rPr>
        <w:t>Formula:</w:t>
      </w:r>
    </w:p>
    <w:p w:rsidR="00C0769E" w:rsidRPr="004D278F" w:rsidRDefault="001E5A98" w:rsidP="009776E5">
      <w:pPr>
        <w:spacing w:before="100" w:beforeAutospacing="1" w:after="100" w:afterAutospacing="1" w:line="360" w:lineRule="auto"/>
        <w:ind w:left="540"/>
        <w:rPr>
          <w:rFonts w:eastAsia="Times New Roman" w:cs="Times New Roman"/>
          <w:b/>
        </w:rPr>
      </w:pPr>
      <w:r>
        <w:rPr>
          <w:rFonts w:eastAsia="Times New Roman" w:cs="Times New Roman"/>
          <w:b/>
          <w:noProof/>
        </w:rPr>
        <w:pict>
          <v:shapetype id="_x0000_t32" coordsize="21600,21600" o:spt="32" o:oned="t" path="m,l21600,21600e" filled="f">
            <v:path arrowok="t" fillok="f" o:connecttype="none"/>
            <o:lock v:ext="edit" shapetype="t"/>
          </v:shapetype>
          <v:shape id="_x0000_s1028" type="#_x0000_t32" style="position:absolute;left:0;text-align:left;margin-left:97.5pt;margin-top:16.4pt;width:123.25pt;height:0;z-index:251658240" o:connectortype="straight"/>
        </w:pict>
      </w:r>
      <w:r w:rsidR="00C0769E" w:rsidRPr="004D278F">
        <w:rPr>
          <w:rFonts w:eastAsia="Times New Roman" w:cs="Times New Roman"/>
          <w:b/>
        </w:rPr>
        <w:t>Equity Ratio =   Total Shareholder’s Equity</w:t>
      </w:r>
    </w:p>
    <w:p w:rsidR="00A95266" w:rsidRPr="004D278F" w:rsidRDefault="00B511C0" w:rsidP="009776E5">
      <w:pPr>
        <w:spacing w:before="100" w:beforeAutospacing="1" w:after="100" w:afterAutospacing="1" w:line="360" w:lineRule="auto"/>
        <w:ind w:left="540"/>
        <w:rPr>
          <w:rFonts w:eastAsia="Times New Roman" w:cs="Times New Roman"/>
          <w:b/>
        </w:rPr>
      </w:pPr>
      <w:r w:rsidRPr="004D278F">
        <w:rPr>
          <w:rFonts w:eastAsia="Times New Roman" w:cs="Times New Roman"/>
          <w:b/>
        </w:rPr>
        <w:t xml:space="preserve">                                Total Assets</w:t>
      </w:r>
    </w:p>
    <w:p w:rsidR="00A95266" w:rsidRPr="004D278F" w:rsidRDefault="00A95266" w:rsidP="009776E5">
      <w:pPr>
        <w:pStyle w:val="ListParagraph"/>
        <w:numPr>
          <w:ilvl w:val="0"/>
          <w:numId w:val="1"/>
        </w:numPr>
        <w:spacing w:before="100" w:beforeAutospacing="1" w:after="100" w:afterAutospacing="1" w:line="360" w:lineRule="auto"/>
        <w:ind w:left="270" w:firstLine="0"/>
        <w:rPr>
          <w:rFonts w:eastAsia="Times New Roman" w:cs="Times New Roman"/>
          <w:b/>
        </w:rPr>
      </w:pPr>
      <w:r w:rsidRPr="004D278F">
        <w:rPr>
          <w:rFonts w:eastAsia="Times New Roman" w:cs="Times New Roman"/>
          <w:b/>
        </w:rPr>
        <w:t>General Ledger?</w:t>
      </w:r>
    </w:p>
    <w:p w:rsidR="00A95266" w:rsidRPr="004D278F" w:rsidRDefault="00A95266" w:rsidP="009776E5">
      <w:pPr>
        <w:pStyle w:val="ListParagraph"/>
        <w:spacing w:before="100" w:beforeAutospacing="1" w:after="100" w:afterAutospacing="1" w:line="360" w:lineRule="auto"/>
        <w:ind w:left="270"/>
        <w:rPr>
          <w:rFonts w:eastAsia="Times New Roman" w:cs="Times New Roman"/>
          <w:b/>
        </w:rPr>
      </w:pPr>
    </w:p>
    <w:p w:rsidR="00A95266" w:rsidRPr="004D278F" w:rsidRDefault="00A95266" w:rsidP="009776E5">
      <w:pPr>
        <w:pStyle w:val="ListParagraph"/>
        <w:spacing w:before="100" w:beforeAutospacing="1" w:after="100" w:afterAutospacing="1" w:line="360" w:lineRule="auto"/>
        <w:ind w:left="270"/>
      </w:pPr>
      <w:r w:rsidRPr="004D278F">
        <w:t xml:space="preserve">A </w:t>
      </w:r>
      <w:r w:rsidRPr="004D278F">
        <w:rPr>
          <w:b/>
          <w:bCs/>
        </w:rPr>
        <w:t>general ledger</w:t>
      </w:r>
      <w:r w:rsidRPr="004D278F">
        <w:t xml:space="preserve"> contains user-defined account codes and related dimensional codes for recording transformed different types of vouchers including on-balance-sheet, off-balance-sheet, post-balance sheet, financial and non-financial natures.</w:t>
      </w:r>
    </w:p>
    <w:p w:rsidR="00A95266" w:rsidRPr="004D278F" w:rsidRDefault="00A95266" w:rsidP="009776E5">
      <w:pPr>
        <w:pStyle w:val="ListParagraph"/>
        <w:spacing w:before="100" w:beforeAutospacing="1" w:after="100" w:afterAutospacing="1" w:line="360" w:lineRule="auto"/>
        <w:ind w:left="270"/>
      </w:pPr>
    </w:p>
    <w:p w:rsidR="00592316" w:rsidRPr="004D278F" w:rsidRDefault="00A95266" w:rsidP="00A21602">
      <w:pPr>
        <w:pStyle w:val="ListParagraph"/>
        <w:numPr>
          <w:ilvl w:val="0"/>
          <w:numId w:val="1"/>
        </w:numPr>
        <w:spacing w:before="100" w:beforeAutospacing="1" w:after="100" w:afterAutospacing="1" w:line="360" w:lineRule="auto"/>
        <w:ind w:left="270" w:firstLine="0"/>
        <w:rPr>
          <w:rFonts w:eastAsia="Times New Roman" w:cs="Times New Roman"/>
          <w:b/>
        </w:rPr>
      </w:pPr>
      <w:r w:rsidRPr="004D278F">
        <w:rPr>
          <w:b/>
        </w:rPr>
        <w:t>Debit?</w:t>
      </w:r>
      <w:r w:rsidR="00A21602" w:rsidRPr="004D278F">
        <w:rPr>
          <w:b/>
        </w:rPr>
        <w:br/>
      </w:r>
      <w:r w:rsidR="00D3741C" w:rsidRPr="004D278F">
        <w:t xml:space="preserve"> </w:t>
      </w:r>
      <w:r w:rsidR="005318F9" w:rsidRPr="004D278F">
        <w:t>A</w:t>
      </w:r>
      <w:r w:rsidR="00592316" w:rsidRPr="004D278F">
        <w:t>n entry recording a sum owed, listed on the left-hand side or column of an account.</w:t>
      </w:r>
    </w:p>
    <w:p w:rsidR="00592316" w:rsidRPr="004D278F" w:rsidRDefault="00592316" w:rsidP="009776E5">
      <w:pPr>
        <w:pStyle w:val="ListParagraph"/>
        <w:spacing w:before="100" w:beforeAutospacing="1" w:after="100" w:afterAutospacing="1" w:line="360" w:lineRule="auto"/>
        <w:ind w:left="540"/>
      </w:pPr>
    </w:p>
    <w:p w:rsidR="00A4126A" w:rsidRPr="004D278F" w:rsidRDefault="00592316" w:rsidP="00A4126A">
      <w:pPr>
        <w:pStyle w:val="ListParagraph"/>
        <w:numPr>
          <w:ilvl w:val="0"/>
          <w:numId w:val="1"/>
        </w:numPr>
        <w:spacing w:before="100" w:beforeAutospacing="1" w:after="100" w:afterAutospacing="1" w:line="360" w:lineRule="auto"/>
      </w:pPr>
      <w:r w:rsidRPr="004D278F">
        <w:rPr>
          <w:b/>
        </w:rPr>
        <w:t>Credit?</w:t>
      </w:r>
    </w:p>
    <w:p w:rsidR="00592316" w:rsidRPr="004D278F" w:rsidRDefault="00A4126A" w:rsidP="00A4126A">
      <w:pPr>
        <w:pStyle w:val="ListParagraph"/>
        <w:spacing w:before="100" w:beforeAutospacing="1" w:after="100" w:afterAutospacing="1" w:line="360" w:lineRule="auto"/>
      </w:pPr>
      <w:r w:rsidRPr="004D278F">
        <w:t xml:space="preserve"> </w:t>
      </w:r>
      <w:r w:rsidR="005318F9" w:rsidRPr="004D278F">
        <w:t>T</w:t>
      </w:r>
      <w:r w:rsidR="00592316" w:rsidRPr="004D278F">
        <w:t>he ability of a customer to obtain goods or services before payment, based on the trust that payment will be made in the future.</w:t>
      </w:r>
    </w:p>
    <w:p w:rsidR="00592316" w:rsidRPr="004D278F" w:rsidRDefault="00592316" w:rsidP="009776E5">
      <w:pPr>
        <w:pStyle w:val="ListParagraph"/>
        <w:spacing w:before="100" w:beforeAutospacing="1" w:after="100" w:afterAutospacing="1" w:line="360" w:lineRule="auto"/>
      </w:pPr>
    </w:p>
    <w:p w:rsidR="00592316" w:rsidRDefault="005318F9" w:rsidP="009776E5">
      <w:pPr>
        <w:pStyle w:val="ListParagraph"/>
        <w:spacing w:before="100" w:beforeAutospacing="1" w:after="100" w:afterAutospacing="1" w:line="360" w:lineRule="auto"/>
      </w:pPr>
      <w:r w:rsidRPr="004D278F">
        <w:t>A</w:t>
      </w:r>
      <w:r w:rsidR="00592316" w:rsidRPr="004D278F">
        <w:t>n entry recording a sum received, listed on the right-hand side or column of an account.</w:t>
      </w:r>
    </w:p>
    <w:p w:rsidR="00481F9C" w:rsidRDefault="00481F9C" w:rsidP="009776E5">
      <w:pPr>
        <w:pStyle w:val="ListParagraph"/>
        <w:spacing w:before="100" w:beforeAutospacing="1" w:after="100" w:afterAutospacing="1" w:line="360" w:lineRule="auto"/>
      </w:pPr>
    </w:p>
    <w:p w:rsidR="00481F9C" w:rsidRDefault="00481F9C" w:rsidP="009776E5">
      <w:pPr>
        <w:pStyle w:val="ListParagraph"/>
        <w:spacing w:before="100" w:beforeAutospacing="1" w:after="100" w:afterAutospacing="1" w:line="360" w:lineRule="auto"/>
      </w:pPr>
    </w:p>
    <w:p w:rsidR="00481F9C" w:rsidRPr="004D278F" w:rsidRDefault="00481F9C" w:rsidP="009776E5">
      <w:pPr>
        <w:pStyle w:val="ListParagraph"/>
        <w:spacing w:before="100" w:beforeAutospacing="1" w:after="100" w:afterAutospacing="1" w:line="360" w:lineRule="auto"/>
      </w:pPr>
    </w:p>
    <w:p w:rsidR="00592316" w:rsidRPr="004D278F" w:rsidRDefault="00592316" w:rsidP="009776E5">
      <w:pPr>
        <w:pStyle w:val="ListParagraph"/>
        <w:spacing w:before="100" w:beforeAutospacing="1" w:after="100" w:afterAutospacing="1" w:line="360" w:lineRule="auto"/>
      </w:pPr>
    </w:p>
    <w:p w:rsidR="00B327B1" w:rsidRPr="00B327B1" w:rsidRDefault="000D418B" w:rsidP="00B327B1">
      <w:pPr>
        <w:pStyle w:val="ListParagraph"/>
        <w:numPr>
          <w:ilvl w:val="0"/>
          <w:numId w:val="1"/>
        </w:numPr>
        <w:spacing w:before="100" w:beforeAutospacing="1" w:after="100" w:afterAutospacing="1" w:line="360" w:lineRule="auto"/>
        <w:rPr>
          <w:rFonts w:eastAsia="Times New Roman" w:cs="Times New Roman"/>
          <w:b/>
        </w:rPr>
      </w:pPr>
      <w:r w:rsidRPr="004D278F">
        <w:rPr>
          <w:b/>
        </w:rPr>
        <w:lastRenderedPageBreak/>
        <w:t>Transactions?</w:t>
      </w:r>
    </w:p>
    <w:p w:rsidR="000D418B" w:rsidRPr="00B327B1" w:rsidRDefault="000D418B" w:rsidP="00B327B1">
      <w:pPr>
        <w:pStyle w:val="ListParagraph"/>
        <w:spacing w:before="100" w:beforeAutospacing="1" w:after="100" w:afterAutospacing="1" w:line="360" w:lineRule="auto"/>
        <w:rPr>
          <w:rFonts w:eastAsia="Times New Roman" w:cs="Times New Roman"/>
          <w:b/>
        </w:rPr>
      </w:pPr>
      <w:r w:rsidRPr="00B327B1">
        <w:rPr>
          <w:rStyle w:val="Strong"/>
          <w:b w:val="0"/>
        </w:rPr>
        <w:t>Transaction Account Meaning</w:t>
      </w:r>
      <w:r w:rsidR="00473096" w:rsidRPr="00B327B1">
        <w:rPr>
          <w:rStyle w:val="Strong"/>
          <w:b w:val="0"/>
        </w:rPr>
        <w:t xml:space="preserve">: </w:t>
      </w:r>
      <w:r w:rsidRPr="00B327B1">
        <w:rPr>
          <w:b/>
        </w:rPr>
        <w:br/>
        <w:t xml:space="preserve">In banking terminology, the term transaction account refers to a basic bank account with a financial institution which allows for the efficient transfer of funds by the account holder to third parties as well as receiving electronic payments into this account. The most common </w:t>
      </w:r>
      <w:r w:rsidRPr="004D278F">
        <w:t>form of transaction account is a normal bank checking account and in Australia is also known as an everyday account.</w:t>
      </w:r>
    </w:p>
    <w:p w:rsidR="000D418B" w:rsidRPr="004D278F" w:rsidRDefault="000D418B" w:rsidP="009776E5">
      <w:pPr>
        <w:pStyle w:val="ListParagraph"/>
        <w:spacing w:before="100" w:beforeAutospacing="1" w:after="100" w:afterAutospacing="1" w:line="360" w:lineRule="auto"/>
        <w:rPr>
          <w:rFonts w:eastAsia="Times New Roman" w:cs="Times New Roman"/>
        </w:rPr>
      </w:pPr>
    </w:p>
    <w:p w:rsidR="000D418B" w:rsidRPr="004D278F" w:rsidRDefault="00C6695C" w:rsidP="009776E5">
      <w:pPr>
        <w:pStyle w:val="ListParagraph"/>
        <w:numPr>
          <w:ilvl w:val="0"/>
          <w:numId w:val="1"/>
        </w:numPr>
        <w:spacing w:before="100" w:beforeAutospacing="1" w:after="100" w:afterAutospacing="1" w:line="360" w:lineRule="auto"/>
        <w:rPr>
          <w:rFonts w:eastAsia="Times New Roman" w:cs="Times New Roman"/>
          <w:b/>
        </w:rPr>
      </w:pPr>
      <w:r w:rsidRPr="004D278F">
        <w:rPr>
          <w:rFonts w:eastAsia="Times New Roman" w:cs="Times New Roman"/>
          <w:b/>
        </w:rPr>
        <w:t>Journal entries?</w:t>
      </w:r>
    </w:p>
    <w:p w:rsidR="0019534A" w:rsidRPr="004D278F" w:rsidRDefault="00C6695C" w:rsidP="00591090">
      <w:pPr>
        <w:pStyle w:val="ListParagraph"/>
        <w:spacing w:before="100" w:beforeAutospacing="1" w:after="100" w:afterAutospacing="1" w:line="360" w:lineRule="auto"/>
        <w:rPr>
          <w:rFonts w:cs="Times New Roman"/>
        </w:rPr>
      </w:pPr>
      <w:r w:rsidRPr="004D278F">
        <w:rPr>
          <w:rFonts w:cs="Times New Roman"/>
        </w:rPr>
        <w:t xml:space="preserve">A </w:t>
      </w:r>
      <w:r w:rsidRPr="004D278F">
        <w:rPr>
          <w:rFonts w:cs="Times New Roman"/>
          <w:b/>
          <w:bCs/>
        </w:rPr>
        <w:t>journal entry</w:t>
      </w:r>
      <w:r w:rsidRPr="004D278F">
        <w:rPr>
          <w:rFonts w:cs="Times New Roman"/>
        </w:rPr>
        <w:t xml:space="preserve">, in </w:t>
      </w:r>
      <w:hyperlink r:id="rId16" w:tooltip="Accounting" w:history="1">
        <w:r w:rsidRPr="004D278F">
          <w:rPr>
            <w:rStyle w:val="Hyperlink"/>
            <w:rFonts w:cs="Times New Roman"/>
            <w:color w:val="auto"/>
            <w:u w:val="none"/>
          </w:rPr>
          <w:t>accounting</w:t>
        </w:r>
      </w:hyperlink>
      <w:r w:rsidRPr="004D278F">
        <w:rPr>
          <w:rFonts w:cs="Times New Roman"/>
        </w:rPr>
        <w:t xml:space="preserve">, is a logging of transactions into </w:t>
      </w:r>
      <w:hyperlink r:id="rId17" w:tooltip="Specialized journals" w:history="1">
        <w:r w:rsidRPr="004D278F">
          <w:rPr>
            <w:rStyle w:val="Hyperlink"/>
            <w:rFonts w:cs="Times New Roman"/>
            <w:color w:val="auto"/>
            <w:u w:val="none"/>
          </w:rPr>
          <w:t>accounting journal</w:t>
        </w:r>
      </w:hyperlink>
      <w:r w:rsidRPr="004D278F">
        <w:rPr>
          <w:rFonts w:cs="Times New Roman"/>
        </w:rPr>
        <w:t xml:space="preserve"> items. The journal entry can consist of several recordings, each of which is either a </w:t>
      </w:r>
      <w:hyperlink r:id="rId18" w:tooltip="Debit (accounting)" w:history="1">
        <w:r w:rsidRPr="004D278F">
          <w:rPr>
            <w:rStyle w:val="Hyperlink"/>
            <w:rFonts w:cs="Times New Roman"/>
            <w:color w:val="auto"/>
            <w:u w:val="none"/>
          </w:rPr>
          <w:t>debit</w:t>
        </w:r>
      </w:hyperlink>
      <w:r w:rsidRPr="004D278F">
        <w:rPr>
          <w:rFonts w:cs="Times New Roman"/>
        </w:rPr>
        <w:t xml:space="preserve"> or a </w:t>
      </w:r>
      <w:hyperlink r:id="rId19" w:tooltip="Credit (accounting)" w:history="1">
        <w:r w:rsidRPr="004D278F">
          <w:rPr>
            <w:rStyle w:val="Hyperlink"/>
            <w:rFonts w:cs="Times New Roman"/>
            <w:color w:val="auto"/>
            <w:u w:val="none"/>
          </w:rPr>
          <w:t>credit</w:t>
        </w:r>
      </w:hyperlink>
      <w:r w:rsidRPr="004D278F">
        <w:rPr>
          <w:rFonts w:cs="Times New Roman"/>
        </w:rPr>
        <w:t xml:space="preserve">. The total of the debits must equal the total of the credits or the journal entry is said to be "unbalanced". Journal entries can record unique items or recurring items such as </w:t>
      </w:r>
      <w:hyperlink r:id="rId20" w:tooltip="Depreciation" w:history="1">
        <w:r w:rsidRPr="004D278F">
          <w:rPr>
            <w:rStyle w:val="Hyperlink"/>
            <w:rFonts w:cs="Times New Roman"/>
            <w:color w:val="auto"/>
            <w:u w:val="none"/>
          </w:rPr>
          <w:t>depreciation</w:t>
        </w:r>
      </w:hyperlink>
      <w:r w:rsidRPr="004D278F">
        <w:rPr>
          <w:rFonts w:cs="Times New Roman"/>
        </w:rPr>
        <w:t xml:space="preserve"> or bond </w:t>
      </w:r>
      <w:hyperlink r:id="rId21" w:tooltip="Amortization" w:history="1">
        <w:r w:rsidRPr="004D278F">
          <w:rPr>
            <w:rStyle w:val="Hyperlink"/>
            <w:rFonts w:cs="Times New Roman"/>
            <w:color w:val="auto"/>
            <w:u w:val="none"/>
          </w:rPr>
          <w:t>amortization</w:t>
        </w:r>
      </w:hyperlink>
      <w:r w:rsidRPr="004D278F">
        <w:rPr>
          <w:rFonts w:cs="Times New Roman"/>
        </w:rPr>
        <w:t xml:space="preserve">. In accounting software, journal entries are usually entered using a separate module from </w:t>
      </w:r>
      <w:hyperlink r:id="rId22" w:tooltip="Accounts payable" w:history="1">
        <w:r w:rsidRPr="004D278F">
          <w:rPr>
            <w:rStyle w:val="Hyperlink"/>
            <w:rFonts w:cs="Times New Roman"/>
            <w:color w:val="auto"/>
            <w:u w:val="none"/>
          </w:rPr>
          <w:t>accounts payable</w:t>
        </w:r>
      </w:hyperlink>
      <w:r w:rsidRPr="004D278F">
        <w:rPr>
          <w:rFonts w:cs="Times New Roman"/>
        </w:rPr>
        <w:t xml:space="preserve">, which typically has its own </w:t>
      </w:r>
      <w:hyperlink r:id="rId23" w:tooltip="Subledger" w:history="1">
        <w:r w:rsidRPr="004D278F">
          <w:rPr>
            <w:rStyle w:val="Hyperlink"/>
            <w:rFonts w:cs="Times New Roman"/>
            <w:color w:val="auto"/>
            <w:u w:val="none"/>
          </w:rPr>
          <w:t>sub</w:t>
        </w:r>
        <w:r w:rsidR="00473096" w:rsidRPr="004D278F">
          <w:rPr>
            <w:rStyle w:val="Hyperlink"/>
            <w:rFonts w:cs="Times New Roman"/>
            <w:color w:val="auto"/>
            <w:u w:val="none"/>
          </w:rPr>
          <w:t xml:space="preserve"> </w:t>
        </w:r>
        <w:r w:rsidRPr="004D278F">
          <w:rPr>
            <w:rStyle w:val="Hyperlink"/>
            <w:rFonts w:cs="Times New Roman"/>
            <w:color w:val="auto"/>
            <w:u w:val="none"/>
          </w:rPr>
          <w:t>ledger</w:t>
        </w:r>
      </w:hyperlink>
      <w:r w:rsidRPr="004D278F">
        <w:rPr>
          <w:rFonts w:cs="Times New Roman"/>
        </w:rPr>
        <w:t xml:space="preserve"> that indirectly affects the </w:t>
      </w:r>
      <w:hyperlink r:id="rId24" w:tooltip="General ledger" w:history="1">
        <w:r w:rsidRPr="004D278F">
          <w:rPr>
            <w:rStyle w:val="Hyperlink"/>
            <w:rFonts w:cs="Times New Roman"/>
            <w:color w:val="auto"/>
            <w:u w:val="none"/>
          </w:rPr>
          <w:t>general ledger</w:t>
        </w:r>
      </w:hyperlink>
      <w:r w:rsidRPr="004D278F">
        <w:rPr>
          <w:rFonts w:cs="Times New Roman"/>
        </w:rPr>
        <w:t>. As a result, journal entries directly change the account balances on the general ledger.</w:t>
      </w:r>
    </w:p>
    <w:p w:rsidR="001307AC" w:rsidRPr="004D278F" w:rsidRDefault="001307AC" w:rsidP="009776E5">
      <w:pPr>
        <w:pStyle w:val="ListParagraph"/>
        <w:spacing w:before="100" w:beforeAutospacing="1" w:after="100" w:afterAutospacing="1" w:line="360" w:lineRule="auto"/>
        <w:rPr>
          <w:rFonts w:cs="Times New Roman"/>
        </w:rPr>
      </w:pPr>
    </w:p>
    <w:p w:rsidR="001307AC" w:rsidRPr="004D278F" w:rsidRDefault="001307AC" w:rsidP="009776E5">
      <w:pPr>
        <w:pStyle w:val="ListParagraph"/>
        <w:numPr>
          <w:ilvl w:val="0"/>
          <w:numId w:val="1"/>
        </w:numPr>
        <w:spacing w:before="100" w:beforeAutospacing="1" w:after="100" w:afterAutospacing="1" w:line="360" w:lineRule="auto"/>
        <w:rPr>
          <w:rFonts w:eastAsia="Times New Roman" w:cs="Times New Roman"/>
          <w:b/>
        </w:rPr>
      </w:pPr>
      <w:r w:rsidRPr="004D278F">
        <w:rPr>
          <w:rFonts w:cs="Times New Roman"/>
          <w:b/>
        </w:rPr>
        <w:t>Golden rules of Accounting?</w:t>
      </w:r>
    </w:p>
    <w:p w:rsidR="001307AC" w:rsidRPr="004D278F" w:rsidRDefault="001307AC" w:rsidP="009776E5">
      <w:pPr>
        <w:pStyle w:val="ListParagraph"/>
        <w:spacing w:before="100" w:beforeAutospacing="1" w:after="100" w:afterAutospacing="1" w:line="360" w:lineRule="auto"/>
        <w:rPr>
          <w:rFonts w:cs="Times New Roman"/>
        </w:rPr>
      </w:pPr>
    </w:p>
    <w:p w:rsidR="00660FE1" w:rsidRPr="004D278F" w:rsidRDefault="00660FE1" w:rsidP="009776E5">
      <w:pPr>
        <w:pStyle w:val="ListParagraph"/>
        <w:spacing w:before="100" w:beforeAutospacing="1" w:after="100" w:afterAutospacing="1" w:line="360" w:lineRule="auto"/>
        <w:rPr>
          <w:rFonts w:cs="Times New Roman"/>
        </w:rPr>
      </w:pPr>
      <w:r w:rsidRPr="004D278F">
        <w:rPr>
          <w:rFonts w:cs="Times New Roman"/>
          <w:b/>
        </w:rPr>
        <w:t>REAL ACCOUNTS</w:t>
      </w:r>
      <w:r w:rsidRPr="004D278F">
        <w:rPr>
          <w:rFonts w:cs="Times New Roman"/>
        </w:rPr>
        <w:t xml:space="preserve">            :                     DEBIT</w:t>
      </w:r>
      <w:r w:rsidR="00494602" w:rsidRPr="004D278F">
        <w:rPr>
          <w:rFonts w:cs="Times New Roman"/>
        </w:rPr>
        <w:t>-</w:t>
      </w:r>
      <w:r w:rsidR="00A4126A" w:rsidRPr="004D278F">
        <w:rPr>
          <w:rFonts w:cs="Times New Roman"/>
        </w:rPr>
        <w:t xml:space="preserve"> W</w:t>
      </w:r>
      <w:r w:rsidRPr="004D278F">
        <w:rPr>
          <w:rFonts w:cs="Times New Roman"/>
        </w:rPr>
        <w:t>HAT COMES IN</w:t>
      </w:r>
    </w:p>
    <w:p w:rsidR="00660FE1" w:rsidRPr="004D278F" w:rsidRDefault="00660FE1" w:rsidP="009776E5">
      <w:pPr>
        <w:pStyle w:val="ListParagraph"/>
        <w:spacing w:before="100" w:beforeAutospacing="1" w:after="100" w:afterAutospacing="1" w:line="360" w:lineRule="auto"/>
        <w:rPr>
          <w:rFonts w:cs="Times New Roman"/>
        </w:rPr>
      </w:pPr>
      <w:r w:rsidRPr="004D278F">
        <w:rPr>
          <w:rFonts w:cs="Times New Roman"/>
        </w:rPr>
        <w:t xml:space="preserve">                                                                   </w:t>
      </w:r>
      <w:r w:rsidR="0019534A" w:rsidRPr="004D278F">
        <w:rPr>
          <w:rFonts w:cs="Times New Roman"/>
        </w:rPr>
        <w:t xml:space="preserve">  </w:t>
      </w:r>
      <w:r w:rsidRPr="004D278F">
        <w:rPr>
          <w:rFonts w:cs="Times New Roman"/>
        </w:rPr>
        <w:t>CREDIT</w:t>
      </w:r>
      <w:r w:rsidR="00494602" w:rsidRPr="004D278F">
        <w:rPr>
          <w:rFonts w:cs="Times New Roman"/>
        </w:rPr>
        <w:t>-</w:t>
      </w:r>
      <w:r w:rsidRPr="004D278F">
        <w:rPr>
          <w:rFonts w:cs="Times New Roman"/>
        </w:rPr>
        <w:t xml:space="preserve"> WHAT GOES OUT</w:t>
      </w:r>
    </w:p>
    <w:p w:rsidR="00660FE1" w:rsidRPr="004D278F" w:rsidRDefault="00660FE1" w:rsidP="009776E5">
      <w:pPr>
        <w:pStyle w:val="ListParagraph"/>
        <w:spacing w:before="100" w:beforeAutospacing="1" w:after="100" w:afterAutospacing="1" w:line="360" w:lineRule="auto"/>
        <w:rPr>
          <w:rFonts w:cs="Times New Roman"/>
        </w:rPr>
      </w:pPr>
      <w:r w:rsidRPr="004D278F">
        <w:rPr>
          <w:rFonts w:cs="Times New Roman"/>
          <w:b/>
        </w:rPr>
        <w:t xml:space="preserve">PERSONAL </w:t>
      </w:r>
      <w:r w:rsidR="00A21602" w:rsidRPr="004D278F">
        <w:rPr>
          <w:rFonts w:cs="Times New Roman"/>
          <w:b/>
        </w:rPr>
        <w:t>ACCOUNTS</w:t>
      </w:r>
      <w:r w:rsidR="00A21602" w:rsidRPr="004D278F">
        <w:rPr>
          <w:rFonts w:cs="Times New Roman"/>
        </w:rPr>
        <w:t>:</w:t>
      </w:r>
      <w:r w:rsidRPr="004D278F">
        <w:rPr>
          <w:rFonts w:cs="Times New Roman"/>
        </w:rPr>
        <w:t xml:space="preserve">                     DEBIT</w:t>
      </w:r>
      <w:r w:rsidR="00494602" w:rsidRPr="004D278F">
        <w:rPr>
          <w:rFonts w:cs="Times New Roman"/>
        </w:rPr>
        <w:t>-</w:t>
      </w:r>
      <w:r w:rsidRPr="004D278F">
        <w:rPr>
          <w:rFonts w:cs="Times New Roman"/>
        </w:rPr>
        <w:t xml:space="preserve"> THE RECEVIER</w:t>
      </w:r>
    </w:p>
    <w:p w:rsidR="00B511C0" w:rsidRPr="004D278F" w:rsidRDefault="00660FE1" w:rsidP="009776E5">
      <w:pPr>
        <w:pStyle w:val="ListParagraph"/>
        <w:spacing w:before="100" w:beforeAutospacing="1" w:after="100" w:afterAutospacing="1" w:line="360" w:lineRule="auto"/>
        <w:rPr>
          <w:rFonts w:cs="Times New Roman"/>
        </w:rPr>
      </w:pPr>
      <w:r w:rsidRPr="004D278F">
        <w:rPr>
          <w:rFonts w:cs="Times New Roman"/>
        </w:rPr>
        <w:t xml:space="preserve">                                                                   </w:t>
      </w:r>
      <w:r w:rsidR="0019534A" w:rsidRPr="004D278F">
        <w:rPr>
          <w:rFonts w:cs="Times New Roman"/>
        </w:rPr>
        <w:t xml:space="preserve">  </w:t>
      </w:r>
      <w:r w:rsidRPr="004D278F">
        <w:rPr>
          <w:rFonts w:cs="Times New Roman"/>
        </w:rPr>
        <w:t>CREDIT</w:t>
      </w:r>
      <w:r w:rsidR="00494602" w:rsidRPr="004D278F">
        <w:rPr>
          <w:rFonts w:cs="Times New Roman"/>
        </w:rPr>
        <w:t>-</w:t>
      </w:r>
      <w:r w:rsidR="00591090" w:rsidRPr="004D278F">
        <w:rPr>
          <w:rFonts w:cs="Times New Roman"/>
        </w:rPr>
        <w:t xml:space="preserve"> THE GIVER</w:t>
      </w:r>
    </w:p>
    <w:p w:rsidR="00B511C0" w:rsidRPr="004D278F" w:rsidRDefault="00B511C0" w:rsidP="009776E5">
      <w:pPr>
        <w:pStyle w:val="ListParagraph"/>
        <w:spacing w:before="100" w:beforeAutospacing="1" w:after="100" w:afterAutospacing="1" w:line="360" w:lineRule="auto"/>
        <w:rPr>
          <w:rFonts w:cs="Times New Roman"/>
        </w:rPr>
      </w:pPr>
      <w:r w:rsidRPr="004D278F">
        <w:rPr>
          <w:rFonts w:cs="Times New Roman"/>
          <w:b/>
        </w:rPr>
        <w:t>NOMINAL ACCOUNTS</w:t>
      </w:r>
      <w:r w:rsidRPr="004D278F">
        <w:rPr>
          <w:rFonts w:cs="Times New Roman"/>
        </w:rPr>
        <w:t xml:space="preserve">    :                     DEBIT </w:t>
      </w:r>
      <w:r w:rsidR="00494602" w:rsidRPr="004D278F">
        <w:rPr>
          <w:rFonts w:cs="Times New Roman"/>
        </w:rPr>
        <w:t>-</w:t>
      </w:r>
      <w:r w:rsidRPr="004D278F">
        <w:rPr>
          <w:rFonts w:cs="Times New Roman"/>
        </w:rPr>
        <w:t>ALL EXPENCES AND LOSSES</w:t>
      </w:r>
    </w:p>
    <w:p w:rsidR="00494602" w:rsidRPr="004D278F" w:rsidRDefault="00494602" w:rsidP="009776E5">
      <w:pPr>
        <w:pStyle w:val="ListParagraph"/>
        <w:spacing w:before="100" w:beforeAutospacing="1" w:after="100" w:afterAutospacing="1" w:line="360" w:lineRule="auto"/>
        <w:rPr>
          <w:rFonts w:cs="Times New Roman"/>
        </w:rPr>
      </w:pPr>
      <w:r w:rsidRPr="004D278F">
        <w:rPr>
          <w:rFonts w:cs="Times New Roman"/>
        </w:rPr>
        <w:t xml:space="preserve">                                                                   </w:t>
      </w:r>
      <w:r w:rsidR="0019534A" w:rsidRPr="004D278F">
        <w:rPr>
          <w:rFonts w:cs="Times New Roman"/>
        </w:rPr>
        <w:t xml:space="preserve">  </w:t>
      </w:r>
      <w:r w:rsidRPr="004D278F">
        <w:rPr>
          <w:rFonts w:cs="Times New Roman"/>
        </w:rPr>
        <w:t xml:space="preserve">CREDIT- </w:t>
      </w:r>
      <w:r w:rsidR="0019534A" w:rsidRPr="004D278F">
        <w:rPr>
          <w:rFonts w:cs="Times New Roman"/>
        </w:rPr>
        <w:t>ALL INCOMES AND GAINS</w:t>
      </w:r>
    </w:p>
    <w:p w:rsidR="00B511C0" w:rsidRPr="004D278F" w:rsidRDefault="00B511C0" w:rsidP="009776E5">
      <w:pPr>
        <w:pStyle w:val="ListParagraph"/>
        <w:numPr>
          <w:ilvl w:val="0"/>
          <w:numId w:val="1"/>
        </w:numPr>
        <w:spacing w:before="100" w:beforeAutospacing="1" w:after="100" w:afterAutospacing="1" w:line="360" w:lineRule="auto"/>
        <w:rPr>
          <w:rFonts w:cs="Times New Roman"/>
          <w:b/>
        </w:rPr>
      </w:pPr>
      <w:r w:rsidRPr="004D278F">
        <w:rPr>
          <w:rFonts w:cs="Times New Roman"/>
          <w:b/>
        </w:rPr>
        <w:t>Principles of accounting?</w:t>
      </w:r>
    </w:p>
    <w:p w:rsidR="000554B3" w:rsidRPr="004D278F" w:rsidRDefault="000554B3" w:rsidP="009776E5">
      <w:pPr>
        <w:pStyle w:val="NormalWeb"/>
        <w:spacing w:line="360" w:lineRule="auto"/>
        <w:ind w:left="360"/>
        <w:rPr>
          <w:rFonts w:asciiTheme="minorHAnsi" w:hAnsiTheme="minorHAnsi"/>
          <w:sz w:val="22"/>
          <w:szCs w:val="22"/>
        </w:rPr>
      </w:pPr>
      <w:r w:rsidRPr="004D278F">
        <w:rPr>
          <w:rFonts w:asciiTheme="minorHAnsi" w:hAnsiTheme="minorHAnsi"/>
          <w:sz w:val="22"/>
          <w:szCs w:val="22"/>
        </w:rPr>
        <w:t xml:space="preserve">Accounting Concepts and Principles are a set of broad conventions that have been devised to provide a basic framework for financial reporting. As financial reporting involves significant professional judgments by accountants, these concepts and principles ensure that the users of financial information are not mislead by the adoption of accounting policies and practices that go </w:t>
      </w:r>
      <w:r w:rsidRPr="004D278F">
        <w:rPr>
          <w:rFonts w:asciiTheme="minorHAnsi" w:hAnsiTheme="minorHAnsi"/>
          <w:sz w:val="22"/>
          <w:szCs w:val="22"/>
        </w:rPr>
        <w:lastRenderedPageBreak/>
        <w:t xml:space="preserve">against the spirit of the accountancy profession. Accountants must therefore actively consider whether the accounting treatments adopted are consistent with the accounting concepts and principles. </w:t>
      </w:r>
    </w:p>
    <w:tbl>
      <w:tblPr>
        <w:tblW w:w="0" w:type="auto"/>
        <w:tblCellSpacing w:w="15" w:type="dxa"/>
        <w:tblCellMar>
          <w:top w:w="15" w:type="dxa"/>
          <w:left w:w="15" w:type="dxa"/>
          <w:bottom w:w="15" w:type="dxa"/>
          <w:right w:w="15" w:type="dxa"/>
        </w:tblCellMar>
        <w:tblLook w:val="04A0"/>
      </w:tblPr>
      <w:tblGrid>
        <w:gridCol w:w="9369"/>
        <w:gridCol w:w="81"/>
      </w:tblGrid>
      <w:tr w:rsidR="00660FE1" w:rsidRPr="004D278F" w:rsidTr="004F23AB">
        <w:trPr>
          <w:trHeight w:val="4347"/>
          <w:tblCellSpacing w:w="15" w:type="dxa"/>
        </w:trPr>
        <w:tc>
          <w:tcPr>
            <w:tcW w:w="9324" w:type="dxa"/>
            <w:vAlign w:val="center"/>
            <w:hideMark/>
          </w:tcPr>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1. Economic Entity Assumption</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2. Monetary Unit Assumption</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3. Time Period Assumption</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4. Cost Principle</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5. Full Disclosure Principle</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6. Going Concern Principle</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7. Matching Principle</w:t>
            </w:r>
          </w:p>
          <w:p w:rsidR="000E62F1" w:rsidRPr="004D278F" w:rsidRDefault="000E62F1" w:rsidP="009776E5">
            <w:pPr>
              <w:spacing w:after="0" w:line="360" w:lineRule="auto"/>
              <w:ind w:left="360"/>
              <w:rPr>
                <w:rFonts w:eastAsia="Times New Roman" w:cs="Times New Roman"/>
              </w:rPr>
            </w:pPr>
            <w:r w:rsidRPr="004D278F">
              <w:rPr>
                <w:rFonts w:eastAsia="Times New Roman" w:cs="Times New Roman"/>
                <w:bCs/>
              </w:rPr>
              <w:t>8. Revenue Recognition Principle</w:t>
            </w:r>
          </w:p>
          <w:p w:rsidR="000E62F1" w:rsidRPr="004D278F" w:rsidRDefault="000E62F1" w:rsidP="009776E5">
            <w:pPr>
              <w:spacing w:after="0" w:line="360" w:lineRule="auto"/>
              <w:ind w:left="360"/>
              <w:rPr>
                <w:rFonts w:eastAsia="Times New Roman" w:cs="Times New Roman"/>
                <w:bCs/>
              </w:rPr>
            </w:pPr>
            <w:r w:rsidRPr="004D278F">
              <w:rPr>
                <w:rFonts w:eastAsia="Times New Roman" w:cs="Times New Roman"/>
                <w:bCs/>
              </w:rPr>
              <w:t>9. Materiality</w:t>
            </w:r>
          </w:p>
          <w:p w:rsidR="00660FE1" w:rsidRPr="004D278F" w:rsidRDefault="000E62F1" w:rsidP="009776E5">
            <w:pPr>
              <w:spacing w:after="0" w:line="360" w:lineRule="auto"/>
              <w:ind w:left="360"/>
              <w:rPr>
                <w:rFonts w:eastAsia="Times New Roman" w:cs="Times New Roman"/>
              </w:rPr>
            </w:pPr>
            <w:r w:rsidRPr="004D278F">
              <w:rPr>
                <w:rFonts w:eastAsia="Times New Roman" w:cs="Times New Roman"/>
                <w:bCs/>
              </w:rPr>
              <w:t>10. Conservatism</w:t>
            </w:r>
          </w:p>
        </w:tc>
        <w:tc>
          <w:tcPr>
            <w:tcW w:w="0" w:type="auto"/>
            <w:vAlign w:val="center"/>
            <w:hideMark/>
          </w:tcPr>
          <w:p w:rsidR="00660FE1" w:rsidRPr="004D278F" w:rsidRDefault="00660FE1" w:rsidP="009776E5">
            <w:pPr>
              <w:spacing w:after="0" w:line="360" w:lineRule="auto"/>
              <w:ind w:left="360"/>
              <w:rPr>
                <w:rFonts w:eastAsia="Times New Roman" w:cs="Times New Roman"/>
              </w:rPr>
            </w:pPr>
          </w:p>
        </w:tc>
      </w:tr>
      <w:tr w:rsidR="00660FE1" w:rsidRPr="004D278F" w:rsidTr="000E62F1">
        <w:trPr>
          <w:tblCellSpacing w:w="15" w:type="dxa"/>
        </w:trPr>
        <w:tc>
          <w:tcPr>
            <w:tcW w:w="9324" w:type="dxa"/>
            <w:vAlign w:val="center"/>
            <w:hideMark/>
          </w:tcPr>
          <w:p w:rsidR="00660FE1" w:rsidRPr="004D278F" w:rsidRDefault="00660FE1" w:rsidP="009776E5">
            <w:pPr>
              <w:spacing w:after="0" w:line="360" w:lineRule="auto"/>
              <w:rPr>
                <w:rFonts w:eastAsia="Times New Roman" w:cs="Times New Roman"/>
              </w:rPr>
            </w:pPr>
          </w:p>
        </w:tc>
        <w:tc>
          <w:tcPr>
            <w:tcW w:w="0" w:type="auto"/>
            <w:vAlign w:val="center"/>
            <w:hideMark/>
          </w:tcPr>
          <w:p w:rsidR="00660FE1" w:rsidRPr="004D278F" w:rsidRDefault="00660FE1" w:rsidP="009776E5">
            <w:pPr>
              <w:spacing w:after="0" w:line="360" w:lineRule="auto"/>
              <w:rPr>
                <w:rFonts w:eastAsia="Times New Roman" w:cs="Times New Roman"/>
              </w:rPr>
            </w:pPr>
          </w:p>
        </w:tc>
      </w:tr>
      <w:tr w:rsidR="00660FE1" w:rsidRPr="004D278F" w:rsidTr="000E62F1">
        <w:trPr>
          <w:tblCellSpacing w:w="15" w:type="dxa"/>
        </w:trPr>
        <w:tc>
          <w:tcPr>
            <w:tcW w:w="9324" w:type="dxa"/>
            <w:vAlign w:val="center"/>
            <w:hideMark/>
          </w:tcPr>
          <w:p w:rsidR="00660FE1" w:rsidRPr="004D278F" w:rsidRDefault="00660FE1" w:rsidP="009776E5">
            <w:pPr>
              <w:spacing w:after="0" w:line="360" w:lineRule="auto"/>
              <w:rPr>
                <w:rFonts w:eastAsia="Times New Roman" w:cs="Times New Roman"/>
              </w:rPr>
            </w:pPr>
          </w:p>
        </w:tc>
        <w:tc>
          <w:tcPr>
            <w:tcW w:w="0" w:type="auto"/>
            <w:vAlign w:val="center"/>
            <w:hideMark/>
          </w:tcPr>
          <w:p w:rsidR="00660FE1" w:rsidRPr="004D278F" w:rsidRDefault="00660FE1" w:rsidP="009776E5">
            <w:pPr>
              <w:spacing w:after="0" w:line="360" w:lineRule="auto"/>
              <w:rPr>
                <w:rFonts w:eastAsia="Times New Roman" w:cs="Times New Roman"/>
              </w:rPr>
            </w:pPr>
          </w:p>
        </w:tc>
      </w:tr>
    </w:tbl>
    <w:p w:rsidR="001307AC" w:rsidRPr="004D278F" w:rsidRDefault="001307AC" w:rsidP="009776E5">
      <w:pPr>
        <w:pStyle w:val="ListParagraph"/>
        <w:spacing w:before="100" w:beforeAutospacing="1" w:after="100" w:afterAutospacing="1" w:line="360" w:lineRule="auto"/>
        <w:rPr>
          <w:rFonts w:cs="Times New Roman"/>
        </w:rPr>
      </w:pPr>
    </w:p>
    <w:p w:rsidR="001307AC" w:rsidRPr="004D278F" w:rsidRDefault="001307AC" w:rsidP="009776E5">
      <w:pPr>
        <w:spacing w:before="100" w:beforeAutospacing="1" w:after="100" w:afterAutospacing="1" w:line="360" w:lineRule="auto"/>
        <w:rPr>
          <w:rFonts w:eastAsia="Times New Roman" w:cs="Times New Roman"/>
        </w:rPr>
      </w:pPr>
    </w:p>
    <w:p w:rsidR="00A95266" w:rsidRPr="004D278F" w:rsidRDefault="00A95266" w:rsidP="009776E5">
      <w:pPr>
        <w:pStyle w:val="ListParagraph"/>
        <w:spacing w:before="100" w:beforeAutospacing="1" w:after="100" w:afterAutospacing="1" w:line="360" w:lineRule="auto"/>
      </w:pPr>
    </w:p>
    <w:p w:rsidR="00A95266" w:rsidRPr="004D278F" w:rsidRDefault="00A95266" w:rsidP="009776E5">
      <w:pPr>
        <w:pStyle w:val="ListParagraph"/>
        <w:spacing w:before="100" w:beforeAutospacing="1" w:after="100" w:afterAutospacing="1" w:line="360" w:lineRule="auto"/>
        <w:rPr>
          <w:rFonts w:eastAsia="Times New Roman" w:cs="Times New Roman"/>
        </w:rPr>
      </w:pPr>
    </w:p>
    <w:p w:rsidR="00C0769E" w:rsidRPr="004D278F" w:rsidRDefault="00C0769E" w:rsidP="009776E5">
      <w:pPr>
        <w:spacing w:before="100" w:beforeAutospacing="1" w:after="100" w:afterAutospacing="1" w:line="360" w:lineRule="auto"/>
        <w:rPr>
          <w:rFonts w:cs="Times New Roman"/>
        </w:rPr>
      </w:pPr>
      <w:r w:rsidRPr="004D278F">
        <w:rPr>
          <w:rFonts w:eastAsia="Times New Roman" w:cs="Times New Roman"/>
        </w:rPr>
        <w:t xml:space="preserve">                </w:t>
      </w:r>
    </w:p>
    <w:p w:rsidR="00C0769E" w:rsidRPr="004D278F" w:rsidRDefault="00C0769E" w:rsidP="009776E5">
      <w:pPr>
        <w:pStyle w:val="ListParagraph"/>
        <w:spacing w:line="360" w:lineRule="auto"/>
        <w:rPr>
          <w:rFonts w:cs="Times New Roman"/>
        </w:rPr>
      </w:pPr>
    </w:p>
    <w:p w:rsidR="00C0769E" w:rsidRPr="004D278F" w:rsidRDefault="00C0769E" w:rsidP="009776E5">
      <w:pPr>
        <w:pStyle w:val="ListParagraph"/>
        <w:spacing w:line="360" w:lineRule="auto"/>
        <w:rPr>
          <w:rFonts w:cs="Times New Roman"/>
        </w:rPr>
      </w:pPr>
    </w:p>
    <w:p w:rsidR="00C0769E" w:rsidRPr="004D278F" w:rsidRDefault="00C0769E" w:rsidP="009776E5">
      <w:pPr>
        <w:spacing w:line="360" w:lineRule="auto"/>
        <w:rPr>
          <w:rFonts w:cs="Times New Roman"/>
        </w:rPr>
      </w:pPr>
    </w:p>
    <w:p w:rsidR="00073557" w:rsidRPr="004D278F" w:rsidRDefault="00073557" w:rsidP="009776E5">
      <w:pPr>
        <w:pStyle w:val="ListParagraph"/>
        <w:spacing w:line="360" w:lineRule="auto"/>
        <w:rPr>
          <w:rFonts w:cs="Times New Roman"/>
        </w:rPr>
      </w:pPr>
    </w:p>
    <w:sectPr w:rsidR="00073557" w:rsidRPr="004D278F" w:rsidSect="000121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14B" w:rsidRDefault="00E2214B" w:rsidP="00473096">
      <w:pPr>
        <w:spacing w:after="0" w:line="240" w:lineRule="auto"/>
      </w:pPr>
      <w:r>
        <w:separator/>
      </w:r>
    </w:p>
  </w:endnote>
  <w:endnote w:type="continuationSeparator" w:id="1">
    <w:p w:rsidR="00E2214B" w:rsidRDefault="00E2214B" w:rsidP="004730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14B" w:rsidRDefault="00E2214B" w:rsidP="00473096">
      <w:pPr>
        <w:spacing w:after="0" w:line="240" w:lineRule="auto"/>
      </w:pPr>
      <w:r>
        <w:separator/>
      </w:r>
    </w:p>
  </w:footnote>
  <w:footnote w:type="continuationSeparator" w:id="1">
    <w:p w:rsidR="00E2214B" w:rsidRDefault="00E2214B" w:rsidP="004730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C5781"/>
    <w:multiLevelType w:val="hybridMultilevel"/>
    <w:tmpl w:val="51F23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73557"/>
    <w:rsid w:val="0001217D"/>
    <w:rsid w:val="000554B3"/>
    <w:rsid w:val="00073557"/>
    <w:rsid w:val="000A24D3"/>
    <w:rsid w:val="000A780C"/>
    <w:rsid w:val="000C6D2F"/>
    <w:rsid w:val="000D418B"/>
    <w:rsid w:val="000E54F6"/>
    <w:rsid w:val="000E62F1"/>
    <w:rsid w:val="001015CD"/>
    <w:rsid w:val="001276FA"/>
    <w:rsid w:val="001307AC"/>
    <w:rsid w:val="00153002"/>
    <w:rsid w:val="00183FFB"/>
    <w:rsid w:val="0019534A"/>
    <w:rsid w:val="001E5A98"/>
    <w:rsid w:val="002015F5"/>
    <w:rsid w:val="00222613"/>
    <w:rsid w:val="00274D65"/>
    <w:rsid w:val="003039CA"/>
    <w:rsid w:val="00311258"/>
    <w:rsid w:val="00336B07"/>
    <w:rsid w:val="00346BC4"/>
    <w:rsid w:val="00357281"/>
    <w:rsid w:val="00394A7C"/>
    <w:rsid w:val="003B0D2F"/>
    <w:rsid w:val="0041391A"/>
    <w:rsid w:val="00473096"/>
    <w:rsid w:val="00481F9C"/>
    <w:rsid w:val="00494602"/>
    <w:rsid w:val="004D278F"/>
    <w:rsid w:val="004D3239"/>
    <w:rsid w:val="004F23AB"/>
    <w:rsid w:val="00510658"/>
    <w:rsid w:val="005318F9"/>
    <w:rsid w:val="00591090"/>
    <w:rsid w:val="00592316"/>
    <w:rsid w:val="00660FE1"/>
    <w:rsid w:val="00690647"/>
    <w:rsid w:val="00695258"/>
    <w:rsid w:val="006C02B1"/>
    <w:rsid w:val="006C46C6"/>
    <w:rsid w:val="00761CBC"/>
    <w:rsid w:val="00777069"/>
    <w:rsid w:val="007C1311"/>
    <w:rsid w:val="00817C17"/>
    <w:rsid w:val="00825E6D"/>
    <w:rsid w:val="008D42EF"/>
    <w:rsid w:val="009776E5"/>
    <w:rsid w:val="009B42BB"/>
    <w:rsid w:val="009B7E46"/>
    <w:rsid w:val="009D49E3"/>
    <w:rsid w:val="00A21602"/>
    <w:rsid w:val="00A4126A"/>
    <w:rsid w:val="00A63054"/>
    <w:rsid w:val="00A95266"/>
    <w:rsid w:val="00AA799B"/>
    <w:rsid w:val="00B327B1"/>
    <w:rsid w:val="00B3379F"/>
    <w:rsid w:val="00B41A7C"/>
    <w:rsid w:val="00B511C0"/>
    <w:rsid w:val="00C0769E"/>
    <w:rsid w:val="00C1305E"/>
    <w:rsid w:val="00C6695C"/>
    <w:rsid w:val="00D3741C"/>
    <w:rsid w:val="00DE204E"/>
    <w:rsid w:val="00E2214B"/>
    <w:rsid w:val="00E572CA"/>
    <w:rsid w:val="00E97C9E"/>
    <w:rsid w:val="00F2446E"/>
    <w:rsid w:val="00F33EED"/>
    <w:rsid w:val="00F373CE"/>
    <w:rsid w:val="00F8642B"/>
    <w:rsid w:val="00FA23DB"/>
    <w:rsid w:val="00FD6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17D"/>
  </w:style>
  <w:style w:type="paragraph" w:styleId="Heading1">
    <w:name w:val="heading 1"/>
    <w:basedOn w:val="Normal"/>
    <w:next w:val="Normal"/>
    <w:link w:val="Heading1Char"/>
    <w:uiPriority w:val="9"/>
    <w:qFormat/>
    <w:rsid w:val="0005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76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557"/>
    <w:pPr>
      <w:ind w:left="720"/>
      <w:contextualSpacing/>
    </w:pPr>
  </w:style>
  <w:style w:type="character" w:styleId="Hyperlink">
    <w:name w:val="Hyperlink"/>
    <w:basedOn w:val="DefaultParagraphFont"/>
    <w:uiPriority w:val="99"/>
    <w:semiHidden/>
    <w:unhideWhenUsed/>
    <w:rsid w:val="00C0769E"/>
    <w:rPr>
      <w:color w:val="0000FF"/>
      <w:u w:val="single"/>
    </w:rPr>
  </w:style>
  <w:style w:type="character" w:customStyle="1" w:styleId="Heading2Char">
    <w:name w:val="Heading 2 Char"/>
    <w:basedOn w:val="DefaultParagraphFont"/>
    <w:link w:val="Heading2"/>
    <w:uiPriority w:val="9"/>
    <w:rsid w:val="00C076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76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0769E"/>
  </w:style>
  <w:style w:type="paragraph" w:styleId="BalloonText">
    <w:name w:val="Balloon Text"/>
    <w:basedOn w:val="Normal"/>
    <w:link w:val="BalloonTextChar"/>
    <w:uiPriority w:val="99"/>
    <w:semiHidden/>
    <w:unhideWhenUsed/>
    <w:rsid w:val="00C07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69E"/>
    <w:rPr>
      <w:rFonts w:ascii="Tahoma" w:hAnsi="Tahoma" w:cs="Tahoma"/>
      <w:sz w:val="16"/>
      <w:szCs w:val="16"/>
    </w:rPr>
  </w:style>
  <w:style w:type="character" w:styleId="Strong">
    <w:name w:val="Strong"/>
    <w:basedOn w:val="DefaultParagraphFont"/>
    <w:uiPriority w:val="22"/>
    <w:qFormat/>
    <w:rsid w:val="000D418B"/>
    <w:rPr>
      <w:b/>
      <w:bCs/>
    </w:rPr>
  </w:style>
  <w:style w:type="character" w:customStyle="1" w:styleId="Heading1Char">
    <w:name w:val="Heading 1 Char"/>
    <w:basedOn w:val="DefaultParagraphFont"/>
    <w:link w:val="Heading1"/>
    <w:uiPriority w:val="9"/>
    <w:rsid w:val="000554B3"/>
    <w:rPr>
      <w:rFonts w:asciiTheme="majorHAnsi" w:eastAsiaTheme="majorEastAsia" w:hAnsiTheme="majorHAnsi" w:cstheme="majorBidi"/>
      <w:b/>
      <w:bCs/>
      <w:color w:val="365F91" w:themeColor="accent1" w:themeShade="BF"/>
      <w:sz w:val="28"/>
      <w:szCs w:val="28"/>
    </w:rPr>
  </w:style>
  <w:style w:type="character" w:customStyle="1" w:styleId="no-break">
    <w:name w:val="no-break"/>
    <w:basedOn w:val="DefaultParagraphFont"/>
    <w:rsid w:val="000E62F1"/>
  </w:style>
  <w:style w:type="paragraph" w:styleId="Header">
    <w:name w:val="header"/>
    <w:basedOn w:val="Normal"/>
    <w:link w:val="HeaderChar"/>
    <w:uiPriority w:val="99"/>
    <w:semiHidden/>
    <w:unhideWhenUsed/>
    <w:rsid w:val="004730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096"/>
  </w:style>
  <w:style w:type="paragraph" w:styleId="Footer">
    <w:name w:val="footer"/>
    <w:basedOn w:val="Normal"/>
    <w:link w:val="FooterChar"/>
    <w:uiPriority w:val="99"/>
    <w:semiHidden/>
    <w:unhideWhenUsed/>
    <w:rsid w:val="004730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096"/>
  </w:style>
</w:styles>
</file>

<file path=word/webSettings.xml><?xml version="1.0" encoding="utf-8"?>
<w:webSettings xmlns:r="http://schemas.openxmlformats.org/officeDocument/2006/relationships" xmlns:w="http://schemas.openxmlformats.org/wordprocessingml/2006/main">
  <w:divs>
    <w:div w:id="94446228">
      <w:bodyDiv w:val="1"/>
      <w:marLeft w:val="0"/>
      <w:marRight w:val="0"/>
      <w:marTop w:val="0"/>
      <w:marBottom w:val="0"/>
      <w:divBdr>
        <w:top w:val="none" w:sz="0" w:space="0" w:color="auto"/>
        <w:left w:val="none" w:sz="0" w:space="0" w:color="auto"/>
        <w:bottom w:val="none" w:sz="0" w:space="0" w:color="auto"/>
        <w:right w:val="none" w:sz="0" w:space="0" w:color="auto"/>
      </w:divBdr>
    </w:div>
    <w:div w:id="842277935">
      <w:bodyDiv w:val="1"/>
      <w:marLeft w:val="0"/>
      <w:marRight w:val="0"/>
      <w:marTop w:val="0"/>
      <w:marBottom w:val="0"/>
      <w:divBdr>
        <w:top w:val="none" w:sz="0" w:space="0" w:color="auto"/>
        <w:left w:val="none" w:sz="0" w:space="0" w:color="auto"/>
        <w:bottom w:val="none" w:sz="0" w:space="0" w:color="auto"/>
        <w:right w:val="none" w:sz="0" w:space="0" w:color="auto"/>
      </w:divBdr>
      <w:divsChild>
        <w:div w:id="829836194">
          <w:marLeft w:val="0"/>
          <w:marRight w:val="0"/>
          <w:marTop w:val="0"/>
          <w:marBottom w:val="0"/>
          <w:divBdr>
            <w:top w:val="none" w:sz="0" w:space="0" w:color="auto"/>
            <w:left w:val="none" w:sz="0" w:space="0" w:color="auto"/>
            <w:bottom w:val="none" w:sz="0" w:space="0" w:color="auto"/>
            <w:right w:val="none" w:sz="0" w:space="0" w:color="auto"/>
          </w:divBdr>
        </w:div>
      </w:divsChild>
    </w:div>
    <w:div w:id="1217744673">
      <w:bodyDiv w:val="1"/>
      <w:marLeft w:val="0"/>
      <w:marRight w:val="0"/>
      <w:marTop w:val="0"/>
      <w:marBottom w:val="0"/>
      <w:divBdr>
        <w:top w:val="none" w:sz="0" w:space="0" w:color="auto"/>
        <w:left w:val="none" w:sz="0" w:space="0" w:color="auto"/>
        <w:bottom w:val="none" w:sz="0" w:space="0" w:color="auto"/>
        <w:right w:val="none" w:sz="0" w:space="0" w:color="auto"/>
      </w:divBdr>
    </w:div>
    <w:div w:id="14273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statements" TargetMode="External"/><Relationship Id="rId13" Type="http://schemas.openxmlformats.org/officeDocument/2006/relationships/hyperlink" Target="http://en.wikipedia.org/wiki/Equity_%28finance%29" TargetMode="External"/><Relationship Id="rId18" Type="http://schemas.openxmlformats.org/officeDocument/2006/relationships/hyperlink" Target="http://en.wikipedia.org/wiki/Debit_%28accounting%2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Amortization" TargetMode="External"/><Relationship Id="rId7" Type="http://schemas.openxmlformats.org/officeDocument/2006/relationships/hyperlink" Target="http://en.wikipedia.org/wiki/Financial_accounting" TargetMode="External"/><Relationship Id="rId12" Type="http://schemas.openxmlformats.org/officeDocument/2006/relationships/hyperlink" Target="http://en.wikipedia.org/wiki/Financial_ratio" TargetMode="External"/><Relationship Id="rId17" Type="http://schemas.openxmlformats.org/officeDocument/2006/relationships/hyperlink" Target="http://en.wikipedia.org/wiki/Specialized_journa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Accounting" TargetMode="External"/><Relationship Id="rId20" Type="http://schemas.openxmlformats.org/officeDocument/2006/relationships/hyperlink" Target="http://en.wikipedia.org/wiki/Depreci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ternational_Accounting_Standard" TargetMode="External"/><Relationship Id="rId24" Type="http://schemas.openxmlformats.org/officeDocument/2006/relationships/hyperlink" Target="http://en.wikipedia.org/wiki/General_ledger" TargetMode="External"/><Relationship Id="rId5" Type="http://schemas.openxmlformats.org/officeDocument/2006/relationships/footnotes" Target="footnotes.xml"/><Relationship Id="rId15" Type="http://schemas.openxmlformats.org/officeDocument/2006/relationships/hyperlink" Target="http://en.wikipedia.org/wiki/Debt_to_equity_ratio" TargetMode="External"/><Relationship Id="rId23" Type="http://schemas.openxmlformats.org/officeDocument/2006/relationships/hyperlink" Target="http://en.wikipedia.org/wiki/Subledger" TargetMode="External"/><Relationship Id="rId10" Type="http://schemas.openxmlformats.org/officeDocument/2006/relationships/hyperlink" Target="http://en.wikipedia.org/wiki/Cash_and_cash_equivalents" TargetMode="External"/><Relationship Id="rId19" Type="http://schemas.openxmlformats.org/officeDocument/2006/relationships/hyperlink" Target="http://en.wikipedia.org/wiki/Credit_%28accounting%29" TargetMode="External"/><Relationship Id="rId4" Type="http://schemas.openxmlformats.org/officeDocument/2006/relationships/webSettings" Target="webSettings.xml"/><Relationship Id="rId9" Type="http://schemas.openxmlformats.org/officeDocument/2006/relationships/hyperlink" Target="http://en.wikipedia.org/wiki/Balance_sheet" TargetMode="External"/><Relationship Id="rId14" Type="http://schemas.openxmlformats.org/officeDocument/2006/relationships/hyperlink" Target="http://en.wikipedia.org/wiki/Balance_sheet" TargetMode="External"/><Relationship Id="rId22" Type="http://schemas.openxmlformats.org/officeDocument/2006/relationships/hyperlink" Target="http://en.wikipedia.org/wiki/Accounts_pay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meghraj</dc:creator>
  <cp:lastModifiedBy>ADMIN</cp:lastModifiedBy>
  <cp:revision>2</cp:revision>
  <dcterms:created xsi:type="dcterms:W3CDTF">2017-04-13T12:41:00Z</dcterms:created>
  <dcterms:modified xsi:type="dcterms:W3CDTF">2017-04-13T12:41:00Z</dcterms:modified>
</cp:coreProperties>
</file>