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24.</w:t>
      </w:r>
      <w:r>
        <w:rPr>
          <w:rtl w:val="0"/>
        </w:rPr>
        <w:t xml:space="preserve">Design DFA using simulator to accept the string having </w:t>
      </w:r>
      <w:r>
        <w:rPr>
          <w:rtl w:val="1"/>
        </w:rPr>
        <w:t>‘</w:t>
      </w:r>
      <w:r>
        <w:rPr>
          <w:rtl w:val="0"/>
        </w:rPr>
        <w:t>ab</w:t>
      </w:r>
      <w:r>
        <w:rPr>
          <w:rtl w:val="1"/>
        </w:rPr>
        <w:t xml:space="preserve">’ </w:t>
      </w:r>
      <w:r>
        <w:rPr>
          <w:rtl w:val="0"/>
        </w:rPr>
        <w:t>as substring over the set {a,b}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Screenshot 2023-08-10 at 10.47.2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8-10 at 10.47.20 AM.png" descr="Screenshot 2023-08-10 at 10.47.20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