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120"/>
        <w:jc w:val="center"/>
      </w:pPr>
      <w:r>
        <w:rPr>
          <w:rFonts w:ascii="Arial" w:cs="Arial" w:eastAsia="Arial" w:hAnsi="Arial"/>
          <w:b/>
          <w:bCs/>
          <w:color w:val="1A1A2E"/>
          <w:sz w:val="72"/>
          <w:szCs w:val="72"/>
        </w:rPr>
        <w:t xml:space="preserve">GHOSTCOIN</w:t>
      </w:r>
    </w:p>
    <w:p>
      <w:pPr>
        <w:spacing w:after="200"/>
        <w:jc w:val="center"/>
      </w:pPr>
      <w:r>
        <w:rPr>
          <w:rFonts w:ascii="Arial" w:cs="Arial" w:eastAsia="Arial" w:hAnsi="Arial"/>
          <w:b/>
          <w:bCs/>
          <w:color w:val="0E7C7B"/>
          <w:sz w:val="36"/>
          <w:szCs w:val="36"/>
        </w:rPr>
        <w:t xml:space="preserve">GHST</w:t>
      </w:r>
    </w:p>
    <w:p>
      <w:pPr>
        <w:pBdr>
          <w:bottom w:val="single" w:color="0E7C7B" w:sz="6" w:space="6"/>
        </w:pBdr>
        <w:spacing w:after="120"/>
        <w:jc w:val="center"/>
      </w:pPr>
      <w:r>
        <w:rPr>
          <w:rFonts w:ascii="Arial" w:cs="Arial" w:eastAsia="Arial" w:hAnsi="Arial"/>
          <w:color w:val="4A4A4A"/>
          <w:sz w:val="28"/>
          <w:szCs w:val="28"/>
        </w:rPr>
        <w:t xml:space="preserve">Technical Whitepaper  v0.1</w:t>
      </w:r>
    </w:p>
    <w:p>
      <w:pPr>
        <w:spacing w:after="0"/>
      </w:pPr>
      <w:r>
        <w:t xml:space="preserve"/>
      </w:r>
    </w:p>
    <w:p>
      <w:pPr>
        <w:spacing w:after="0"/>
      </w:pPr>
      <w:r>
        <w:t xml:space="preserve"/>
      </w:r>
    </w:p>
    <w:p>
      <w:pPr>
        <w:spacing w:after="80"/>
        <w:jc w:val="center"/>
      </w:pPr>
      <w:r>
        <w:rPr>
          <w:rFonts w:ascii="Arial" w:cs="Arial" w:eastAsia="Arial" w:hAnsi="Arial"/>
          <w:i/>
          <w:iCs/>
          <w:color w:val="4A4A4A"/>
          <w:sz w:val="26"/>
          <w:szCs w:val="26"/>
        </w:rPr>
        <w:t xml:space="preserve">A Privacy-First Layer-1 Blockchain Built in Rust</w:t>
      </w:r>
    </w:p>
    <w:p>
      <w:pPr>
        <w:spacing w:after="80"/>
        <w:jc w:val="center"/>
      </w:pPr>
      <w:r>
        <w:rPr>
          <w:rFonts w:ascii="Arial" w:cs="Arial" w:eastAsia="Arial" w:hAnsi="Arial"/>
          <w:color w:val="888888"/>
          <w:sz w:val="22"/>
          <w:szCs w:val="22"/>
        </w:rPr>
        <w:t xml:space="preserve">Proof of Work  |  Stealth Addresses  |  Ring Signatures  |  Dandelion++</w:t>
      </w:r>
    </w:p>
    <w:p>
      <w:pPr>
        <w:spacing w:after="0"/>
      </w:pPr>
      <w:r>
        <w:t xml:space="preserve"/>
      </w:r>
    </w:p>
    <w:p>
      <w:pPr>
        <w:spacing w:after="0"/>
      </w:pPr>
      <w:r>
        <w:t xml:space="preserve"/>
      </w:r>
    </w:p>
    <w:p>
      <w:pPr>
        <w:jc w:val="center"/>
      </w:pPr>
      <w:r>
        <w:rPr>
          <w:rFonts w:ascii="Arial" w:cs="Arial" w:eastAsia="Arial" w:hAnsi="Arial"/>
          <w:color w:val="AAAAAA"/>
          <w:sz w:val="20"/>
          <w:szCs w:val="20"/>
        </w:rPr>
        <w:t xml:space="preserve">Testnet v1  —  2025</w:t>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Disclaimer</w:t>
      </w:r>
    </w:p>
    <w:p>
      <w:pPr>
        <w:spacing w:after="160"/>
      </w:pPr>
      <w:r>
        <w:rPr>
          <w:rFonts w:ascii="Arial" w:cs="Arial" w:eastAsia="Arial" w:hAnsi="Arial"/>
          <w:b w:val="false"/>
          <w:bCs w:val="false"/>
          <w:i w:val="false"/>
          <w:iCs w:val="false"/>
          <w:color w:val="222222"/>
          <w:sz w:val="22"/>
          <w:szCs w:val="22"/>
        </w:rPr>
        <w:t xml:space="preserve">This document is a technical whitepaper describing the architecture and design of the GhostCoin (GHST) protocol at testnet v1 stage. It is provided for informational purposes only.</w:t>
      </w:r>
    </w:p>
    <w:p>
      <w:pPr>
        <w:spacing w:after="160"/>
      </w:pPr>
      <w:r>
        <w:rPr>
          <w:rFonts w:ascii="Arial" w:cs="Arial" w:eastAsia="Arial" w:hAnsi="Arial"/>
          <w:b w:val="false"/>
          <w:bCs w:val="false"/>
          <w:i w:val="false"/>
          <w:iCs w:val="false"/>
          <w:color w:val="222222"/>
          <w:sz w:val="22"/>
          <w:szCs w:val="22"/>
        </w:rPr>
        <w:t xml:space="preserve">GhostCoin is currently in active development. Features described herein reflect the state of the codebase at commit aab4040 on the main branch. Features marked as Roadmap v2 are planned but not yet implemented.</w:t>
      </w:r>
    </w:p>
    <w:p>
      <w:pPr>
        <w:spacing w:after="160"/>
      </w:pPr>
      <w:r>
        <w:rPr>
          <w:rFonts w:ascii="Arial" w:cs="Arial" w:eastAsia="Arial" w:hAnsi="Arial"/>
          <w:b w:val="false"/>
          <w:bCs w:val="false"/>
          <w:i w:val="false"/>
          <w:iCs w:val="false"/>
          <w:color w:val="222222"/>
          <w:sz w:val="22"/>
          <w:szCs w:val="22"/>
        </w:rPr>
        <w:t xml:space="preserve">This document does not constitute a financial prospectus, investment solicitation, or offer of securities. Potential participants should seek independent legal and financial advice, particularly regarding applicable regulations in their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Canada</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Canadian participants should be aware of obligations under the Autorite des marches financiers (AMF, Quebec), FINTRAC, and applicable securities legislation before participating in any token distribution.</w:t>
            </w:r>
          </w:p>
        </w:tc>
      </w:tr>
    </w:tbl>
    <w:p>
      <w:pPr>
        <w:spacing w:after="0"/>
      </w:pPr>
      <w:r>
        <w:t xml:space="preserve"/>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1.  Abstract</w:t>
      </w:r>
    </w:p>
    <w:p>
      <w:pPr>
        <w:spacing w:after="160"/>
      </w:pPr>
      <w:r>
        <w:rPr>
          <w:rFonts w:ascii="Arial" w:cs="Arial" w:eastAsia="Arial" w:hAnsi="Arial"/>
          <w:b w:val="false"/>
          <w:bCs w:val="false"/>
          <w:i w:val="false"/>
          <w:iCs w:val="false"/>
          <w:color w:val="222222"/>
          <w:sz w:val="22"/>
          <w:szCs w:val="22"/>
        </w:rPr>
        <w:t xml:space="preserve">GhostCoin (GHST) is an independent Layer-1 blockchain written entirely in Rust, designed to provide strong transaction privacy without sacrificing verifiability or decentralization. Unlike privacy features bolted onto existing chains, GhostCoin embeds privacy primitives at the protocol level: stealth addresses prevent address reuse linkability, ring signatures obscure the true sender within a set of possible signers, and Dandelion++ propagation anonymizes the network origin of transactions before they reach the mempool.</w:t>
      </w:r>
    </w:p>
    <w:p>
      <w:pPr>
        <w:spacing w:after="160"/>
      </w:pPr>
      <w:r>
        <w:rPr>
          <w:rFonts w:ascii="Arial" w:cs="Arial" w:eastAsia="Arial" w:hAnsi="Arial"/>
          <w:b w:val="false"/>
          <w:bCs w:val="false"/>
          <w:i w:val="false"/>
          <w:iCs w:val="false"/>
          <w:color w:val="222222"/>
          <w:sz w:val="22"/>
          <w:szCs w:val="22"/>
        </w:rPr>
        <w:t xml:space="preserve">The consensus mechanism is Proof of Work (SHA-256) with a fixed supply schedule modeled after Bitcoin's halving mechanism, adjusted for GhostCoin's target parameters. The total supply is capped at 50,000,000 GHST, with an initial block reward of 65 GHST halving every 210,000 blocks.</w:t>
      </w:r>
    </w:p>
    <w:p>
      <w:pPr>
        <w:spacing w:after="160"/>
      </w:pPr>
      <w:r>
        <w:rPr>
          <w:rFonts w:ascii="Arial" w:cs="Arial" w:eastAsia="Arial" w:hAnsi="Arial"/>
          <w:b w:val="false"/>
          <w:bCs w:val="false"/>
          <w:i w:val="false"/>
          <w:iCs w:val="false"/>
          <w:color w:val="222222"/>
          <w:sz w:val="22"/>
          <w:szCs w:val="22"/>
        </w:rPr>
        <w:t xml:space="preserve">This document describes the v1 testnet architecture. zk-SNARK support is designed and stubbed in the codebase but is explicitly reserved for the v2 mainnet release following an external security audit.</w:t>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2.  Motivation</w:t>
      </w:r>
    </w:p>
    <w:p>
      <w:pPr>
        <w:spacing w:after="160"/>
      </w:pPr>
      <w:r>
        <w:rPr>
          <w:rFonts w:ascii="Arial" w:cs="Arial" w:eastAsia="Arial" w:hAnsi="Arial"/>
          <w:b w:val="false"/>
          <w:bCs w:val="false"/>
          <w:i w:val="false"/>
          <w:iCs w:val="false"/>
          <w:color w:val="222222"/>
          <w:sz w:val="22"/>
          <w:szCs w:val="22"/>
        </w:rPr>
        <w:t xml:space="preserve">Existing privacy-preserving blockchains either compromise on decentralization (Zcash trusted setup), require complex off-chain coordination (Tornado Cash), or carry significant regulatory exposure due to mixing semantics. GhostCoin takes a different approach: privacy is a first-class property of every transaction, not an optional layer or a post-hoc addition.</w:t>
      </w:r>
    </w:p>
    <w:p>
      <w:pPr>
        <w:pStyle w:val="Heading2"/>
        <w:spacing w:after="140" w:before="300"/>
      </w:pPr>
      <w:r>
        <w:rPr>
          <w:rFonts w:ascii="Arial" w:cs="Arial" w:eastAsia="Arial" w:hAnsi="Arial"/>
          <w:b/>
          <w:bCs/>
          <w:color w:val="0F3460"/>
          <w:sz w:val="26"/>
          <w:szCs w:val="26"/>
        </w:rPr>
        <w:t xml:space="preserve">2.1  The Privacy Gap</w:t>
      </w:r>
    </w:p>
    <w:p>
      <w:pPr>
        <w:spacing w:after="160"/>
      </w:pPr>
      <w:r>
        <w:rPr>
          <w:rFonts w:ascii="Arial" w:cs="Arial" w:eastAsia="Arial" w:hAnsi="Arial"/>
          <w:b w:val="false"/>
          <w:bCs w:val="false"/>
          <w:i w:val="false"/>
          <w:iCs w:val="false"/>
          <w:color w:val="222222"/>
          <w:sz w:val="22"/>
          <w:szCs w:val="22"/>
        </w:rPr>
        <w:t xml:space="preserve">Bitcoin and Ethereum transactions are fully transparent on-chain. While pseudonymous in principle, transaction graph analysis routinely de-anonymizes users. Chain analytics firms can trace fund flows with high accuracy using clustering heuristics, exchange deposit address reuse, and behavioral patterns.</w:t>
      </w:r>
    </w:p>
    <w:p>
      <w:pPr>
        <w:pStyle w:val="Heading2"/>
        <w:spacing w:after="140" w:before="300"/>
      </w:pPr>
      <w:r>
        <w:rPr>
          <w:rFonts w:ascii="Arial" w:cs="Arial" w:eastAsia="Arial" w:hAnsi="Arial"/>
          <w:b/>
          <w:bCs/>
          <w:color w:val="0F3460"/>
          <w:sz w:val="26"/>
          <w:szCs w:val="26"/>
        </w:rPr>
        <w:t xml:space="preserve">2.2  Design Goals</w:t>
      </w:r>
    </w:p>
    <w:p>
      <w:pPr>
        <w:pStyle w:val="ListParagraph"/>
        <w:numPr>
          <w:ilvl w:val="0"/>
          <w:numId w:val="2"/>
        </w:numPr>
        <w:spacing w:after="100"/>
      </w:pPr>
      <w:r>
        <w:rPr>
          <w:rFonts w:ascii="Arial" w:cs="Arial" w:eastAsia="Arial" w:hAnsi="Arial"/>
          <w:color w:val="333333"/>
          <w:sz w:val="22"/>
          <w:szCs w:val="22"/>
        </w:rPr>
        <w:t xml:space="preserve">Sender privacy via ring signatures at the protocol level</w:t>
      </w:r>
    </w:p>
    <w:p>
      <w:pPr>
        <w:pStyle w:val="ListParagraph"/>
        <w:numPr>
          <w:ilvl w:val="0"/>
          <w:numId w:val="2"/>
        </w:numPr>
        <w:spacing w:after="100"/>
      </w:pPr>
      <w:r>
        <w:rPr>
          <w:rFonts w:ascii="Arial" w:cs="Arial" w:eastAsia="Arial" w:hAnsi="Arial"/>
          <w:color w:val="333333"/>
          <w:sz w:val="22"/>
          <w:szCs w:val="22"/>
        </w:rPr>
        <w:t xml:space="preserve">Recipient privacy via one-time stealth addresses</w:t>
      </w:r>
    </w:p>
    <w:p>
      <w:pPr>
        <w:pStyle w:val="ListParagraph"/>
        <w:numPr>
          <w:ilvl w:val="0"/>
          <w:numId w:val="2"/>
        </w:numPr>
        <w:spacing w:after="100"/>
      </w:pPr>
      <w:r>
        <w:rPr>
          <w:rFonts w:ascii="Arial" w:cs="Arial" w:eastAsia="Arial" w:hAnsi="Arial"/>
          <w:color w:val="333333"/>
          <w:sz w:val="22"/>
          <w:szCs w:val="22"/>
        </w:rPr>
        <w:t xml:space="preserve">Network-level privacy via Dandelion++ transaction propagation</w:t>
      </w:r>
    </w:p>
    <w:p>
      <w:pPr>
        <w:pStyle w:val="ListParagraph"/>
        <w:numPr>
          <w:ilvl w:val="0"/>
          <w:numId w:val="2"/>
        </w:numPr>
        <w:spacing w:after="100"/>
      </w:pPr>
      <w:r>
        <w:rPr>
          <w:rFonts w:ascii="Arial" w:cs="Arial" w:eastAsia="Arial" w:hAnsi="Arial"/>
          <w:color w:val="333333"/>
          <w:sz w:val="22"/>
          <w:szCs w:val="22"/>
        </w:rPr>
        <w:t xml:space="preserve">Fixed, auditable supply with no pre-mine beyond genesis configuration</w:t>
      </w:r>
    </w:p>
    <w:p>
      <w:pPr>
        <w:pStyle w:val="ListParagraph"/>
        <w:numPr>
          <w:ilvl w:val="0"/>
          <w:numId w:val="2"/>
        </w:numPr>
        <w:spacing w:after="100"/>
      </w:pPr>
      <w:r>
        <w:rPr>
          <w:rFonts w:ascii="Arial" w:cs="Arial" w:eastAsia="Arial" w:hAnsi="Arial"/>
          <w:color w:val="333333"/>
          <w:sz w:val="22"/>
          <w:szCs w:val="22"/>
        </w:rPr>
        <w:t xml:space="preserve">Permissionless mining via SHA-256 Proof of Work</w:t>
      </w:r>
    </w:p>
    <w:p>
      <w:pPr>
        <w:pStyle w:val="ListParagraph"/>
        <w:numPr>
          <w:ilvl w:val="0"/>
          <w:numId w:val="2"/>
        </w:numPr>
        <w:spacing w:after="100"/>
      </w:pPr>
      <w:r>
        <w:rPr>
          <w:rFonts w:ascii="Arial" w:cs="Arial" w:eastAsia="Arial" w:hAnsi="Arial"/>
          <w:color w:val="333333"/>
          <w:sz w:val="22"/>
          <w:szCs w:val="22"/>
        </w:rPr>
        <w:t xml:space="preserve">Full node implementation in Rust for memory safety and performance</w:t>
      </w:r>
    </w:p>
    <w:p>
      <w:pPr>
        <w:spacing w:after="0"/>
      </w:pPr>
      <w:r>
        <w:t xml:space="preserve"/>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3.  Technical Architecture</w:t>
      </w:r>
    </w:p>
    <w:p>
      <w:pPr>
        <w:pStyle w:val="Heading2"/>
        <w:spacing w:after="140" w:before="300"/>
      </w:pPr>
      <w:r>
        <w:rPr>
          <w:rFonts w:ascii="Arial" w:cs="Arial" w:eastAsia="Arial" w:hAnsi="Arial"/>
          <w:b/>
          <w:bCs/>
          <w:color w:val="0F3460"/>
          <w:sz w:val="26"/>
          <w:szCs w:val="26"/>
        </w:rPr>
        <w:t xml:space="preserve">3.1  Consensus: Proof of Work (SHA-256)</w:t>
      </w:r>
    </w:p>
    <w:p>
      <w:pPr>
        <w:spacing w:after="160"/>
      </w:pPr>
      <w:r>
        <w:rPr>
          <w:rFonts w:ascii="Arial" w:cs="Arial" w:eastAsia="Arial" w:hAnsi="Arial"/>
          <w:b w:val="false"/>
          <w:bCs w:val="false"/>
          <w:i w:val="false"/>
          <w:iCs w:val="false"/>
          <w:color w:val="222222"/>
          <w:sz w:val="22"/>
          <w:szCs w:val="22"/>
        </w:rPr>
        <w:t xml:space="preserve">GhostCoin uses SHA-256 Proof of Work as its consensus mechanism. Difficulty is expressed as a required number of leading hexadecimal zero characters in the block hash, adjusted periodically based on observed block production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PoW Rule</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A block hash is valid if and only if it contains at least D leading hexadecimal zero characters, where D is the current network difficulty.</w:t>
            </w:r>
          </w:p>
        </w:tc>
      </w:tr>
    </w:tbl>
    <w:p>
      <w:pPr>
        <w:spacing w:after="0"/>
      </w:pPr>
      <w:r>
        <w:t xml:space="preserve"/>
      </w:r>
    </w:p>
    <w:p>
      <w:pPr>
        <w:spacing w:after="160"/>
      </w:pPr>
      <w:r>
        <w:rPr>
          <w:rFonts w:ascii="Arial" w:cs="Arial" w:eastAsia="Arial" w:hAnsi="Arial"/>
          <w:b w:val="false"/>
          <w:bCs w:val="false"/>
          <w:i w:val="false"/>
          <w:iCs w:val="false"/>
          <w:color w:val="222222"/>
          <w:sz w:val="22"/>
          <w:szCs w:val="22"/>
        </w:rPr>
        <w:t xml:space="preserve">This approach was chosen for its simplicity, auditability, and compatibility with standard mining tooling. The difficulty adjustment algorithm targets a consistent inter-block time, re-evaluated at fixed intervals.</w:t>
      </w:r>
    </w:p>
    <w:p>
      <w:pPr>
        <w:spacing w:after="160"/>
      </w:pPr>
      <w:r>
        <w:rPr>
          <w:rFonts w:ascii="Arial" w:cs="Arial" w:eastAsia="Arial" w:hAnsi="Arial"/>
          <w:b w:val="false"/>
          <w:bCs w:val="false"/>
          <w:i w:val="false"/>
          <w:iCs w:val="false"/>
          <w:color w:val="222222"/>
          <w:sz w:val="22"/>
          <w:szCs w:val="22"/>
        </w:rPr>
        <w:t xml:space="preserve">Key consensus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Algorithm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SHA-256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Double-hash per block</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Difficulty unit</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Hex prefix zeros</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Adjusted periodically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 time 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Adjustment at fixed intervals</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Chain selection</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Longest valid chain</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Standard Nakamoto consensus</w:t>
            </w:r>
          </w:p>
        </w:tc>
      </w:tr>
    </w:tbl>
    <w:p>
      <w:pPr>
        <w:spacing w:after="0"/>
      </w:pPr>
      <w:r>
        <w:t xml:space="preserve"/>
      </w:r>
    </w:p>
    <w:p>
      <w:pPr>
        <w:pStyle w:val="Heading2"/>
        <w:spacing w:after="140" w:before="300"/>
      </w:pPr>
      <w:r>
        <w:rPr>
          <w:rFonts w:ascii="Arial" w:cs="Arial" w:eastAsia="Arial" w:hAnsi="Arial"/>
          <w:b/>
          <w:bCs/>
          <w:color w:val="0F3460"/>
          <w:sz w:val="26"/>
          <w:szCs w:val="26"/>
        </w:rPr>
        <w:t xml:space="preserve">3.2  Tokenomics</w:t>
      </w:r>
    </w:p>
    <w:p>
      <w:pPr>
        <w:spacing w:after="160"/>
      </w:pPr>
      <w:r>
        <w:rPr>
          <w:rFonts w:ascii="Arial" w:cs="Arial" w:eastAsia="Arial" w:hAnsi="Arial"/>
          <w:b w:val="false"/>
          <w:bCs w:val="false"/>
          <w:i w:val="false"/>
          <w:iCs w:val="false"/>
          <w:color w:val="222222"/>
          <w:sz w:val="22"/>
          <w:szCs w:val="22"/>
        </w:rPr>
        <w:t xml:space="preserve">The GHST supply schedule is deterministic and enforced at the consensus layer. Block rewards are validated in sync.rs as part of canonical block acceptance — a block claiming a reward higher than the protocol-defined amount for its height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supply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50,000,000 GHST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chain_state.rs</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Initial block reward</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65 GHST</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chain_state.rs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Halving interval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210,000 blocks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chain_state.rs</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Pre-mine</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Genesis block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Emission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Deflationary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Converges to 50M cap</w:t>
            </w:r>
          </w:p>
        </w:tc>
      </w:tr>
    </w:tbl>
    <w:p>
      <w:pPr>
        <w:spacing w:after="0"/>
      </w:pPr>
      <w:r>
        <w:t xml:space="preserve"/>
      </w:r>
    </w:p>
    <w:p>
      <w:pPr>
        <w:pStyle w:val="Heading3"/>
        <w:spacing w:after="100" w:before="200"/>
      </w:pPr>
      <w:r>
        <w:rPr>
          <w:rFonts w:ascii="Arial" w:cs="Arial" w:eastAsia="Arial" w:hAnsi="Arial"/>
          <w:b/>
          <w:bCs/>
          <w:color w:val="4A4A4A"/>
          <w:sz w:val="22"/>
          <w:szCs w:val="22"/>
        </w:rPr>
        <w:t xml:space="preserve">Halving Schedule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 range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Reward (GHST)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GHST issued in era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0 - 209,999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13,650,000</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210,000 - 419,999</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32.5</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6,825,000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420,000 - 629,999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3,412,500</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630,000 - 839,999</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8.125</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1,706,250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Converges to 50M</w:t>
            </w:r>
          </w:p>
        </w:tc>
      </w:tr>
    </w:tbl>
    <w:p>
      <w:pPr>
        <w:spacing w:after="0"/>
      </w:pPr>
      <w:r>
        <w:t xml:space="preserve"/>
      </w:r>
    </w:p>
    <w:p>
      <w:r>
        <w:br/>
      </w:r>
    </w:p>
    <w:p>
      <w:pPr>
        <w:pStyle w:val="Heading2"/>
        <w:spacing w:after="140" w:before="300"/>
      </w:pPr>
      <w:r>
        <w:rPr>
          <w:rFonts w:ascii="Arial" w:cs="Arial" w:eastAsia="Arial" w:hAnsi="Arial"/>
          <w:b/>
          <w:bCs/>
          <w:color w:val="0F3460"/>
          <w:sz w:val="26"/>
          <w:szCs w:val="26"/>
        </w:rPr>
        <w:t xml:space="preserve">3.3  Privacy Stack</w:t>
      </w:r>
    </w:p>
    <w:p>
      <w:pPr>
        <w:spacing w:after="160"/>
      </w:pPr>
      <w:r>
        <w:rPr>
          <w:rFonts w:ascii="Arial" w:cs="Arial" w:eastAsia="Arial" w:hAnsi="Arial"/>
          <w:b w:val="false"/>
          <w:bCs w:val="false"/>
          <w:i w:val="false"/>
          <w:iCs w:val="false"/>
          <w:color w:val="222222"/>
          <w:sz w:val="22"/>
          <w:szCs w:val="22"/>
        </w:rPr>
        <w:t xml:space="preserve">GhostCoin's v1 privacy stack consists of three complementary layers, each addressing a different attack surface.</w:t>
      </w:r>
    </w:p>
    <w:p>
      <w:pPr>
        <w:pStyle w:val="Heading3"/>
        <w:spacing w:after="100" w:before="200"/>
      </w:pPr>
      <w:r>
        <w:rPr>
          <w:rFonts w:ascii="Arial" w:cs="Arial" w:eastAsia="Arial" w:hAnsi="Arial"/>
          <w:b/>
          <w:bCs/>
          <w:color w:val="4A4A4A"/>
          <w:sz w:val="22"/>
          <w:szCs w:val="22"/>
        </w:rPr>
        <w:t xml:space="preserve">3.3.1  Stealth Addresses  (stealth.rs)</w:t>
      </w:r>
    </w:p>
    <w:p>
      <w:pPr>
        <w:spacing w:after="160"/>
      </w:pPr>
      <w:r>
        <w:rPr>
          <w:rFonts w:ascii="Arial" w:cs="Arial" w:eastAsia="Arial" w:hAnsi="Arial"/>
          <w:b w:val="false"/>
          <w:bCs w:val="false"/>
          <w:i w:val="false"/>
          <w:iCs w:val="false"/>
          <w:color w:val="222222"/>
          <w:sz w:val="22"/>
          <w:szCs w:val="22"/>
        </w:rPr>
        <w:t xml:space="preserve">Stealth addresses allow a sender to derive a unique one-time public key for each transaction, using the recipient's published public key. The recipient scans the blockchain using their private key to identify and claim incoming transactions. No two transactions to the same recipient produce the same on-chain address.</w:t>
      </w:r>
    </w:p>
    <w:p>
      <w:pPr>
        <w:pStyle w:val="ListParagraph"/>
        <w:numPr>
          <w:ilvl w:val="0"/>
          <w:numId w:val="2"/>
        </w:numPr>
        <w:spacing w:after="100"/>
      </w:pPr>
      <w:r>
        <w:rPr>
          <w:rFonts w:ascii="Arial" w:cs="Arial" w:eastAsia="Arial" w:hAnsi="Arial"/>
          <w:color w:val="333333"/>
          <w:sz w:val="22"/>
          <w:szCs w:val="22"/>
        </w:rPr>
        <w:t xml:space="preserve">Prevents address reuse linkability</w:t>
      </w:r>
    </w:p>
    <w:p>
      <w:pPr>
        <w:pStyle w:val="ListParagraph"/>
        <w:numPr>
          <w:ilvl w:val="0"/>
          <w:numId w:val="2"/>
        </w:numPr>
        <w:spacing w:after="100"/>
      </w:pPr>
      <w:r>
        <w:rPr>
          <w:rFonts w:ascii="Arial" w:cs="Arial" w:eastAsia="Arial" w:hAnsi="Arial"/>
          <w:color w:val="333333"/>
          <w:sz w:val="22"/>
          <w:szCs w:val="22"/>
        </w:rPr>
        <w:t xml:space="preserve">Recipient address is never directly visible on-chain</w:t>
      </w:r>
    </w:p>
    <w:p>
      <w:pPr>
        <w:pStyle w:val="ListParagraph"/>
        <w:numPr>
          <w:ilvl w:val="0"/>
          <w:numId w:val="2"/>
        </w:numPr>
        <w:spacing w:after="100"/>
      </w:pPr>
      <w:r>
        <w:rPr>
          <w:rFonts w:ascii="Arial" w:cs="Arial" w:eastAsia="Arial" w:hAnsi="Arial"/>
          <w:color w:val="333333"/>
          <w:sz w:val="22"/>
          <w:szCs w:val="22"/>
        </w:rPr>
        <w:t xml:space="preserve">Implemented in stealth.rs — active in v1 testnet</w:t>
      </w:r>
    </w:p>
    <w:p>
      <w:pPr>
        <w:spacing w:after="0"/>
      </w:pPr>
      <w:r>
        <w:t xml:space="preserve"/>
      </w:r>
    </w:p>
    <w:p>
      <w:pPr>
        <w:pStyle w:val="Heading3"/>
        <w:spacing w:after="100" w:before="200"/>
      </w:pPr>
      <w:r>
        <w:rPr>
          <w:rFonts w:ascii="Arial" w:cs="Arial" w:eastAsia="Arial" w:hAnsi="Arial"/>
          <w:b/>
          <w:bCs/>
          <w:color w:val="4A4A4A"/>
          <w:sz w:val="22"/>
          <w:szCs w:val="22"/>
        </w:rPr>
        <w:t xml:space="preserve">3.3.2  Ring Signatures  (ring_signature.rs)</w:t>
      </w:r>
    </w:p>
    <w:p>
      <w:pPr>
        <w:spacing w:after="160"/>
      </w:pPr>
      <w:r>
        <w:rPr>
          <w:rFonts w:ascii="Arial" w:cs="Arial" w:eastAsia="Arial" w:hAnsi="Arial"/>
          <w:b w:val="false"/>
          <w:bCs w:val="false"/>
          <w:i w:val="false"/>
          <w:iCs w:val="false"/>
          <w:color w:val="222222"/>
          <w:sz w:val="22"/>
          <w:szCs w:val="22"/>
        </w:rPr>
        <w:t xml:space="preserve">Ring signatures allow a transaction sender to sign on behalf of a group of possible signers (a ring), without revealing which member of the ring is the actual signer. Verifiers can confirm that one member of the ring signed, but cannot determine which one.</w:t>
      </w:r>
    </w:p>
    <w:p>
      <w:pPr>
        <w:pStyle w:val="ListParagraph"/>
        <w:numPr>
          <w:ilvl w:val="0"/>
          <w:numId w:val="2"/>
        </w:numPr>
        <w:spacing w:after="100"/>
      </w:pPr>
      <w:r>
        <w:rPr>
          <w:rFonts w:ascii="Arial" w:cs="Arial" w:eastAsia="Arial" w:hAnsi="Arial"/>
          <w:color w:val="333333"/>
          <w:sz w:val="22"/>
          <w:szCs w:val="22"/>
        </w:rPr>
        <w:t xml:space="preserve">Obscures the true sender within a set of plausible senders</w:t>
      </w:r>
    </w:p>
    <w:p>
      <w:pPr>
        <w:pStyle w:val="ListParagraph"/>
        <w:numPr>
          <w:ilvl w:val="0"/>
          <w:numId w:val="2"/>
        </w:numPr>
        <w:spacing w:after="100"/>
      </w:pPr>
      <w:r>
        <w:rPr>
          <w:rFonts w:ascii="Arial" w:cs="Arial" w:eastAsia="Arial" w:hAnsi="Arial"/>
          <w:color w:val="333333"/>
          <w:sz w:val="22"/>
          <w:szCs w:val="22"/>
        </w:rPr>
        <w:t xml:space="preserve">Ring members are drawn from existing outputs on-chain</w:t>
      </w:r>
    </w:p>
    <w:p>
      <w:pPr>
        <w:pStyle w:val="ListParagraph"/>
        <w:numPr>
          <w:ilvl w:val="0"/>
          <w:numId w:val="2"/>
        </w:numPr>
        <w:spacing w:after="100"/>
      </w:pPr>
      <w:r>
        <w:rPr>
          <w:rFonts w:ascii="Arial" w:cs="Arial" w:eastAsia="Arial" w:hAnsi="Arial"/>
          <w:color w:val="333333"/>
          <w:sz w:val="22"/>
          <w:szCs w:val="22"/>
        </w:rPr>
        <w:t xml:space="preserve">Implemented in ring_signature.rs — active in v1 testnet</w:t>
      </w:r>
    </w:p>
    <w:p>
      <w:pPr>
        <w:spacing w:after="0"/>
      </w:pPr>
      <w:r>
        <w:t xml:space="preserve"/>
      </w:r>
    </w:p>
    <w:p>
      <w:pPr>
        <w:pStyle w:val="Heading3"/>
        <w:spacing w:after="100" w:before="200"/>
      </w:pPr>
      <w:r>
        <w:rPr>
          <w:rFonts w:ascii="Arial" w:cs="Arial" w:eastAsia="Arial" w:hAnsi="Arial"/>
          <w:b/>
          <w:bCs/>
          <w:color w:val="4A4A4A"/>
          <w:sz w:val="22"/>
          <w:szCs w:val="22"/>
        </w:rPr>
        <w:t xml:space="preserve">3.3.3  Dandelion++ Transaction Propagation  (dandelion.rs)</w:t>
      </w:r>
    </w:p>
    <w:p>
      <w:pPr>
        <w:spacing w:after="160"/>
      </w:pPr>
      <w:r>
        <w:rPr>
          <w:rFonts w:ascii="Arial" w:cs="Arial" w:eastAsia="Arial" w:hAnsi="Arial"/>
          <w:b w:val="false"/>
          <w:bCs w:val="false"/>
          <w:i w:val="false"/>
          <w:iCs w:val="false"/>
          <w:color w:val="222222"/>
          <w:sz w:val="22"/>
          <w:szCs w:val="22"/>
        </w:rPr>
        <w:t xml:space="preserve">Dandelion++ is a network-level privacy protocol that anonymizes the origin of transactions before they are broadcast to the wider network. Transactions begin in a stem phase, propagating along a single random path, before entering a fluff phase for standard broadcast. This prevents passive network observers from identifying the originating node.</w:t>
      </w:r>
    </w:p>
    <w:p>
      <w:pPr>
        <w:pStyle w:val="ListParagraph"/>
        <w:numPr>
          <w:ilvl w:val="0"/>
          <w:numId w:val="2"/>
        </w:numPr>
        <w:spacing w:after="100"/>
      </w:pPr>
      <w:r>
        <w:rPr>
          <w:rFonts w:ascii="Arial" w:cs="Arial" w:eastAsia="Arial" w:hAnsi="Arial"/>
          <w:color w:val="333333"/>
          <w:sz w:val="22"/>
          <w:szCs w:val="22"/>
        </w:rPr>
        <w:t xml:space="preserve">Stem phase: transaction propagates along a single relay path</w:t>
      </w:r>
    </w:p>
    <w:p>
      <w:pPr>
        <w:pStyle w:val="ListParagraph"/>
        <w:numPr>
          <w:ilvl w:val="0"/>
          <w:numId w:val="2"/>
        </w:numPr>
        <w:spacing w:after="100"/>
      </w:pPr>
      <w:r>
        <w:rPr>
          <w:rFonts w:ascii="Arial" w:cs="Arial" w:eastAsia="Arial" w:hAnsi="Arial"/>
          <w:color w:val="333333"/>
          <w:sz w:val="22"/>
          <w:szCs w:val="22"/>
        </w:rPr>
        <w:t xml:space="preserve">Fluff phase: standard broadcast after randomized delay (embargo timer)</w:t>
      </w:r>
    </w:p>
    <w:p>
      <w:pPr>
        <w:pStyle w:val="ListParagraph"/>
        <w:numPr>
          <w:ilvl w:val="0"/>
          <w:numId w:val="2"/>
        </w:numPr>
        <w:spacing w:after="100"/>
      </w:pPr>
      <w:r>
        <w:rPr>
          <w:rFonts w:ascii="Arial" w:cs="Arial" w:eastAsia="Arial" w:hAnsi="Arial"/>
          <w:color w:val="333333"/>
          <w:sz w:val="22"/>
          <w:szCs w:val="22"/>
        </w:rPr>
        <w:t xml:space="preserve">Prevents IP-to-transaction correlation by network observers</w:t>
      </w:r>
    </w:p>
    <w:p>
      <w:pPr>
        <w:pStyle w:val="ListParagraph"/>
        <w:numPr>
          <w:ilvl w:val="0"/>
          <w:numId w:val="2"/>
        </w:numPr>
        <w:spacing w:after="100"/>
      </w:pPr>
      <w:r>
        <w:rPr>
          <w:rFonts w:ascii="Arial" w:cs="Arial" w:eastAsia="Arial" w:hAnsi="Arial"/>
          <w:color w:val="333333"/>
          <w:sz w:val="22"/>
          <w:szCs w:val="22"/>
        </w:rPr>
        <w:t xml:space="preserve">Routing logic implemented in dandelion.rs — stem pool and embargo timers active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 Note</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Dandelion++ routing is implemented and active. Full multi-hop relay state across a large peer set will be further hardened in v2 as the network scales.</w:t>
            </w:r>
          </w:p>
        </w:tc>
      </w:tr>
    </w:tbl>
    <w:p>
      <w:pPr>
        <w:spacing w:after="0"/>
      </w:pPr>
      <w:r>
        <w:t xml:space="preserve"/>
      </w:r>
    </w:p>
    <w:p>
      <w:r>
        <w:br/>
      </w:r>
    </w:p>
    <w:p>
      <w:pPr>
        <w:pStyle w:val="Heading2"/>
        <w:spacing w:after="140" w:before="300"/>
      </w:pPr>
      <w:r>
        <w:rPr>
          <w:rFonts w:ascii="Arial" w:cs="Arial" w:eastAsia="Arial" w:hAnsi="Arial"/>
          <w:b/>
          <w:bCs/>
          <w:color w:val="0F3460"/>
          <w:sz w:val="26"/>
          <w:szCs w:val="26"/>
        </w:rPr>
        <w:t xml:space="preserve">3.4  Network Layer</w:t>
      </w:r>
    </w:p>
    <w:p>
      <w:pPr>
        <w:spacing w:after="160"/>
      </w:pPr>
      <w:r>
        <w:rPr>
          <w:rFonts w:ascii="Arial" w:cs="Arial" w:eastAsia="Arial" w:hAnsi="Arial"/>
          <w:b w:val="false"/>
          <w:bCs w:val="false"/>
          <w:i w:val="false"/>
          <w:iCs w:val="false"/>
          <w:color w:val="222222"/>
          <w:sz w:val="22"/>
          <w:szCs w:val="22"/>
        </w:rPr>
        <w:t xml:space="preserve">The GhostCoin peer-to-peer network is implemented using asynchronous Rust (Tokio). All inter-node communication uses a length-prefixed binary framing protocol over TCP, ensuring message integrity regardless of network conditions.</w:t>
      </w:r>
    </w:p>
    <w:p>
      <w:pPr>
        <w:pStyle w:val="Heading3"/>
        <w:spacing w:after="100" w:before="200"/>
      </w:pPr>
      <w:r>
        <w:rPr>
          <w:rFonts w:ascii="Arial" w:cs="Arial" w:eastAsia="Arial" w:hAnsi="Arial"/>
          <w:b/>
          <w:bCs/>
          <w:color w:val="4A4A4A"/>
          <w:sz w:val="22"/>
          <w:szCs w:val="22"/>
        </w:rPr>
        <w:t xml:space="preserve">Message Framing</w:t>
      </w:r>
    </w:p>
    <w:p>
      <w:pPr>
        <w:spacing w:after="80"/>
        <w:ind w:left="720"/>
      </w:pPr>
      <w:r>
        <w:rPr>
          <w:rFonts w:ascii="Courier New" w:cs="Courier New" w:eastAsia="Courier New" w:hAnsi="Courier New"/>
          <w:color w:val="1A1A2E"/>
          <w:sz w:val="18"/>
          <w:szCs w:val="18"/>
        </w:rPr>
        <w:t xml:space="preserve">[ 4 bytes: message length (u32 big-endian) ][ N bytes: JSON-encoded message body ]</w:t>
      </w:r>
    </w:p>
    <w:p>
      <w:pPr>
        <w:spacing w:after="0"/>
      </w:pPr>
      <w:r>
        <w:t xml:space="preserve"/>
      </w:r>
    </w:p>
    <w:p>
      <w:pPr>
        <w:spacing w:after="160"/>
      </w:pPr>
      <w:r>
        <w:rPr>
          <w:rFonts w:ascii="Arial" w:cs="Arial" w:eastAsia="Arial" w:hAnsi="Arial"/>
          <w:b w:val="false"/>
          <w:bCs w:val="false"/>
          <w:i w:val="false"/>
          <w:iCs w:val="false"/>
          <w:color w:val="222222"/>
          <w:sz w:val="22"/>
          <w:szCs w:val="22"/>
        </w:rPr>
        <w:t xml:space="preserve">This replaces naive single-read approaches and guarantees that messages are never truncated on high-latency or lossy connections — a requirement for reliable inter-continental node synchronization.</w:t>
      </w:r>
    </w:p>
    <w:p>
      <w:pPr>
        <w:pStyle w:val="Heading3"/>
        <w:spacing w:after="100" w:before="200"/>
      </w:pPr>
      <w:r>
        <w:rPr>
          <w:rFonts w:ascii="Arial" w:cs="Arial" w:eastAsia="Arial" w:hAnsi="Arial"/>
          <w:b/>
          <w:bCs/>
          <w:color w:val="4A4A4A"/>
          <w:sz w:val="22"/>
          <w:szCs w:val="22"/>
        </w:rPr>
        <w:t xml:space="preserve">Peer Discovery</w:t>
      </w:r>
    </w:p>
    <w:p>
      <w:pPr>
        <w:spacing w:after="160"/>
      </w:pPr>
      <w:r>
        <w:rPr>
          <w:rFonts w:ascii="Arial" w:cs="Arial" w:eastAsia="Arial" w:hAnsi="Arial"/>
          <w:b w:val="false"/>
          <w:bCs w:val="false"/>
          <w:i w:val="false"/>
          <w:iCs w:val="false"/>
          <w:color w:val="222222"/>
          <w:sz w:val="22"/>
          <w:szCs w:val="22"/>
        </w:rPr>
        <w:t xml:space="preserve">Peer discovery in v1 uses a seed-node bootstrap model with peer list exchange:</w:t>
      </w:r>
    </w:p>
    <w:p>
      <w:pPr>
        <w:pStyle w:val="ListParagraph"/>
        <w:numPr>
          <w:ilvl w:val="0"/>
          <w:numId w:val="2"/>
        </w:numPr>
        <w:spacing w:after="100"/>
      </w:pPr>
      <w:r>
        <w:rPr>
          <w:rFonts w:ascii="Arial" w:cs="Arial" w:eastAsia="Arial" w:hAnsi="Arial"/>
          <w:color w:val="333333"/>
          <w:sz w:val="22"/>
          <w:szCs w:val="22"/>
        </w:rPr>
        <w:t xml:space="preserve">Nodes connect to known seed addresses at startup</w:t>
      </w:r>
    </w:p>
    <w:p>
      <w:pPr>
        <w:pStyle w:val="ListParagraph"/>
        <w:numPr>
          <w:ilvl w:val="0"/>
          <w:numId w:val="2"/>
        </w:numPr>
        <w:spacing w:after="100"/>
      </w:pPr>
      <w:r>
        <w:rPr>
          <w:rFonts w:ascii="Arial" w:cs="Arial" w:eastAsia="Arial" w:hAnsi="Arial"/>
          <w:color w:val="333333"/>
          <w:sz w:val="22"/>
          <w:szCs w:val="22"/>
        </w:rPr>
        <w:t xml:space="preserve">On connection, nodes exchange Hello messages containing their current chain height</w:t>
      </w:r>
    </w:p>
    <w:p>
      <w:pPr>
        <w:pStyle w:val="ListParagraph"/>
        <w:numPr>
          <w:ilvl w:val="0"/>
          <w:numId w:val="2"/>
        </w:numPr>
        <w:spacing w:after="100"/>
      </w:pPr>
      <w:r>
        <w:rPr>
          <w:rFonts w:ascii="Arial" w:cs="Arial" w:eastAsia="Arial" w:hAnsi="Arial"/>
          <w:color w:val="333333"/>
          <w:sz w:val="22"/>
          <w:szCs w:val="22"/>
        </w:rPr>
        <w:t xml:space="preserve">Nodes share their peer list (up to 20 peers) via PeerList messages</w:t>
      </w:r>
    </w:p>
    <w:p>
      <w:pPr>
        <w:pStyle w:val="ListParagraph"/>
        <w:numPr>
          <w:ilvl w:val="0"/>
          <w:numId w:val="2"/>
        </w:numPr>
        <w:spacing w:after="100"/>
      </w:pPr>
      <w:r>
        <w:rPr>
          <w:rFonts w:ascii="Arial" w:cs="Arial" w:eastAsia="Arial" w:hAnsi="Arial"/>
          <w:color w:val="333333"/>
          <w:sz w:val="22"/>
          <w:szCs w:val="22"/>
        </w:rPr>
        <w:t xml:space="preserve">Outbound connections use exponential backoff (2s base, 120s cap, 6 attempts)</w:t>
      </w:r>
    </w:p>
    <w:p>
      <w:pPr>
        <w:pStyle w:val="ListParagraph"/>
        <w:numPr>
          <w:ilvl w:val="0"/>
          <w:numId w:val="2"/>
        </w:numPr>
        <w:spacing w:after="100"/>
      </w:pPr>
      <w:r>
        <w:rPr>
          <w:rFonts w:ascii="Arial" w:cs="Arial" w:eastAsia="Arial" w:hAnsi="Arial"/>
          <w:color w:val="333333"/>
          <w:sz w:val="22"/>
          <w:szCs w:val="22"/>
        </w:rPr>
        <w:t xml:space="preserve">Peer sets are capped at 50 entries to prevent memory exhaustion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Roadmap v2</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DHT-based peer discovery (Kademlia) is planned for v2 to eliminate reliance on static seed nodes and improve decentralization.</w:t>
            </w:r>
          </w:p>
        </w:tc>
      </w:tr>
    </w:tbl>
    <w:p>
      <w:pPr>
        <w:spacing w:after="0"/>
      </w:pPr>
      <w:r>
        <w:t xml:space="preserve"/>
      </w:r>
    </w:p>
    <w:p>
      <w:pPr>
        <w:pStyle w:val="Heading2"/>
        <w:spacing w:after="140" w:before="300"/>
      </w:pPr>
      <w:r>
        <w:rPr>
          <w:rFonts w:ascii="Arial" w:cs="Arial" w:eastAsia="Arial" w:hAnsi="Arial"/>
          <w:b/>
          <w:bCs/>
          <w:color w:val="0F3460"/>
          <w:sz w:val="26"/>
          <w:szCs w:val="26"/>
        </w:rPr>
        <w:t xml:space="preserve">3.5  Block Validation</w:t>
      </w:r>
    </w:p>
    <w:p>
      <w:pPr>
        <w:spacing w:after="160"/>
      </w:pPr>
      <w:r>
        <w:rPr>
          <w:rFonts w:ascii="Arial" w:cs="Arial" w:eastAsia="Arial" w:hAnsi="Arial"/>
          <w:b w:val="false"/>
          <w:bCs w:val="false"/>
          <w:i w:val="false"/>
          <w:iCs w:val="false"/>
          <w:color w:val="222222"/>
          <w:sz w:val="22"/>
          <w:szCs w:val="22"/>
        </w:rPr>
        <w:t xml:space="preserve">Block validation in GhostCoin is enforced in sync.rs at the point of network ingestion. The canonical validation pipeline rejects any block that fails the following checks, in order:</w:t>
      </w:r>
    </w:p>
    <w:p>
      <w:pPr>
        <w:pStyle w:val="ListParagraph"/>
        <w:numPr>
          <w:ilvl w:val="0"/>
          <w:numId w:val="2"/>
        </w:numPr>
        <w:spacing w:after="100"/>
      </w:pPr>
      <w:r>
        <w:rPr>
          <w:rFonts w:ascii="Arial" w:cs="Arial" w:eastAsia="Arial" w:hAnsi="Arial"/>
          <w:color w:val="333333"/>
          <w:sz w:val="22"/>
          <w:szCs w:val="22"/>
        </w:rPr>
        <w:t xml:space="preserve">Index contiguity: block index must equal current height + 1</w:t>
      </w:r>
    </w:p>
    <w:p>
      <w:pPr>
        <w:pStyle w:val="ListParagraph"/>
        <w:numPr>
          <w:ilvl w:val="0"/>
          <w:numId w:val="2"/>
        </w:numPr>
        <w:spacing w:after="100"/>
      </w:pPr>
      <w:r>
        <w:rPr>
          <w:rFonts w:ascii="Arial" w:cs="Arial" w:eastAsia="Arial" w:hAnsi="Arial"/>
          <w:color w:val="333333"/>
          <w:sz w:val="22"/>
          <w:szCs w:val="22"/>
        </w:rPr>
        <w:t xml:space="preserve">Previous hash: block's prev_hash must exactly match the hash of the last accepted block</w:t>
      </w:r>
    </w:p>
    <w:p>
      <w:pPr>
        <w:pStyle w:val="ListParagraph"/>
        <w:numPr>
          <w:ilvl w:val="0"/>
          <w:numId w:val="2"/>
        </w:numPr>
        <w:spacing w:after="100"/>
      </w:pPr>
      <w:r>
        <w:rPr>
          <w:rFonts w:ascii="Arial" w:cs="Arial" w:eastAsia="Arial" w:hAnsi="Arial"/>
          <w:color w:val="333333"/>
          <w:sz w:val="22"/>
          <w:szCs w:val="22"/>
        </w:rPr>
        <w:t xml:space="preserve">Hash integrity: the block hash is recomputed from block contents and compared to the claimed hash</w:t>
      </w:r>
    </w:p>
    <w:p>
      <w:pPr>
        <w:pStyle w:val="ListParagraph"/>
        <w:numPr>
          <w:ilvl w:val="0"/>
          <w:numId w:val="2"/>
        </w:numPr>
        <w:spacing w:after="100"/>
      </w:pPr>
      <w:r>
        <w:rPr>
          <w:rFonts w:ascii="Arial" w:cs="Arial" w:eastAsia="Arial" w:hAnsi="Arial"/>
          <w:color w:val="333333"/>
          <w:sz w:val="22"/>
          <w:szCs w:val="22"/>
        </w:rPr>
        <w:t xml:space="preserve">Proof of Work: the hash must meet the current difficulty target (leading hex zeros)</w:t>
      </w:r>
    </w:p>
    <w:p>
      <w:pPr>
        <w:pStyle w:val="ListParagraph"/>
        <w:numPr>
          <w:ilvl w:val="0"/>
          <w:numId w:val="2"/>
        </w:numPr>
        <w:spacing w:after="100"/>
      </w:pPr>
      <w:r>
        <w:rPr>
          <w:rFonts w:ascii="Arial" w:cs="Arial" w:eastAsia="Arial" w:hAnsi="Arial"/>
          <w:color w:val="333333"/>
          <w:sz w:val="22"/>
          <w:szCs w:val="22"/>
        </w:rPr>
        <w:t xml:space="preserve">Timestamp validity: block timestamp must not be more than 120 seconds in the future, and must be strictly greater than the previous block's timestamp</w:t>
      </w:r>
    </w:p>
    <w:p>
      <w:pPr>
        <w:pStyle w:val="ListParagraph"/>
        <w:numPr>
          <w:ilvl w:val="0"/>
          <w:numId w:val="2"/>
        </w:numPr>
        <w:spacing w:after="100"/>
      </w:pPr>
      <w:r>
        <w:rPr>
          <w:rFonts w:ascii="Arial" w:cs="Arial" w:eastAsia="Arial" w:hAnsi="Arial"/>
          <w:color w:val="333333"/>
          <w:sz w:val="22"/>
          <w:szCs w:val="22"/>
        </w:rPr>
        <w:t xml:space="preserve">Reward consistency: coinbase amount must not exceed the protocol-defined reward for that block height</w:t>
      </w:r>
    </w:p>
    <w:p>
      <w:pPr>
        <w:spacing w:after="160"/>
      </w:pPr>
      <w:r>
        <w:rPr>
          <w:rFonts w:ascii="Arial" w:cs="Arial" w:eastAsia="Arial" w:hAnsi="Arial"/>
          <w:b w:val="false"/>
          <w:bCs w:val="false"/>
          <w:i w:val="false"/>
          <w:iCs w:val="false"/>
          <w:color w:val="222222"/>
          <w:sz w:val="22"/>
          <w:szCs w:val="22"/>
        </w:rPr>
        <w:t xml:space="preserve">Blocks failing any check are logged with a specific rejection reason and discarded. No partial state is written for invalid blocks.</w:t>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4.  Feature Status: v1 Testnet vs Roadmap</w:t>
      </w:r>
    </w:p>
    <w:p>
      <w:pPr>
        <w:spacing w:after="160"/>
      </w:pPr>
      <w:r>
        <w:rPr>
          <w:rFonts w:ascii="Arial" w:cs="Arial" w:eastAsia="Arial" w:hAnsi="Arial"/>
          <w:b w:val="false"/>
          <w:bCs w:val="false"/>
          <w:i w:val="false"/>
          <w:iCs w:val="false"/>
          <w:color w:val="222222"/>
          <w:sz w:val="22"/>
          <w:szCs w:val="22"/>
        </w:rPr>
        <w:t xml:space="preserve">The following table reflects the honest implementation status of all privacy and protocol features at commit aab4040.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1800"/>
        <w:gridCol w:w="26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 Status</w:t>
            </w:r>
          </w:p>
        </w:tc>
        <w:tc>
          <w:tcPr>
            <w:tcW w:type="dxa" w:w="26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 SHA-256 consensus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block.rs / miner.rs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implemented</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Supply cap + halving</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chain_state.rs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Enforced at 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TCP framing (length-prefix)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Commit aab4040</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Peer list exchange + backoff</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node.rs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Commit aab4040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Canonical block validation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7-check pipeline</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Stealth addresses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stealth.rs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One-time addresses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Ring signatures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ring_signature.rs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Sender anonymity set</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Dandelion++ propagation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dandelion.rs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Active (v1)</w:t>
            </w:r>
          </w:p>
        </w:tc>
        <w:tc>
          <w:tcPr>
            <w:tcW w:type="dxa" w:w="2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Stem/fluff routing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zk-SNARKs (Groth16)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zkproof.rs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Roadmap v2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Stub only in v1</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DHT peer discovery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Roadmap v2</w:t>
            </w:r>
          </w:p>
        </w:tc>
        <w:tc>
          <w:tcPr>
            <w:tcW w:type="dxa" w:w="26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Kademlia planned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 security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Roadmap v2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Pre-mainnet</w:t>
            </w:r>
          </w:p>
        </w:tc>
      </w:tr>
    </w:tbl>
    <w:p>
      <w:pPr>
        <w:spacing w:after="0"/>
      </w:pPr>
      <w:r>
        <w:t xml:space="preserve"/>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5.  Roadmap</w:t>
      </w:r>
    </w:p>
    <w:p>
      <w:pPr>
        <w:pStyle w:val="Heading2"/>
        <w:spacing w:after="140" w:before="300"/>
      </w:pPr>
      <w:r>
        <w:rPr>
          <w:rFonts w:ascii="Arial" w:cs="Arial" w:eastAsia="Arial" w:hAnsi="Arial"/>
          <w:b/>
          <w:bCs/>
          <w:color w:val="0F3460"/>
          <w:sz w:val="26"/>
          <w:szCs w:val="26"/>
        </w:rPr>
        <w:t xml:space="preserve">Phase 1 — Technical Foundation  (Complete)</w:t>
      </w:r>
    </w:p>
    <w:p>
      <w:pPr>
        <w:pStyle w:val="ListParagraph"/>
        <w:numPr>
          <w:ilvl w:val="0"/>
          <w:numId w:val="2"/>
        </w:numPr>
        <w:spacing w:after="100"/>
      </w:pPr>
      <w:r>
        <w:rPr>
          <w:rFonts w:ascii="Arial" w:cs="Arial" w:eastAsia="Arial" w:hAnsi="Arial"/>
          <w:color w:val="333333"/>
          <w:sz w:val="22"/>
          <w:szCs w:val="22"/>
        </w:rPr>
        <w:t xml:space="preserve">PoW consensus with SHA-256</w:t>
      </w:r>
    </w:p>
    <w:p>
      <w:pPr>
        <w:pStyle w:val="ListParagraph"/>
        <w:numPr>
          <w:ilvl w:val="0"/>
          <w:numId w:val="2"/>
        </w:numPr>
        <w:spacing w:after="100"/>
      </w:pPr>
      <w:r>
        <w:rPr>
          <w:rFonts w:ascii="Arial" w:cs="Arial" w:eastAsia="Arial" w:hAnsi="Arial"/>
          <w:color w:val="333333"/>
          <w:sz w:val="22"/>
          <w:szCs w:val="22"/>
        </w:rPr>
        <w:t xml:space="preserve">Tokenomics: 50M cap, 65 GHST reward, halving at 210,000 blocks</w:t>
      </w:r>
    </w:p>
    <w:p>
      <w:pPr>
        <w:pStyle w:val="ListParagraph"/>
        <w:numPr>
          <w:ilvl w:val="0"/>
          <w:numId w:val="2"/>
        </w:numPr>
        <w:spacing w:after="100"/>
      </w:pPr>
      <w:r>
        <w:rPr>
          <w:rFonts w:ascii="Arial" w:cs="Arial" w:eastAsia="Arial" w:hAnsi="Arial"/>
          <w:color w:val="333333"/>
          <w:sz w:val="22"/>
          <w:szCs w:val="22"/>
        </w:rPr>
        <w:t xml:space="preserve">Privacy modules: stealth addresses, ring signatures, Dandelion++</w:t>
      </w:r>
    </w:p>
    <w:p>
      <w:pPr>
        <w:pStyle w:val="ListParagraph"/>
        <w:numPr>
          <w:ilvl w:val="0"/>
          <w:numId w:val="2"/>
        </w:numPr>
        <w:spacing w:after="100"/>
      </w:pPr>
      <w:r>
        <w:rPr>
          <w:rFonts w:ascii="Arial" w:cs="Arial" w:eastAsia="Arial" w:hAnsi="Arial"/>
          <w:color w:val="333333"/>
          <w:sz w:val="22"/>
          <w:szCs w:val="22"/>
        </w:rPr>
        <w:t xml:space="preserve">TCP message framing with length-prefix protocol</w:t>
      </w:r>
    </w:p>
    <w:p>
      <w:pPr>
        <w:pStyle w:val="ListParagraph"/>
        <w:numPr>
          <w:ilvl w:val="0"/>
          <w:numId w:val="2"/>
        </w:numPr>
        <w:spacing w:after="100"/>
      </w:pPr>
      <w:r>
        <w:rPr>
          <w:rFonts w:ascii="Arial" w:cs="Arial" w:eastAsia="Arial" w:hAnsi="Arial"/>
          <w:color w:val="333333"/>
          <w:sz w:val="22"/>
          <w:szCs w:val="22"/>
        </w:rPr>
        <w:t xml:space="preserve">Canonical block validation pipeline (7-check)</w:t>
      </w:r>
    </w:p>
    <w:p>
      <w:pPr>
        <w:pStyle w:val="ListParagraph"/>
        <w:numPr>
          <w:ilvl w:val="0"/>
          <w:numId w:val="2"/>
        </w:numPr>
        <w:spacing w:after="100"/>
      </w:pPr>
      <w:r>
        <w:rPr>
          <w:rFonts w:ascii="Arial" w:cs="Arial" w:eastAsia="Arial" w:hAnsi="Arial"/>
          <w:color w:val="333333"/>
          <w:sz w:val="22"/>
          <w:szCs w:val="22"/>
        </w:rPr>
        <w:t xml:space="preserve">Peer discovery: seed bootstrap, PeerList exchange, exponential backoff</w:t>
      </w:r>
    </w:p>
    <w:p>
      <w:pPr>
        <w:spacing w:after="0"/>
      </w:pPr>
      <w:r>
        <w:t xml:space="preserve"/>
      </w:r>
    </w:p>
    <w:p>
      <w:pPr>
        <w:pStyle w:val="Heading2"/>
        <w:spacing w:after="140" w:before="300"/>
      </w:pPr>
      <w:r>
        <w:rPr>
          <w:rFonts w:ascii="Arial" w:cs="Arial" w:eastAsia="Arial" w:hAnsi="Arial"/>
          <w:b/>
          <w:bCs/>
          <w:color w:val="0F3460"/>
          <w:sz w:val="26"/>
          <w:szCs w:val="26"/>
        </w:rPr>
        <w:t xml:space="preserve">Phase 2 — Testnet Public  (Current)</w:t>
      </w:r>
    </w:p>
    <w:p>
      <w:pPr>
        <w:pStyle w:val="ListParagraph"/>
        <w:numPr>
          <w:ilvl w:val="0"/>
          <w:numId w:val="2"/>
        </w:numPr>
        <w:spacing w:after="100"/>
      </w:pPr>
      <w:r>
        <w:rPr>
          <w:rFonts w:ascii="Arial" w:cs="Arial" w:eastAsia="Arial" w:hAnsi="Arial"/>
          <w:color w:val="333333"/>
          <w:sz w:val="22"/>
          <w:szCs w:val="22"/>
        </w:rPr>
        <w:t xml:space="preserve">Persistent seed nodes (public IP, durable storage)</w:t>
      </w:r>
    </w:p>
    <w:p>
      <w:pPr>
        <w:pStyle w:val="ListParagraph"/>
        <w:numPr>
          <w:ilvl w:val="0"/>
          <w:numId w:val="2"/>
        </w:numPr>
        <w:spacing w:after="100"/>
      </w:pPr>
      <w:r>
        <w:rPr>
          <w:rFonts w:ascii="Arial" w:cs="Arial" w:eastAsia="Arial" w:hAnsi="Arial"/>
          <w:color w:val="333333"/>
          <w:sz w:val="22"/>
          <w:szCs w:val="22"/>
        </w:rPr>
        <w:t xml:space="preserve">Block explorer (public-facing, chain height / transactions)</w:t>
      </w:r>
    </w:p>
    <w:p>
      <w:pPr>
        <w:pStyle w:val="ListParagraph"/>
        <w:numPr>
          <w:ilvl w:val="0"/>
          <w:numId w:val="2"/>
        </w:numPr>
        <w:spacing w:after="100"/>
      </w:pPr>
      <w:r>
        <w:rPr>
          <w:rFonts w:ascii="Arial" w:cs="Arial" w:eastAsia="Arial" w:hAnsi="Arial"/>
          <w:color w:val="333333"/>
          <w:sz w:val="22"/>
          <w:szCs w:val="22"/>
        </w:rPr>
        <w:t xml:space="preserve">Faucet for testnet GHST distribution</w:t>
      </w:r>
    </w:p>
    <w:p>
      <w:pPr>
        <w:pStyle w:val="ListParagraph"/>
        <w:numPr>
          <w:ilvl w:val="0"/>
          <w:numId w:val="2"/>
        </w:numPr>
        <w:spacing w:after="100"/>
      </w:pPr>
      <w:r>
        <w:rPr>
          <w:rFonts w:ascii="Arial" w:cs="Arial" w:eastAsia="Arial" w:hAnsi="Arial"/>
          <w:color w:val="333333"/>
          <w:sz w:val="22"/>
          <w:szCs w:val="22"/>
        </w:rPr>
        <w:t xml:space="preserve">Sync validation across geographically distributed nodes</w:t>
      </w:r>
    </w:p>
    <w:p>
      <w:pPr>
        <w:pStyle w:val="ListParagraph"/>
        <w:numPr>
          <w:ilvl w:val="0"/>
          <w:numId w:val="2"/>
        </w:numPr>
        <w:spacing w:after="100"/>
      </w:pPr>
      <w:r>
        <w:rPr>
          <w:rFonts w:ascii="Arial" w:cs="Arial" w:eastAsia="Arial" w:hAnsi="Arial"/>
          <w:color w:val="333333"/>
          <w:sz w:val="22"/>
          <w:szCs w:val="22"/>
        </w:rPr>
        <w:t xml:space="preserve">Documentation and testnet participation guide</w:t>
      </w:r>
    </w:p>
    <w:p>
      <w:pPr>
        <w:pStyle w:val="ListParagraph"/>
        <w:numPr>
          <w:ilvl w:val="0"/>
          <w:numId w:val="2"/>
        </w:numPr>
        <w:spacing w:after="100"/>
      </w:pPr>
      <w:r>
        <w:rPr>
          <w:rFonts w:ascii="Arial" w:cs="Arial" w:eastAsia="Arial" w:hAnsi="Arial"/>
          <w:color w:val="333333"/>
          <w:sz w:val="22"/>
          <w:szCs w:val="22"/>
        </w:rPr>
        <w:t xml:space="preserve">Whitepaper v0.1 publication (this document)</w:t>
      </w:r>
    </w:p>
    <w:p>
      <w:pPr>
        <w:spacing w:after="0"/>
      </w:pPr>
      <w:r>
        <w:t xml:space="preserve"/>
      </w:r>
    </w:p>
    <w:p>
      <w:pPr>
        <w:pStyle w:val="Heading2"/>
        <w:spacing w:after="140" w:before="300"/>
      </w:pPr>
      <w:r>
        <w:rPr>
          <w:rFonts w:ascii="Arial" w:cs="Arial" w:eastAsia="Arial" w:hAnsi="Arial"/>
          <w:b/>
          <w:bCs/>
          <w:color w:val="0F3460"/>
          <w:sz w:val="26"/>
          <w:szCs w:val="26"/>
        </w:rPr>
        <w:t xml:space="preserve">Phase 3 — Mainnet Preparation  (v2)</w:t>
      </w:r>
    </w:p>
    <w:p>
      <w:pPr>
        <w:pStyle w:val="ListParagraph"/>
        <w:numPr>
          <w:ilvl w:val="0"/>
          <w:numId w:val="2"/>
        </w:numPr>
        <w:spacing w:after="100"/>
      </w:pPr>
      <w:r>
        <w:rPr>
          <w:rFonts w:ascii="Arial" w:cs="Arial" w:eastAsia="Arial" w:hAnsi="Arial"/>
          <w:color w:val="333333"/>
          <w:sz w:val="22"/>
          <w:szCs w:val="22"/>
        </w:rPr>
        <w:t xml:space="preserve">zk-SNARK integration: Groth16 via arkworks-rs (ark-groth16)</w:t>
      </w:r>
    </w:p>
    <w:p>
      <w:pPr>
        <w:pStyle w:val="ListParagraph"/>
        <w:numPr>
          <w:ilvl w:val="0"/>
          <w:numId w:val="2"/>
        </w:numPr>
        <w:spacing w:after="100"/>
      </w:pPr>
      <w:r>
        <w:rPr>
          <w:rFonts w:ascii="Arial" w:cs="Arial" w:eastAsia="Arial" w:hAnsi="Arial"/>
          <w:color w:val="333333"/>
          <w:sz w:val="22"/>
          <w:szCs w:val="22"/>
        </w:rPr>
        <w:t xml:space="preserve">DHT peer discovery: Kademlia for seed-independent operation</w:t>
      </w:r>
    </w:p>
    <w:p>
      <w:pPr>
        <w:pStyle w:val="ListParagraph"/>
        <w:numPr>
          <w:ilvl w:val="0"/>
          <w:numId w:val="2"/>
        </w:numPr>
        <w:spacing w:after="100"/>
      </w:pPr>
      <w:r>
        <w:rPr>
          <w:rFonts w:ascii="Arial" w:cs="Arial" w:eastAsia="Arial" w:hAnsi="Arial"/>
          <w:color w:val="333333"/>
          <w:sz w:val="22"/>
          <w:szCs w:val="22"/>
        </w:rPr>
        <w:t xml:space="preserve">Full Dandelion++ multi-hop relay hardening at scale</w:t>
      </w:r>
    </w:p>
    <w:p>
      <w:pPr>
        <w:pStyle w:val="ListParagraph"/>
        <w:numPr>
          <w:ilvl w:val="0"/>
          <w:numId w:val="2"/>
        </w:numPr>
        <w:spacing w:after="100"/>
      </w:pPr>
      <w:r>
        <w:rPr>
          <w:rFonts w:ascii="Arial" w:cs="Arial" w:eastAsia="Arial" w:hAnsi="Arial"/>
          <w:color w:val="333333"/>
          <w:sz w:val="22"/>
          <w:szCs w:val="22"/>
        </w:rPr>
        <w:t xml:space="preserve">External security audit by independent firm</w:t>
      </w:r>
    </w:p>
    <w:p>
      <w:pPr>
        <w:pStyle w:val="ListParagraph"/>
        <w:numPr>
          <w:ilvl w:val="0"/>
          <w:numId w:val="2"/>
        </w:numPr>
        <w:spacing w:after="100"/>
      </w:pPr>
      <w:r>
        <w:rPr>
          <w:rFonts w:ascii="Arial" w:cs="Arial" w:eastAsia="Arial" w:hAnsi="Arial"/>
          <w:color w:val="333333"/>
          <w:sz w:val="22"/>
          <w:szCs w:val="22"/>
        </w:rPr>
        <w:t xml:space="preserve">Mainnet genesis configuration and launch</w:t>
      </w:r>
    </w:p>
    <w:p>
      <w:pPr>
        <w:pStyle w:val="ListParagraph"/>
        <w:numPr>
          <w:ilvl w:val="0"/>
          <w:numId w:val="2"/>
        </w:numPr>
        <w:spacing w:after="100"/>
      </w:pPr>
      <w:r>
        <w:rPr>
          <w:rFonts w:ascii="Arial" w:cs="Arial" w:eastAsia="Arial" w:hAnsi="Arial"/>
          <w:color w:val="333333"/>
          <w:sz w:val="22"/>
          <w:szCs w:val="22"/>
        </w:rPr>
        <w:t xml:space="preserve">Exchange listing strategy and legal review</w:t>
      </w:r>
    </w:p>
    <w:p>
      <w:pPr>
        <w:spacing w:after="0"/>
      </w:pPr>
      <w:r>
        <w:t xml:space="preserve"/>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6.  Security Considerations</w:t>
      </w:r>
    </w:p>
    <w:p>
      <w:pPr>
        <w:pStyle w:val="Heading2"/>
        <w:spacing w:after="140" w:before="300"/>
      </w:pPr>
      <w:r>
        <w:rPr>
          <w:rFonts w:ascii="Arial" w:cs="Arial" w:eastAsia="Arial" w:hAnsi="Arial"/>
          <w:b/>
          <w:bCs/>
          <w:color w:val="0F3460"/>
          <w:sz w:val="26"/>
          <w:szCs w:val="26"/>
        </w:rPr>
        <w:t xml:space="preserve">6.1  Current Threat Model</w:t>
      </w:r>
    </w:p>
    <w:p>
      <w:pPr>
        <w:spacing w:after="160"/>
      </w:pPr>
      <w:r>
        <w:rPr>
          <w:rFonts w:ascii="Arial" w:cs="Arial" w:eastAsia="Arial" w:hAnsi="Arial"/>
          <w:b w:val="false"/>
          <w:bCs w:val="false"/>
          <w:i w:val="false"/>
          <w:iCs w:val="false"/>
          <w:color w:val="222222"/>
          <w:sz w:val="22"/>
          <w:szCs w:val="22"/>
        </w:rPr>
        <w:t xml:space="preserve">At testnet v1, GhostCoin's primary threat surface is the peer-to-peer network layer. The canonical block validation pipeline (sync.rs) protects against block injection attacks, invalid reward claims, timestamp manipulation, and hash forgery. Message framing (node.rs) protects against malformed message injection and buffer overflow via length-bound enforcement.</w:t>
      </w:r>
    </w:p>
    <w:p>
      <w:pPr>
        <w:pStyle w:val="Heading2"/>
        <w:spacing w:after="140" w:before="300"/>
      </w:pPr>
      <w:r>
        <w:rPr>
          <w:rFonts w:ascii="Arial" w:cs="Arial" w:eastAsia="Arial" w:hAnsi="Arial"/>
          <w:b/>
          <w:bCs/>
          <w:color w:val="0F3460"/>
          <w:sz w:val="26"/>
          <w:szCs w:val="26"/>
        </w:rPr>
        <w:t xml:space="preserve">6.2  Known Limitations (v1)</w:t>
      </w:r>
    </w:p>
    <w:p>
      <w:pPr>
        <w:pStyle w:val="ListParagraph"/>
        <w:numPr>
          <w:ilvl w:val="0"/>
          <w:numId w:val="2"/>
        </w:numPr>
        <w:spacing w:after="100"/>
      </w:pPr>
      <w:r>
        <w:rPr>
          <w:rFonts w:ascii="Arial" w:cs="Arial" w:eastAsia="Arial" w:hAnsi="Arial"/>
          <w:color w:val="333333"/>
          <w:sz w:val="22"/>
          <w:szCs w:val="22"/>
        </w:rPr>
        <w:t xml:space="preserve">Peer discovery relies on static seed nodes — a single point of failure mitigated in v2 by DHT</w:t>
      </w:r>
    </w:p>
    <w:p>
      <w:pPr>
        <w:pStyle w:val="ListParagraph"/>
        <w:numPr>
          <w:ilvl w:val="0"/>
          <w:numId w:val="2"/>
        </w:numPr>
        <w:spacing w:after="100"/>
      </w:pPr>
      <w:r>
        <w:rPr>
          <w:rFonts w:ascii="Arial" w:cs="Arial" w:eastAsia="Arial" w:hAnsi="Arial"/>
          <w:color w:val="333333"/>
          <w:sz w:val="22"/>
          <w:szCs w:val="22"/>
        </w:rPr>
        <w:t xml:space="preserve">Dandelion++ stem relay is functional but multi-hop relay hardening at large peer sets is ongoing</w:t>
      </w:r>
    </w:p>
    <w:p>
      <w:pPr>
        <w:pStyle w:val="ListParagraph"/>
        <w:numPr>
          <w:ilvl w:val="0"/>
          <w:numId w:val="2"/>
        </w:numPr>
        <w:spacing w:after="100"/>
      </w:pPr>
      <w:r>
        <w:rPr>
          <w:rFonts w:ascii="Arial" w:cs="Arial" w:eastAsia="Arial" w:hAnsi="Arial"/>
          <w:color w:val="333333"/>
          <w:sz w:val="22"/>
          <w:szCs w:val="22"/>
        </w:rPr>
        <w:t xml:space="preserve">zk-SNARKs are not active — amount privacy depends on ring signatures only in v1</w:t>
      </w:r>
    </w:p>
    <w:p>
      <w:pPr>
        <w:pStyle w:val="ListParagraph"/>
        <w:numPr>
          <w:ilvl w:val="0"/>
          <w:numId w:val="2"/>
        </w:numPr>
        <w:spacing w:after="100"/>
      </w:pPr>
      <w:r>
        <w:rPr>
          <w:rFonts w:ascii="Arial" w:cs="Arial" w:eastAsia="Arial" w:hAnsi="Arial"/>
          <w:color w:val="333333"/>
          <w:sz w:val="22"/>
          <w:szCs w:val="22"/>
        </w:rPr>
        <w:t xml:space="preserve">No external audit has been performed — mainnet launch is contingent on audit completion</w:t>
      </w:r>
    </w:p>
    <w:p>
      <w:pPr>
        <w:spacing w:after="0"/>
      </w:pPr>
      <w:r>
        <w:t xml:space="preserve"/>
      </w:r>
    </w:p>
    <w:p>
      <w:pPr>
        <w:pStyle w:val="Heading2"/>
        <w:spacing w:after="140" w:before="300"/>
      </w:pPr>
      <w:r>
        <w:rPr>
          <w:rFonts w:ascii="Arial" w:cs="Arial" w:eastAsia="Arial" w:hAnsi="Arial"/>
          <w:b/>
          <w:bCs/>
          <w:color w:val="0F3460"/>
          <w:sz w:val="26"/>
          <w:szCs w:val="26"/>
        </w:rPr>
        <w:t xml:space="preserve">6.3  Responsible Disclosure</w:t>
      </w:r>
    </w:p>
    <w:p>
      <w:pPr>
        <w:spacing w:after="160"/>
      </w:pPr>
      <w:r>
        <w:rPr>
          <w:rFonts w:ascii="Arial" w:cs="Arial" w:eastAsia="Arial" w:hAnsi="Arial"/>
          <w:b w:val="false"/>
          <w:bCs w:val="false"/>
          <w:i w:val="false"/>
          <w:iCs w:val="false"/>
          <w:color w:val="222222"/>
          <w:sz w:val="22"/>
          <w:szCs w:val="22"/>
        </w:rPr>
        <w:t xml:space="preserve">Security researchers who identify vulnerabilities in the GhostCoin protocol or implementation are encouraged to report findings privately prior to public disclosure. Contact information will be published on the project repository prior to mainnet launch.</w:t>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7.  Legal and Regulatory Considerations</w:t>
      </w:r>
    </w:p>
    <w:p>
      <w:pPr>
        <w:spacing w:after="160"/>
      </w:pPr>
      <w:r>
        <w:rPr>
          <w:rFonts w:ascii="Arial" w:cs="Arial" w:eastAsia="Arial" w:hAnsi="Arial"/>
          <w:b w:val="false"/>
          <w:bCs w:val="false"/>
          <w:i w:val="false"/>
          <w:iCs w:val="false"/>
          <w:color w:val="222222"/>
          <w:sz w:val="22"/>
          <w:szCs w:val="22"/>
        </w:rPr>
        <w:t xml:space="preserve">GhostCoin is a permissionless open-source protocol. Participation in the testnet does not constitute a financial transaction and GHST testnet tokens carry no monetary value.</w:t>
      </w:r>
    </w:p>
    <w:p>
      <w:pPr>
        <w:spacing w:after="160"/>
      </w:pPr>
      <w:r>
        <w:rPr>
          <w:rFonts w:ascii="Arial" w:cs="Arial" w:eastAsia="Arial" w:hAnsi="Arial"/>
          <w:b w:val="false"/>
          <w:bCs w:val="false"/>
          <w:i w:val="false"/>
          <w:iCs w:val="false"/>
          <w:color w:val="222222"/>
          <w:sz w:val="22"/>
          <w:szCs w:val="22"/>
        </w:rPr>
        <w:t xml:space="preserve">Prior to any mainnet token distribution or exchange listing, the project team intends to obtain appropriate legal review in relevant jurisdictions. Canadian participants should be particularly aware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AMF (Quebec)</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The Autorite des marches financiers regulates the offer and distribution of securities in Quebec. Token distributions may require prospectus exemption filings.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FINTRAC</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Entities facilitating the exchange or transfer of virtual currencies may qualify as Money Services Businesses (MSBs) under FINTRAC regulations and be subject to registration and reporting obligations.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CSA</w:t>
            </w:r>
          </w:p>
        </w:tc>
        <w:tc>
          <w:tcPr>
            <w:tcW w:type="dxa" w:w="792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color w:val="333333"/>
                <w:sz w:val="20"/>
                <w:szCs w:val="20"/>
              </w:rPr>
              <w:t xml:space="preserve">The Canadian Securities Administrators have issued guidance indicating that many cryptocurrency tokens may constitute securities under Canadian law.</w:t>
            </w:r>
          </w:p>
        </w:tc>
      </w:tr>
    </w:tbl>
    <w:p>
      <w:pPr>
        <w:spacing w:after="0"/>
      </w:pPr>
      <w:r>
        <w:t xml:space="preserve"/>
      </w:r>
    </w:p>
    <w:p>
      <w:pPr>
        <w:spacing w:after="160"/>
      </w:pPr>
      <w:r>
        <w:rPr>
          <w:rFonts w:ascii="Arial" w:cs="Arial" w:eastAsia="Arial" w:hAnsi="Arial"/>
          <w:b w:val="false"/>
          <w:bCs w:val="false"/>
          <w:i w:val="false"/>
          <w:iCs w:val="false"/>
          <w:color w:val="222222"/>
          <w:sz w:val="22"/>
          <w:szCs w:val="22"/>
        </w:rPr>
        <w:t xml:space="preserve">This whitepaper does not constitute legal advice. Independent counsel should be consulted before participating in any token distribution.</w:t>
      </w:r>
    </w:p>
    <w:p>
      <w:r>
        <w:br/>
      </w:r>
    </w:p>
    <w:p>
      <w:pPr>
        <w:pStyle w:val="Heading1"/>
        <w:pBdr>
          <w:bottom w:val="single" w:color="0E7C7B" w:sz="4" w:space="4"/>
        </w:pBdr>
        <w:spacing w:after="200" w:before="400"/>
      </w:pPr>
      <w:r>
        <w:rPr>
          <w:rFonts w:ascii="Arial" w:cs="Arial" w:eastAsia="Arial" w:hAnsi="Arial"/>
          <w:b/>
          <w:bCs/>
          <w:color w:val="1A1A2E"/>
          <w:sz w:val="32"/>
          <w:szCs w:val="32"/>
        </w:rPr>
        <w:t xml:space="preserve">8.  Technical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Nakamoto (2008)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Bitcoin: A Peer-to-Peer Electronic Cash System</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Noether (2015)</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Ring Signature Confidential Transactions for Monero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Groth (2016)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 the Size of Pairing-Based Non-Interactive Arguments (Groth16)</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Fanti et al. (2018)</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Dandelion++: Lightweight Cryptocurrency Networking with Formal Anonymity Guarantees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Mazieres (2015)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Stellar Consensus Protocol (BFT reference)</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arkworks-rs</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ark-groth16: Rust implementation of Groth16 (planned v2)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Asynchronous runtime for Rust — network layer foundation</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MITRE ATT&amp;CK</w:t>
            </w:r>
          </w:p>
        </w:tc>
        <w:tc>
          <w:tcPr>
            <w:tcW w:type="dxa" w:w="5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Threat modeling reference for network adversary simulation</w:t>
            </w:r>
          </w:p>
        </w:tc>
      </w:tr>
    </w:tbl>
    <w:p>
      <w:pPr>
        <w:spacing w:after="0"/>
      </w:pPr>
      <w:r>
        <w:t xml:space="preserve"/>
      </w:r>
    </w:p>
    <w:p>
      <w:pPr>
        <w:spacing w:after="0"/>
      </w:pPr>
      <w:r>
        <w:t xml:space="preserve"/>
      </w:r>
    </w:p>
    <w:p>
      <w:pPr>
        <w:pBdr>
          <w:top w:val="single" w:color="0E7C7B" w:sz="4" w:space="6"/>
        </w:pBdr>
        <w:spacing w:before="400"/>
        <w:jc w:val="center"/>
      </w:pPr>
      <w:r>
        <w:rPr>
          <w:rFonts w:ascii="Arial" w:cs="Arial" w:eastAsia="Arial" w:hAnsi="Arial"/>
          <w:color w:val="AAAAAA"/>
          <w:sz w:val="18"/>
          <w:szCs w:val="18"/>
        </w:rPr>
        <w:t xml:space="preserve">GhostCoin (GHST)  |  Technical Whitepaper v0.1  |  Testnet 2025</w:t>
      </w:r>
    </w:p>
    <w:p>
      <w:pPr>
        <w:jc w:val="center"/>
      </w:pPr>
      <w:r>
        <w:rPr>
          <w:rFonts w:ascii="Courier New" w:cs="Courier New" w:eastAsia="Courier New" w:hAnsi="Courier New"/>
          <w:color w:val="BBBBBB"/>
          <w:sz w:val="16"/>
          <w:szCs w:val="16"/>
        </w:rPr>
        <w:t xml:space="preserve">Commit: aab4040  |  Branch: main  |  github.com/ghostcoin/privacy_chain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0F346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2026-05-03T21:32:37.902Z</dcterms:created>
  <dcterms:modified xsi:type="dcterms:W3CDTF">2026-05-03T21:32:37.902Z</dcterms:modified>
</cp:coreProperties>
</file>

<file path=docProps/custom.xml><?xml version="1.0" encoding="utf-8"?>
<Properties xmlns="http://schemas.openxmlformats.org/officeDocument/2006/custom-properties" xmlns:vt="http://schemas.openxmlformats.org/officeDocument/2006/docPropsVTypes"/>
</file>