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7F3CD84" w:rsidR="00732E46" w:rsidRDefault="00CD4E53">
      <w:pPr>
        <w:pBdr>
          <w:top w:val="nil"/>
          <w:left w:val="nil"/>
          <w:bottom w:val="nil"/>
          <w:right w:val="nil"/>
          <w:between w:val="nil"/>
        </w:pBdr>
        <w:spacing w:after="320"/>
        <w:jc w:val="center"/>
        <w:rPr>
          <w:color w:val="000000"/>
          <w:sz w:val="22"/>
          <w:szCs w:val="22"/>
        </w:rPr>
      </w:pPr>
      <w:bookmarkStart w:id="2" w:name="_heading=h.gjdgxs" w:colFirst="0" w:colLast="0"/>
      <w:bookmarkEnd w:id="2"/>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398BA2D2"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type of distributed computation. For example, demand response proposals for smart electrical grids can expect millisecond-level thresholds. One possible way of mitigating this issue is by adding decision-making to the device itself. It is a case of edge computing that keeps a frequent communication channel with a large, distributed control plane always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available for proposals for time-series forecasting, including modern machine learning techniques. It investigated the feasibility and trade-offs expected to satisfy the technical challenges posed by this scenario.</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666E60E1" w:rsidR="00221C46" w:rsidRDefault="00221C46" w:rsidP="00221C46">
      <w:pPr>
        <w:ind w:firstLine="720"/>
        <w:jc w:val="both"/>
      </w:pPr>
      <w:r>
        <w:t>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modernization of electrical distribution systems worldwide. There is a departure from a centralized, unidirectional control system toward more fine-grained distributed models.</w:t>
      </w:r>
    </w:p>
    <w:p w14:paraId="3F4788CC" w14:textId="77777777" w:rsidR="00221C46" w:rsidRDefault="00221C46" w:rsidP="00221C46">
      <w:pPr>
        <w:jc w:val="both"/>
      </w:pPr>
      <w:r>
        <w:t xml:space="preserve">           Some technological breakthroughs did not fit the legacy top-down communication model. For example, the introduction of Solar and Wind generation requires a much more agile response given the unpredictable nature of their availability. The operator started dealing with greater levels of variance that more slow-moving forecasting models could not reliably manage.</w:t>
      </w:r>
    </w:p>
    <w:p w14:paraId="3657D227" w14:textId="77777777" w:rsidR="00221C46" w:rsidRDefault="00221C46" w:rsidP="00221C46">
      <w:pPr>
        <w:jc w:val="both"/>
      </w:pPr>
      <w:r>
        <w:t xml:space="preserve">           This landscape gave rise to energy aggregation services acting as coordinators independent coordinators. Industry players place bids on supply requirements advertised by system operators. It is the first step in decentralizing control. However, decentralizing the generation control still requires more fine-grained information dissemination. </w:t>
      </w:r>
    </w:p>
    <w:p w14:paraId="6225E60D" w14:textId="77777777" w:rsidR="00221C46" w:rsidRDefault="00221C46" w:rsidP="00221C46">
      <w:pPr>
        <w:jc w:val="both"/>
      </w:pPr>
      <w:r>
        <w:t xml:space="preserve">           This level of transparency enables proposals from the demand-side of the energy distribution equation. Research is often not tied to the same constraints imposed by routine business concerns. There are countless proposals for more radical communication architectures inspired by many disciplines, from </w:t>
      </w:r>
      <w:proofErr w:type="spellStart"/>
      <w:r>
        <w:t>Neighbourhood</w:t>
      </w:r>
      <w:proofErr w:type="spellEnd"/>
      <w:r>
        <w:t xml:space="preserve">-level microgrids to multi-layered energy distribution cells, </w:t>
      </w:r>
      <w:proofErr w:type="gramStart"/>
      <w:r>
        <w:t>similar to</w:t>
      </w:r>
      <w:proofErr w:type="gramEnd"/>
      <w:r>
        <w:t xml:space="preserve"> cellular telephone zoning.</w:t>
      </w:r>
    </w:p>
    <w:p w14:paraId="62F7704A" w14:textId="6BC05D60" w:rsidR="00221C46" w:rsidRDefault="00221C46" w:rsidP="00221C46">
      <w:pPr>
        <w:jc w:val="both"/>
      </w:pPr>
      <w:r>
        <w:t xml:space="preserve">           This restructuring shares the traits of similar past modernization </w:t>
      </w:r>
      <w:proofErr w:type="spellStart"/>
      <w:r>
        <w:t>endeavours</w:t>
      </w:r>
      <w:proofErr w:type="spellEnd"/>
      <w:r>
        <w:t xml:space="preserve">. One often overlooked is moving consumers from passive receivers of information to active participants on updated digital platforms. These platforms moved from simple broadcasting to a much more immersive bidirectional channel. The advertisement industry was the first to exploit how to establish feedback loops to drive revenue </w:t>
      </w:r>
      <w:r w:rsidR="00AB42A5">
        <w:t>increase</w:t>
      </w:r>
      <w:r>
        <w:t>.</w:t>
      </w:r>
    </w:p>
    <w:p w14:paraId="499BB27B" w14:textId="6EA534AB" w:rsidR="00221C46" w:rsidRDefault="00221C46" w:rsidP="00221C46">
      <w:pPr>
        <w:jc w:val="both"/>
      </w:pPr>
      <w:r>
        <w:t xml:space="preserve">           There is no reason why Smart electrical systems could not follow this example. Updates in the distribution network require moving to the same digital planforms used by digital advertisement players. Therefore, there is little reason to reinvent consumer data extraction tools. Most importantly, this strategy enables leveraging tried and tested methods for handling privacy and cybersecurity.</w:t>
      </w:r>
    </w:p>
    <w:p w14:paraId="751AEC3A" w14:textId="77777777" w:rsidR="00221C46" w:rsidRDefault="00221C46" w:rsidP="00221C46">
      <w:pPr>
        <w:jc w:val="both"/>
      </w:pPr>
      <w:r>
        <w:lastRenderedPageBreak/>
        <w:t xml:space="preserve">           This document explores the beginning of this journey. It aims to understand the best strategy for understanding consumer </w:t>
      </w:r>
      <w:proofErr w:type="spellStart"/>
      <w:r>
        <w:t>behaviour</w:t>
      </w:r>
      <w:proofErr w:type="spellEnd"/>
      <w:r>
        <w:t xml:space="preserve"> and its relationship to the energy distribution system. The focus is on developing a reliable tool for forecasting household demand as the first step toward fleshing out a fully digital, bidirectional communication medium.</w:t>
      </w:r>
    </w:p>
    <w:p w14:paraId="24E55B38" w14:textId="77777777" w:rsidR="00221C46" w:rsidRDefault="00221C46" w:rsidP="00221C46">
      <w:pPr>
        <w:jc w:val="both"/>
      </w:pPr>
      <w:r>
        <w:t xml:space="preserve">           It starts by disambiguating the acronyms involved in developing such systems. It must interact with newer iterations of older concepts, like Fog Computing. Moreover, it must also provide some guidance on terminology that seems well defined but still suffer from conflicting details. J. </w:t>
      </w:r>
      <w:proofErr w:type="spellStart"/>
      <w:r>
        <w:t>Kampars</w:t>
      </w:r>
      <w:proofErr w:type="spellEnd"/>
      <w:r>
        <w:t>, et al., 2021, provide a comprehensive survey of the technological landscape. It explores the multiple overlapping concepts between the Internet of Things (IoT), Edge Computing, and Cloud Platforms.</w:t>
      </w:r>
    </w:p>
    <w:p w14:paraId="0DE9276C" w14:textId="77777777" w:rsidR="00221C46" w:rsidRDefault="00221C46" w:rsidP="00221C46">
      <w:pPr>
        <w:jc w:val="both"/>
      </w:pPr>
      <w:r>
        <w:t xml:space="preserve">           Another relevant survey is B. </w:t>
      </w:r>
      <w:proofErr w:type="spellStart"/>
      <w:r>
        <w:t>Sudharsan</w:t>
      </w:r>
      <w:proofErr w:type="spellEnd"/>
      <w:r>
        <w:t xml:space="preserve"> et al., 2021. The authors present several options for energy demand forecasting on embedded platforms. While this document cannot reach the same level of depth, it is essential to understand the practical implications of connecting and distributing forecasting models across distributed networks.</w:t>
      </w:r>
    </w:p>
    <w:p w14:paraId="46DDF068" w14:textId="215FBFD2" w:rsidR="003F56E3" w:rsidRDefault="00221C46" w:rsidP="00221C46">
      <w:pPr>
        <w:jc w:val="both"/>
      </w:pPr>
      <w:r>
        <w:t xml:space="preserve">           Finally, A. T. </w:t>
      </w:r>
      <w:proofErr w:type="spellStart"/>
      <w:r>
        <w:t>Eseye</w:t>
      </w:r>
      <w:proofErr w:type="spellEnd"/>
      <w:r>
        <w:t xml:space="preserve"> and M. Lehtonen, 2020, discuss the standard machine learning techniques employed for this project. The document performs a comprehensive analysis of Artificial Neural Networks in roughly the same terms stated by this research's objectives. It also provides parallels with competing implementations using Support Vector Machines.</w:t>
      </w:r>
    </w:p>
    <w:p w14:paraId="714E9F79" w14:textId="7048CA08" w:rsidR="00C810A7" w:rsidRDefault="00C810A7" w:rsidP="00221C46">
      <w:pPr>
        <w:jc w:val="both"/>
      </w:pPr>
    </w:p>
    <w:p w14:paraId="2D52C367" w14:textId="233D4EEB" w:rsidR="00C810A7" w:rsidRDefault="00C810A7" w:rsidP="00C810A7">
      <w:pPr>
        <w:pStyle w:val="Heading1"/>
      </w:pPr>
      <w:r w:rsidRPr="003F56E3">
        <w:t xml:space="preserve">I. </w:t>
      </w:r>
      <w:r>
        <w:t>METHODOLOGY</w:t>
      </w:r>
    </w:p>
    <w:p w14:paraId="337B9675" w14:textId="3AE75AF9" w:rsidR="00C810A7" w:rsidRDefault="00C810A7" w:rsidP="00221C46">
      <w:pPr>
        <w:jc w:val="both"/>
      </w:pPr>
    </w:p>
    <w:p w14:paraId="64C8FD1A" w14:textId="3041505B"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proofErr w:type="gramStart"/>
      <w:r>
        <w:t>all of</w:t>
      </w:r>
      <w:proofErr w:type="gramEnd"/>
      <w:r>
        <w:t xml:space="preserve"> the required aspects. Therefore, the focus will remain on the study of the decision-making process.</w:t>
      </w:r>
    </w:p>
    <w:p w14:paraId="389116FB" w14:textId="54B470E0" w:rsidR="00E474D4" w:rsidRDefault="00E474D4" w:rsidP="00E474D4">
      <w:pPr>
        <w:ind w:firstLine="720"/>
        <w:jc w:val="both"/>
      </w:pPr>
      <w:r>
        <w:t>This focus on software implementation implies a primarily quantitative exploration of resource consumption. Since there is no candidate hardware platform, there are no expected limits. The scenario comes with extra tasks such as defining credible baselines so the researcher can reach some form of conclusion.</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77777777" w:rsidR="00E474D4" w:rsidRDefault="00E474D4" w:rsidP="00E474D4">
      <w:pPr>
        <w:ind w:firstLine="720"/>
        <w:jc w:val="both"/>
      </w:pPr>
      <w:r>
        <w:t xml:space="preserve">The intersection between computer science and statistical model evaluation defines the point where automated decision-making becomes a viable option. For example, inspecting the </w:t>
      </w:r>
      <w:proofErr w:type="spellStart"/>
      <w:r>
        <w:t>behaviour</w:t>
      </w:r>
      <w:proofErr w:type="spellEnd"/>
      <w:r>
        <w:t xml:space="preserve"> of a dataset will allow us to compute the error margins of doing nothing. Assuming that previous readings are close enough to the subsequent measurement, there is little reason to waste computing cycles.</w:t>
      </w:r>
    </w:p>
    <w:p w14:paraId="1BFBBFB0" w14:textId="2658485B" w:rsidR="00E474D4" w:rsidRDefault="00E474D4" w:rsidP="00E474D4">
      <w:pPr>
        <w:ind w:firstLine="720"/>
        <w:jc w:val="both"/>
      </w:pPr>
      <w:r>
        <w:t>With this baseline, we can look for algorithms to improve this score. This step lets us put computational costs in context and define a price-per-point accuracy boost. This evaluation can rely on well-established time and space complexity analysis. There is no point in discussing strategies for proper assignment of responsibilities of components in the distributed architecture of a Smart Grid system if we do not know the costs involved in each stage.</w:t>
      </w:r>
    </w:p>
    <w:p w14:paraId="1BF1C4FE" w14:textId="23DC8042" w:rsidR="00E474D4" w:rsidRDefault="00E474D4" w:rsidP="00E474D4">
      <w:pPr>
        <w:ind w:firstLine="720"/>
        <w:jc w:val="both"/>
      </w:pPr>
      <w:r>
        <w:t xml:space="preserve">Space complexity 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251EF8F3" w:rsidR="00C810A7" w:rsidRPr="003F56E3" w:rsidRDefault="00E474D4" w:rsidP="00E474D4">
      <w:pPr>
        <w:ind w:firstLine="720"/>
        <w:jc w:val="both"/>
      </w:pPr>
      <w:r>
        <w:t xml:space="preserve">Time complexity will dictate the level of responsiveness of the system. We already discussed moving from a slow-moving, </w:t>
      </w:r>
      <w:proofErr w:type="spellStart"/>
      <w:r>
        <w:t>centralised</w:t>
      </w:r>
      <w:proofErr w:type="spellEnd"/>
      <w:r>
        <w:t xml:space="preserve"> forecasting plan to a distributed, </w:t>
      </w:r>
      <w:proofErr w:type="gramStart"/>
      <w:r>
        <w:t>fine-grained</w:t>
      </w:r>
      <w:proofErr w:type="gramEnd"/>
      <w:r>
        <w:t xml:space="preserve"> and responsive one. Generating and updating models can be a bottleneck that restricts response times. But also, forecasting times can hamper the agility of the solution.</w:t>
      </w:r>
    </w:p>
    <w:p w14:paraId="34DD075D" w14:textId="4A394D81" w:rsidR="00732E46" w:rsidRPr="00CD4E53" w:rsidRDefault="00DB3364" w:rsidP="003F56E3">
      <w:pPr>
        <w:pStyle w:val="Heading1"/>
      </w:pPr>
      <w:r w:rsidRPr="00CD4E53">
        <w:t xml:space="preserve">V. </w:t>
      </w:r>
      <w:r w:rsidR="000F2C11" w:rsidRPr="00CD4E53">
        <w:t>Conclusion</w:t>
      </w:r>
    </w:p>
    <w:p w14:paraId="1E703947" w14:textId="77777777" w:rsidR="00732E46" w:rsidRPr="00CD4E53" w:rsidRDefault="000F2C11">
      <w:pPr>
        <w:pStyle w:val="Heading2"/>
        <w:jc w:val="both"/>
        <w:rPr>
          <w:i w:val="0"/>
          <w:color w:val="595959" w:themeColor="text1" w:themeTint="A6"/>
        </w:rPr>
      </w:pPr>
      <w:r w:rsidRPr="00CD4E53">
        <w:rPr>
          <w:i w:val="0"/>
          <w:color w:val="595959" w:themeColor="text1" w:themeTint="A6"/>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Pr="00CD4E53" w:rsidRDefault="000F2C11">
      <w:pPr>
        <w:keepNext/>
        <w:pBdr>
          <w:top w:val="nil"/>
          <w:left w:val="nil"/>
          <w:bottom w:val="nil"/>
          <w:right w:val="nil"/>
          <w:between w:val="nil"/>
        </w:pBdr>
        <w:spacing w:before="240" w:after="80"/>
        <w:jc w:val="center"/>
        <w:rPr>
          <w:smallCaps/>
          <w:color w:val="595959" w:themeColor="text1" w:themeTint="A6"/>
        </w:rPr>
      </w:pPr>
      <w:r w:rsidRPr="00CD4E53">
        <w:rPr>
          <w:smallCaps/>
          <w:color w:val="595959" w:themeColor="text1" w:themeTint="A6"/>
        </w:rPr>
        <w:t>Appendix</w:t>
      </w:r>
    </w:p>
    <w:p w14:paraId="337C2468"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Appendixes, if needed, appear before the acknowledgment.</w:t>
      </w:r>
    </w:p>
    <w:p w14:paraId="3C8D88B7" w14:textId="77777777" w:rsidR="00732E46" w:rsidRPr="00CD4E53" w:rsidRDefault="000F2C11">
      <w:pPr>
        <w:keepNext/>
        <w:pBdr>
          <w:top w:val="nil"/>
          <w:left w:val="nil"/>
          <w:bottom w:val="nil"/>
          <w:right w:val="nil"/>
          <w:between w:val="nil"/>
        </w:pBdr>
        <w:spacing w:before="240" w:after="80"/>
        <w:jc w:val="center"/>
        <w:rPr>
          <w:smallCaps/>
          <w:color w:val="595959" w:themeColor="text1" w:themeTint="A6"/>
        </w:rPr>
      </w:pPr>
      <w:r w:rsidRPr="00CD4E53">
        <w:rPr>
          <w:smallCaps/>
          <w:color w:val="595959" w:themeColor="text1" w:themeTint="A6"/>
        </w:rPr>
        <w:t>Acknowledgment</w:t>
      </w:r>
    </w:p>
    <w:p w14:paraId="1CC2B3A4"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CD4E53">
        <w:rPr>
          <w:color w:val="595959" w:themeColor="text1" w:themeTint="A6"/>
        </w:rPr>
        <w:t>... .</w:t>
      </w:r>
      <w:proofErr w:type="gramEnd"/>
      <w:r w:rsidRPr="00CD4E53">
        <w:rPr>
          <w:color w:val="595959" w:themeColor="text1" w:themeTint="A6"/>
        </w:rPr>
        <w:t xml:space="preserve">” Instead, write “F. A. Author thanks </w:t>
      </w:r>
      <w:proofErr w:type="gramStart"/>
      <w:r w:rsidRPr="00CD4E53">
        <w:rPr>
          <w:color w:val="595959" w:themeColor="text1" w:themeTint="A6"/>
        </w:rPr>
        <w:t>... .</w:t>
      </w:r>
      <w:proofErr w:type="gramEnd"/>
      <w:r w:rsidRPr="00CD4E53">
        <w:rPr>
          <w:color w:val="595959" w:themeColor="text1" w:themeTint="A6"/>
        </w:rPr>
        <w:t>” In most cases, sponsor and financial support acknowledgments are placed in the unnumbered footnote on the first page, not here.</w:t>
      </w:r>
    </w:p>
    <w:p w14:paraId="74726847" w14:textId="77777777" w:rsidR="00732E46" w:rsidRPr="00CD4E53" w:rsidRDefault="000F2C11" w:rsidP="003F56E3">
      <w:pPr>
        <w:pStyle w:val="Heading1"/>
      </w:pPr>
      <w:bookmarkStart w:id="4" w:name="_heading=h.ji51hl1e8dp3" w:colFirst="0" w:colLast="0"/>
      <w:bookmarkEnd w:id="4"/>
      <w:r w:rsidRPr="00CD4E53">
        <w:t>References and Footnotes</w:t>
      </w:r>
    </w:p>
    <w:p w14:paraId="6417537E" w14:textId="3B3D54D6" w:rsidR="00732E46" w:rsidRPr="00CD4E53" w:rsidRDefault="00EF6430" w:rsidP="00EF6430">
      <w:pPr>
        <w:pStyle w:val="Heading2"/>
        <w:numPr>
          <w:ilvl w:val="0"/>
          <w:numId w:val="0"/>
        </w:numPr>
        <w:tabs>
          <w:tab w:val="left" w:pos="180"/>
        </w:tabs>
        <w:ind w:left="90"/>
        <w:rPr>
          <w:color w:val="595959" w:themeColor="text1" w:themeTint="A6"/>
        </w:rPr>
      </w:pPr>
      <w:r w:rsidRPr="00CD4E53">
        <w:rPr>
          <w:color w:val="595959" w:themeColor="text1" w:themeTint="A6"/>
        </w:rPr>
        <w:t xml:space="preserve">A. </w:t>
      </w:r>
      <w:r w:rsidR="000F2C11" w:rsidRPr="00CD4E53">
        <w:rPr>
          <w:color w:val="595959" w:themeColor="text1" w:themeTint="A6"/>
        </w:rPr>
        <w:t>References</w:t>
      </w:r>
    </w:p>
    <w:p w14:paraId="6DEAF198" w14:textId="6AC0F2D2"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CD4E53">
        <w:rPr>
          <w:color w:val="595959" w:themeColor="text1" w:themeTint="A6"/>
        </w:rPr>
        <w:t>... .</w:t>
      </w:r>
      <w:proofErr w:type="gramEnd"/>
      <w:r w:rsidRPr="00CD4E53">
        <w:rPr>
          <w:color w:val="595959" w:themeColor="text1" w:themeTint="A6"/>
        </w:rPr>
        <w:t xml:space="preserve">” Please do not use automatic endnotes in </w:t>
      </w:r>
      <w:r w:rsidRPr="00CD4E53">
        <w:rPr>
          <w:i/>
          <w:color w:val="595959" w:themeColor="text1" w:themeTint="A6"/>
        </w:rPr>
        <w:t>Word</w:t>
      </w:r>
      <w:r w:rsidRPr="00CD4E53">
        <w:rPr>
          <w:color w:val="595959" w:themeColor="text1" w:themeTint="A6"/>
        </w:rPr>
        <w:t>, rather, type the reference list at the end of the paper using the “References” style.</w:t>
      </w:r>
    </w:p>
    <w:p w14:paraId="694358D7" w14:textId="1DB68CD7" w:rsidR="00732E46" w:rsidRPr="00CD4E53" w:rsidRDefault="000F2C11">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 xml:space="preserve">Reference numbers are set flush left and form a column of their own, hanging out beyond the body of the reference. The reference numbers are on the line, enclosed in square brackets. </w:t>
      </w:r>
      <w:r w:rsidRPr="00CD4E53">
        <w:rPr>
          <w:color w:val="595959" w:themeColor="text1" w:themeTint="A6"/>
        </w:rPr>
        <w:lastRenderedPageBreak/>
        <w:t xml:space="preserve">In all references, the given name of the author or editor is abbreviated to the initial only and precedes the last name. Use them all; use </w:t>
      </w:r>
      <w:r w:rsidRPr="00CD4E53">
        <w:rPr>
          <w:i/>
          <w:color w:val="595959" w:themeColor="text1" w:themeTint="A6"/>
        </w:rPr>
        <w:t>et al</w:t>
      </w:r>
      <w:r w:rsidRPr="00CD4E53">
        <w:rPr>
          <w:color w:val="595959" w:themeColor="text1" w:themeTint="A6"/>
        </w:rPr>
        <w:t xml:space="preserve">. only if names are not given or if there are more than 6 authors. Use commas around Jr., Sr., and III in names. Abbreviate conference titles. When citing IEEE Transactions, provide the issue number, page range, volume number, month if available, and 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CD4E53" w:rsidRDefault="000F2C11">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 xml:space="preserve">Other than books, capitalize only the first word in an article title, except for proper nouns and element symbols. For articles 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CD4E53">
        <w:rPr>
          <w:i/>
          <w:iCs/>
          <w:color w:val="595959" w:themeColor="text1" w:themeTint="A6"/>
        </w:rPr>
        <w:t>IEEE Editorial Style Manual</w:t>
      </w:r>
      <w:r w:rsidRPr="00CD4E53">
        <w:rPr>
          <w:color w:val="595959" w:themeColor="text1" w:themeTint="A6"/>
        </w:rPr>
        <w:t xml:space="preserve"> </w:t>
      </w:r>
      <w:r w:rsidR="00A530D2" w:rsidRPr="00CD4E53">
        <w:rPr>
          <w:i/>
          <w:iCs/>
          <w:color w:val="595959" w:themeColor="text1" w:themeTint="A6"/>
        </w:rPr>
        <w:t xml:space="preserve">for Authors </w:t>
      </w:r>
      <w:r w:rsidRPr="00CD4E53">
        <w:rPr>
          <w:color w:val="595959" w:themeColor="text1" w:themeTint="A6"/>
        </w:rPr>
        <w:t xml:space="preserve">at </w:t>
      </w:r>
      <w:hyperlink r:id="rId10">
        <w:r w:rsidRPr="00CD4E53">
          <w:rPr>
            <w:color w:val="595959" w:themeColor="text1" w:themeTint="A6"/>
            <w:sz w:val="19"/>
            <w:szCs w:val="19"/>
            <w:highlight w:val="white"/>
            <w:u w:val="single"/>
          </w:rPr>
          <w:t>https://journals.ieeeauthorcenter.ieee.org/create-your-ieee-journal-article/create-the-text-of-your-article/ieee-editorial-style-manual/</w:t>
        </w:r>
      </w:hyperlink>
      <w:r w:rsidRPr="00CD4E53">
        <w:rPr>
          <w:color w:val="595959" w:themeColor="text1" w:themeTint="A6"/>
        </w:rPr>
        <w:t>.</w:t>
      </w:r>
    </w:p>
    <w:p w14:paraId="1DE45720" w14:textId="77777777" w:rsidR="001F512A" w:rsidRPr="00CD4E53" w:rsidRDefault="001F512A">
      <w:pPr>
        <w:widowControl w:val="0"/>
        <w:pBdr>
          <w:top w:val="nil"/>
          <w:left w:val="nil"/>
          <w:bottom w:val="nil"/>
          <w:right w:val="nil"/>
          <w:between w:val="nil"/>
        </w:pBdr>
        <w:spacing w:line="252" w:lineRule="auto"/>
        <w:ind w:firstLine="144"/>
        <w:jc w:val="both"/>
        <w:rPr>
          <w:color w:val="595959" w:themeColor="text1" w:themeTint="A6"/>
        </w:rPr>
      </w:pPr>
    </w:p>
    <w:p w14:paraId="33D9B8F6" w14:textId="4F3C62E8"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B. </w:t>
      </w:r>
      <w:r w:rsidR="000F2C11" w:rsidRPr="00CD4E53">
        <w:rPr>
          <w:color w:val="595959" w:themeColor="text1" w:themeTint="A6"/>
        </w:rPr>
        <w:t>Footnotes</w:t>
      </w:r>
    </w:p>
    <w:p w14:paraId="42999174" w14:textId="2A5100B6"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Number footnotes separately in superscripts (Insert | Footnote).</w:t>
      </w:r>
      <w:r w:rsidRPr="00CD4E53">
        <w:rPr>
          <w:color w:val="595959" w:themeColor="text1" w:themeTint="A6"/>
          <w:vertAlign w:val="superscript"/>
        </w:rPr>
        <w:footnoteReference w:id="2"/>
      </w:r>
      <w:r w:rsidRPr="00CD4E53">
        <w:rPr>
          <w:color w:val="595959" w:themeColor="text1" w:themeTint="A6"/>
        </w:rPr>
        <w:t xml:space="preserve"> Place the actual footnote at the bottom of the column in which it is cited; do not put footnotes in the reference list (endnotes). Use letters for table footnotes (see Table I). </w:t>
      </w:r>
    </w:p>
    <w:p w14:paraId="4CEB8735" w14:textId="21956F37" w:rsidR="00732E46" w:rsidRPr="00CD4E53" w:rsidRDefault="000F2C11" w:rsidP="003F56E3">
      <w:pPr>
        <w:pStyle w:val="Heading1"/>
      </w:pPr>
      <w:r w:rsidRPr="00CD4E53">
        <w:t xml:space="preserve">Submitting Your </w:t>
      </w:r>
      <w:r w:rsidR="00E57D3D" w:rsidRPr="00CD4E53">
        <w:t xml:space="preserve">Article </w:t>
      </w:r>
      <w:r w:rsidRPr="00CD4E53">
        <w:t>for Review</w:t>
      </w:r>
    </w:p>
    <w:p w14:paraId="02AED5B9" w14:textId="281E4866"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 xml:space="preserve">Review Stage Using </w:t>
      </w:r>
      <w:proofErr w:type="spellStart"/>
      <w:r w:rsidR="000F2C11" w:rsidRPr="00CD4E53">
        <w:rPr>
          <w:color w:val="595959" w:themeColor="text1" w:themeTint="A6"/>
        </w:rPr>
        <w:t>ScholarOne</w:t>
      </w:r>
      <w:proofErr w:type="spellEnd"/>
      <w:r w:rsidR="000F2C11" w:rsidRPr="00CD4E53">
        <w:rPr>
          <w:color w:val="595959" w:themeColor="text1" w:themeTint="A6"/>
        </w:rPr>
        <w:t xml:space="preserve"> Manuscripts</w:t>
      </w:r>
    </w:p>
    <w:p w14:paraId="11B24C45" w14:textId="087C76F6" w:rsidR="00732E46" w:rsidRPr="00CD4E53" w:rsidRDefault="000F2C11" w:rsidP="00E57D3D">
      <w:pPr>
        <w:tabs>
          <w:tab w:val="left" w:pos="360"/>
        </w:tabs>
        <w:ind w:firstLine="360"/>
        <w:jc w:val="both"/>
        <w:rPr>
          <w:color w:val="595959" w:themeColor="text1" w:themeTint="A6"/>
        </w:rPr>
      </w:pPr>
      <w:r w:rsidRPr="00CD4E53">
        <w:rPr>
          <w:color w:val="595959" w:themeColor="text1" w:themeTint="A6"/>
        </w:rPr>
        <w:t xml:space="preserve">Contributions to the Transactions, Journals, and Letters may be submitted electronically on IEEE’s online manuscript submission and peer-review system, </w:t>
      </w:r>
      <w:proofErr w:type="spellStart"/>
      <w:r w:rsidRPr="00CD4E53">
        <w:rPr>
          <w:color w:val="595959" w:themeColor="text1" w:themeTint="A6"/>
        </w:rPr>
        <w:t>ScholarOne</w:t>
      </w:r>
      <w:proofErr w:type="spellEnd"/>
      <w:r w:rsidRPr="00CD4E53">
        <w:rPr>
          <w:color w:val="595959" w:themeColor="text1" w:themeTint="A6"/>
        </w:rPr>
        <w:t xml:space="preserve"> Manuscripts. You can get help choosing the correct publication for your manuscript as well as find their corresponding </w:t>
      </w:r>
      <w:proofErr w:type="spellStart"/>
      <w:r w:rsidRPr="00CD4E53">
        <w:rPr>
          <w:color w:val="595959" w:themeColor="text1" w:themeTint="A6"/>
        </w:rPr>
        <w:t>ScholarOne</w:t>
      </w:r>
      <w:proofErr w:type="spellEnd"/>
      <w:r w:rsidRPr="00CD4E53">
        <w:rPr>
          <w:color w:val="595959" w:themeColor="text1" w:themeTint="A6"/>
        </w:rPr>
        <w:t xml:space="preserve"> Manuscripts peer review site using the tools listed at</w:t>
      </w:r>
      <w:r w:rsidR="00E57D3D" w:rsidRPr="00CD4E53">
        <w:rPr>
          <w:color w:val="595959" w:themeColor="text1" w:themeTint="A6"/>
        </w:rPr>
        <w:t xml:space="preserve"> </w:t>
      </w:r>
      <w:hyperlink r:id="rId11">
        <w:r w:rsidRPr="00CD4E53">
          <w:rPr>
            <w:color w:val="595959" w:themeColor="text1" w:themeTint="A6"/>
            <w:u w:val="single"/>
          </w:rPr>
          <w:t>http://www.ieee.org/publications_standards/publications/authors/authors_submission.html</w:t>
        </w:r>
      </w:hyperlink>
      <w:r w:rsidRPr="00CD4E53">
        <w:rPr>
          <w:color w:val="595959" w:themeColor="text1" w:themeTint="A6"/>
        </w:rPr>
        <w:t xml:space="preserve"> Once you have chosen your publication and navigated to the </w:t>
      </w:r>
      <w:proofErr w:type="spellStart"/>
      <w:r w:rsidRPr="00CD4E53">
        <w:rPr>
          <w:color w:val="595959" w:themeColor="text1" w:themeTint="A6"/>
        </w:rPr>
        <w:t>ScholarOne</w:t>
      </w:r>
      <w:proofErr w:type="spellEnd"/>
      <w:r w:rsidRPr="00CD4E53">
        <w:rPr>
          <w:color w:val="595959" w:themeColor="text1" w:themeTint="A6"/>
        </w:rPr>
        <w:t xml:space="preserve"> site, check first to see if you have an existing account. If there is none, please create a new account. After logging in, go to your Author Center and click “Start New Submission.”</w:t>
      </w:r>
    </w:p>
    <w:p w14:paraId="0024B00E" w14:textId="70846DB2" w:rsidR="00732E46" w:rsidRPr="00CD4E53" w:rsidRDefault="000F2C11">
      <w:pPr>
        <w:tabs>
          <w:tab w:val="left" w:pos="360"/>
        </w:tabs>
        <w:jc w:val="both"/>
        <w:rPr>
          <w:color w:val="595959" w:themeColor="text1" w:themeTint="A6"/>
        </w:rPr>
      </w:pPr>
      <w:r w:rsidRPr="00CD4E53">
        <w:rPr>
          <w:color w:val="595959" w:themeColor="text1" w:themeTint="A6"/>
        </w:rPr>
        <w:tab/>
        <w:t>Along with other information, you will be asked to select the manuscript type from the journal’s pre-determined list of options</w:t>
      </w:r>
      <w:r w:rsidR="00E45781" w:rsidRPr="00CD4E53">
        <w:rPr>
          <w:color w:val="595959" w:themeColor="text1" w:themeTint="A6"/>
        </w:rPr>
        <w:t>.</w:t>
      </w:r>
      <w:r w:rsidRPr="00CD4E53">
        <w:rPr>
          <w:color w:val="595959" w:themeColor="text1" w:themeTint="A6"/>
        </w:rP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rsidRPr="00CD4E53">
        <w:rPr>
          <w:color w:val="595959" w:themeColor="text1" w:themeTint="A6"/>
        </w:rPr>
        <w:t xml:space="preserve">submission of your paper on </w:t>
      </w:r>
      <w:proofErr w:type="spellStart"/>
      <w:r w:rsidRPr="00CD4E53">
        <w:rPr>
          <w:color w:val="595959" w:themeColor="text1" w:themeTint="A6"/>
        </w:rPr>
        <w:t>ScholarOne</w:t>
      </w:r>
      <w:proofErr w:type="spellEnd"/>
      <w:r w:rsidRPr="00CD4E53">
        <w:rPr>
          <w:color w:val="595959" w:themeColor="text1" w:themeTint="A6"/>
        </w:rPr>
        <w:t xml:space="preserve"> Manuscripts, please contact oprs-support@ieee.org or call +1 732 465 5861.</w:t>
      </w:r>
    </w:p>
    <w:p w14:paraId="1A82A7C6" w14:textId="0ADD441D" w:rsidR="00732E46" w:rsidRPr="00CD4E53" w:rsidRDefault="000F2C11">
      <w:pPr>
        <w:tabs>
          <w:tab w:val="left" w:pos="360"/>
        </w:tabs>
        <w:jc w:val="both"/>
        <w:rPr>
          <w:color w:val="595959" w:themeColor="text1" w:themeTint="A6"/>
        </w:rPr>
      </w:pPr>
      <w:r w:rsidRPr="00CD4E53">
        <w:rPr>
          <w:color w:val="595959" w:themeColor="text1" w:themeTint="A6"/>
        </w:rPr>
        <w:tab/>
      </w:r>
      <w:proofErr w:type="spellStart"/>
      <w:r w:rsidRPr="00CD4E53">
        <w:rPr>
          <w:color w:val="595959" w:themeColor="text1" w:themeTint="A6"/>
        </w:rPr>
        <w:t>ScholarOne</w:t>
      </w:r>
      <w:proofErr w:type="spellEnd"/>
      <w:r w:rsidRPr="00CD4E53">
        <w:rPr>
          <w:color w:val="595959" w:themeColor="text1" w:themeTint="A6"/>
        </w:rPr>
        <w:t xml:space="preserve"> Manuscripts will accept files for review in various formats. </w:t>
      </w:r>
      <w:r w:rsidR="0080720F" w:rsidRPr="00CD4E53">
        <w:rPr>
          <w:color w:val="595959" w:themeColor="text1" w:themeTint="A6"/>
        </w:rPr>
        <w:t>T</w:t>
      </w:r>
      <w:r w:rsidRPr="00CD4E53">
        <w:rPr>
          <w:color w:val="595959" w:themeColor="text1" w:themeTint="A6"/>
        </w:rPr>
        <w:t>here is a “Journal Home</w:t>
      </w:r>
      <w:r w:rsidR="0080720F" w:rsidRPr="00CD4E53">
        <w:rPr>
          <w:color w:val="595959" w:themeColor="text1" w:themeTint="A6"/>
        </w:rPr>
        <w:t>”</w:t>
      </w:r>
      <w:r w:rsidRPr="00CD4E53">
        <w:rPr>
          <w:color w:val="595959" w:themeColor="text1" w:themeTint="A6"/>
        </w:rPr>
        <w:t xml:space="preserve"> link on the log-in page of each </w:t>
      </w:r>
      <w:proofErr w:type="spellStart"/>
      <w:r w:rsidRPr="00CD4E53">
        <w:rPr>
          <w:color w:val="595959" w:themeColor="text1" w:themeTint="A6"/>
        </w:rPr>
        <w:t>ScholarOne</w:t>
      </w:r>
      <w:proofErr w:type="spellEnd"/>
      <w:r w:rsidRPr="00CD4E53">
        <w:rPr>
          <w:color w:val="595959" w:themeColor="text1" w:themeTint="A6"/>
        </w:rPr>
        <w:t xml:space="preserve"> Manuscripts site that will bring you to the journal’s homepage with their detailed requirements; please check these guidelines for your particular journal before you submit.  </w:t>
      </w:r>
    </w:p>
    <w:p w14:paraId="03B9F038" w14:textId="77777777" w:rsidR="001F512A" w:rsidRPr="00CD4E53" w:rsidRDefault="001F512A">
      <w:pPr>
        <w:tabs>
          <w:tab w:val="left" w:pos="360"/>
        </w:tabs>
        <w:jc w:val="both"/>
        <w:rPr>
          <w:color w:val="595959" w:themeColor="text1" w:themeTint="A6"/>
        </w:rPr>
      </w:pPr>
    </w:p>
    <w:p w14:paraId="21CD2FA6" w14:textId="224F6972"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B. </w:t>
      </w:r>
      <w:r w:rsidR="000F2C11" w:rsidRPr="00CD4E53">
        <w:rPr>
          <w:color w:val="595959" w:themeColor="text1" w:themeTint="A6"/>
        </w:rPr>
        <w:t xml:space="preserve">Final Stage Using </w:t>
      </w:r>
      <w:proofErr w:type="spellStart"/>
      <w:r w:rsidR="000F2C11" w:rsidRPr="00CD4E53">
        <w:rPr>
          <w:color w:val="595959" w:themeColor="text1" w:themeTint="A6"/>
        </w:rPr>
        <w:t>ScholarOne</w:t>
      </w:r>
      <w:proofErr w:type="spellEnd"/>
      <w:r w:rsidR="000F2C11" w:rsidRPr="00CD4E53">
        <w:rPr>
          <w:color w:val="595959" w:themeColor="text1" w:themeTint="A6"/>
        </w:rPr>
        <w:t xml:space="preserve"> Manuscripts</w:t>
      </w:r>
    </w:p>
    <w:p w14:paraId="57A9A954" w14:textId="48F21AC0" w:rsidR="00732E46" w:rsidRPr="00CD4E53" w:rsidRDefault="000F2C11">
      <w:pPr>
        <w:shd w:val="clear" w:color="auto" w:fill="FFFFFF"/>
        <w:tabs>
          <w:tab w:val="left" w:pos="360"/>
        </w:tabs>
        <w:jc w:val="both"/>
        <w:rPr>
          <w:color w:val="595959" w:themeColor="text1" w:themeTint="A6"/>
        </w:rPr>
      </w:pPr>
      <w:r w:rsidRPr="00CD4E53">
        <w:rPr>
          <w:color w:val="595959" w:themeColor="text1" w:themeTint="A6"/>
        </w:rPr>
        <w:t xml:space="preserve">Upon acceptance, you will receive an email with specific instructions regarding the submission of your final files. To avoid any delays in publication, please be sure to follow these instructions. </w:t>
      </w:r>
      <w:r w:rsidR="0080720F" w:rsidRPr="00CD4E53">
        <w:rPr>
          <w:color w:val="595959" w:themeColor="text1" w:themeTint="A6"/>
        </w:rPr>
        <w:t>Fi</w:t>
      </w:r>
      <w:r w:rsidRPr="00CD4E53">
        <w:rPr>
          <w:color w:val="595959" w:themeColor="text1" w:themeTint="A6"/>
        </w:rP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Pr="00CD4E53" w:rsidRDefault="000F2C11">
      <w:pPr>
        <w:shd w:val="clear" w:color="auto" w:fill="FFFFFF"/>
        <w:tabs>
          <w:tab w:val="left" w:pos="360"/>
        </w:tabs>
        <w:jc w:val="both"/>
        <w:rPr>
          <w:color w:val="595959" w:themeColor="text1" w:themeTint="A6"/>
        </w:rPr>
      </w:pPr>
      <w:r w:rsidRPr="00CD4E53">
        <w:rPr>
          <w:color w:val="595959" w:themeColor="text1" w:themeTint="A6"/>
        </w:rP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rsidRPr="00CD4E53">
        <w:rPr>
          <w:color w:val="595959" w:themeColor="text1" w:themeTint="A6"/>
        </w:rPr>
        <w:t>ScholarOne</w:t>
      </w:r>
      <w:proofErr w:type="spellEnd"/>
      <w:r w:rsidRPr="00CD4E53">
        <w:rPr>
          <w:color w:val="595959" w:themeColor="text1" w:themeTint="A6"/>
        </w:rPr>
        <w:t xml:space="preserve"> Manuscripts you will be automatically redirected to the IEEE electronic copyright form wizard. Please complete the copyright at that time to avoid publication delays. </w:t>
      </w:r>
    </w:p>
    <w:p w14:paraId="66BC3830" w14:textId="77777777" w:rsidR="00732E46" w:rsidRPr="00CD4E53" w:rsidRDefault="00732E46">
      <w:pPr>
        <w:widowControl w:val="0"/>
        <w:pBdr>
          <w:top w:val="nil"/>
          <w:left w:val="nil"/>
          <w:bottom w:val="nil"/>
          <w:right w:val="nil"/>
          <w:between w:val="nil"/>
        </w:pBdr>
        <w:spacing w:line="252" w:lineRule="auto"/>
        <w:jc w:val="both"/>
        <w:rPr>
          <w:color w:val="595959" w:themeColor="text1" w:themeTint="A6"/>
        </w:rPr>
      </w:pPr>
    </w:p>
    <w:p w14:paraId="5DC46466" w14:textId="618BA0BF"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C. </w:t>
      </w:r>
      <w:r w:rsidR="000F2C11" w:rsidRPr="00CD4E53">
        <w:rPr>
          <w:color w:val="595959" w:themeColor="text1" w:themeTint="A6"/>
        </w:rPr>
        <w:t>Copyright Form</w:t>
      </w:r>
    </w:p>
    <w:p w14:paraId="524C8A86" w14:textId="4D816C12"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highlight w:val="white"/>
        </w:rPr>
        <w:t>Authors must submit an electronic IEEE Copyright Form (</w:t>
      </w:r>
      <w:proofErr w:type="spellStart"/>
      <w:r w:rsidRPr="00CD4E53">
        <w:rPr>
          <w:color w:val="595959" w:themeColor="text1" w:themeTint="A6"/>
          <w:highlight w:val="white"/>
        </w:rPr>
        <w:t>eCF</w:t>
      </w:r>
      <w:proofErr w:type="spellEnd"/>
      <w:r w:rsidRPr="00CD4E53">
        <w:rPr>
          <w:color w:val="595959" w:themeColor="text1" w:themeTint="A6"/>
          <w:highlight w:val="white"/>
        </w:rPr>
        <w:t xml:space="preserve">) upon submitting their final manuscript files. You can access the </w:t>
      </w:r>
      <w:proofErr w:type="spellStart"/>
      <w:r w:rsidRPr="00CD4E53">
        <w:rPr>
          <w:color w:val="595959" w:themeColor="text1" w:themeTint="A6"/>
          <w:highlight w:val="white"/>
        </w:rPr>
        <w:t>eCF</w:t>
      </w:r>
      <w:proofErr w:type="spellEnd"/>
      <w:r w:rsidRPr="00CD4E53">
        <w:rPr>
          <w:color w:val="595959" w:themeColor="text1" w:themeTint="A6"/>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12">
        <w:r w:rsidRPr="00CD4E53">
          <w:rPr>
            <w:color w:val="595959" w:themeColor="text1" w:themeTint="A6"/>
            <w:highlight w:val="white"/>
            <w:u w:val="single"/>
          </w:rPr>
          <w:t>https://www.ieee.org/publications/rights/index.html</w:t>
        </w:r>
      </w:hyperlink>
      <w:hyperlink r:id="rId13">
        <w:r w:rsidRPr="00CD4E53">
          <w:rPr>
            <w:color w:val="595959" w:themeColor="text1" w:themeTint="A6"/>
            <w:highlight w:val="white"/>
            <w:u w:val="single"/>
          </w:rPr>
          <w:t xml:space="preserve"> </w:t>
        </w:r>
      </w:hyperlink>
    </w:p>
    <w:p w14:paraId="5D6B1EFA" w14:textId="77777777" w:rsidR="00732E46" w:rsidRPr="00CD4E53" w:rsidRDefault="000F2C11" w:rsidP="003F56E3">
      <w:pPr>
        <w:pStyle w:val="Heading1"/>
      </w:pPr>
      <w:r w:rsidRPr="00CD4E53">
        <w:t>IEEE Guidelines and Policies</w:t>
      </w:r>
    </w:p>
    <w:p w14:paraId="71905707" w14:textId="07BCE7F3" w:rsidR="00732E46" w:rsidRPr="00CD4E53" w:rsidRDefault="000F2C11">
      <w:pPr>
        <w:widowControl w:val="0"/>
        <w:pBdr>
          <w:top w:val="nil"/>
          <w:left w:val="nil"/>
          <w:bottom w:val="nil"/>
          <w:right w:val="nil"/>
          <w:between w:val="nil"/>
        </w:pBdr>
        <w:spacing w:line="252" w:lineRule="auto"/>
        <w:jc w:val="both"/>
        <w:rPr>
          <w:color w:val="595959" w:themeColor="text1" w:themeTint="A6"/>
        </w:rPr>
      </w:pPr>
      <w:r w:rsidRPr="00CD4E53">
        <w:rPr>
          <w:color w:val="595959" w:themeColor="text1" w:themeTint="A6"/>
          <w:highlight w:val="white"/>
        </w:rPr>
        <w:t xml:space="preserve">A full overview of IEEE publishing guidelines and policies can be found at </w:t>
      </w:r>
      <w:hyperlink r:id="rId14">
        <w:r w:rsidRPr="00CD4E53">
          <w:rPr>
            <w:color w:val="595959" w:themeColor="text1" w:themeTint="A6"/>
            <w:highlight w:val="white"/>
            <w:u w:val="single"/>
          </w:rPr>
          <w:t>https://journals.ieeeauthorcenter.ieee.org/become-an-ieee-journal-author/publishing-ethics/guidelines-and-policies/</w:t>
        </w:r>
      </w:hyperlink>
      <w:r w:rsidRPr="00CD4E53">
        <w:rPr>
          <w:color w:val="595959" w:themeColor="text1" w:themeTint="A6"/>
          <w:highlight w:val="white"/>
        </w:rPr>
        <w:t xml:space="preserve">. They are designed to help authors understand and navigate the publishing process successfully. </w:t>
      </w:r>
      <w:r w:rsidR="00E45781" w:rsidRPr="00CD4E53">
        <w:rPr>
          <w:color w:val="595959" w:themeColor="text1" w:themeTint="A6"/>
          <w:highlight w:val="white"/>
        </w:rPr>
        <w:t>L</w:t>
      </w:r>
      <w:r w:rsidRPr="00CD4E53">
        <w:rPr>
          <w:color w:val="595959" w:themeColor="text1" w:themeTint="A6"/>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Pr="00CD4E53" w:rsidRDefault="000F2C11">
      <w:pPr>
        <w:keepNext/>
        <w:pBdr>
          <w:top w:val="nil"/>
          <w:left w:val="nil"/>
          <w:bottom w:val="nil"/>
          <w:right w:val="nil"/>
          <w:between w:val="nil"/>
        </w:pBdr>
        <w:spacing w:before="240" w:after="80"/>
        <w:jc w:val="center"/>
        <w:rPr>
          <w:color w:val="595959" w:themeColor="text1" w:themeTint="A6"/>
          <w:sz w:val="16"/>
          <w:szCs w:val="16"/>
        </w:rPr>
      </w:pPr>
      <w:r w:rsidRPr="00CD4E53">
        <w:rPr>
          <w:smallCaps/>
          <w:color w:val="595959" w:themeColor="text1" w:themeTint="A6"/>
        </w:rPr>
        <w:lastRenderedPageBreak/>
        <w:t>References</w:t>
      </w:r>
    </w:p>
    <w:p w14:paraId="45DA8BE1" w14:textId="3E7A231E" w:rsidR="00CD6167"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A. T. </w:t>
      </w:r>
      <w:proofErr w:type="spellStart"/>
      <w:r w:rsidRPr="00CD6167">
        <w:rPr>
          <w:color w:val="222222"/>
          <w:sz w:val="16"/>
          <w:szCs w:val="16"/>
          <w:shd w:val="clear" w:color="auto" w:fill="FFFFFF"/>
          <w:lang w:val="en-IE" w:eastAsia="en-GB"/>
        </w:rPr>
        <w:t>Eseye</w:t>
      </w:r>
      <w:proofErr w:type="spellEnd"/>
      <w:r w:rsidRPr="00CD6167">
        <w:rPr>
          <w:color w:val="222222"/>
          <w:sz w:val="16"/>
          <w:szCs w:val="16"/>
          <w:shd w:val="clear" w:color="auto" w:fill="FFFFFF"/>
          <w:lang w:val="en-IE" w:eastAsia="en-GB"/>
        </w:rPr>
        <w:t xml:space="preserve"> and M. Lehtonen, "Short-Term Forecasting of Heat Demand of Buildings for Efficient and Optimal Energy Management Based on Integrated Machine Learning Models," in IEEE Transactions on Industrial Informatics, vol. 16, no. 12, pp. 7743-7755, Dec. 2020,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10.1109/TII.2020.2970165.</w:t>
      </w:r>
    </w:p>
    <w:p w14:paraId="6EA1FB81" w14:textId="6D315854" w:rsidR="00CD6167" w:rsidRDefault="00CD6167" w:rsidP="00207794">
      <w:pPr>
        <w:jc w:val="both"/>
        <w:rPr>
          <w:color w:val="222222"/>
          <w:sz w:val="16"/>
          <w:szCs w:val="16"/>
          <w:shd w:val="clear" w:color="auto" w:fill="FFFFFF"/>
          <w:lang w:val="en-IE" w:eastAsia="en-GB"/>
        </w:rPr>
      </w:pPr>
    </w:p>
    <w:p w14:paraId="191691B8" w14:textId="37BB60D9" w:rsidR="00221C46" w:rsidRDefault="00221C46" w:rsidP="00207794">
      <w:pPr>
        <w:jc w:val="both"/>
        <w:rPr>
          <w:color w:val="222222"/>
          <w:sz w:val="16"/>
          <w:szCs w:val="16"/>
          <w:shd w:val="clear" w:color="auto" w:fill="FFFFFF"/>
          <w:lang w:val="en-IE" w:eastAsia="en-GB"/>
        </w:rPr>
      </w:pPr>
      <w:r w:rsidRPr="00221C46">
        <w:rPr>
          <w:color w:val="222222"/>
          <w:sz w:val="16"/>
          <w:szCs w:val="16"/>
          <w:shd w:val="clear" w:color="auto" w:fill="FFFFFF"/>
          <w:lang w:val="en-IE" w:eastAsia="en-GB"/>
        </w:rPr>
        <w:t xml:space="preserve">B. </w:t>
      </w:r>
      <w:proofErr w:type="spellStart"/>
      <w:r w:rsidRPr="00221C46">
        <w:rPr>
          <w:color w:val="222222"/>
          <w:sz w:val="16"/>
          <w:szCs w:val="16"/>
          <w:shd w:val="clear" w:color="auto" w:fill="FFFFFF"/>
          <w:lang w:val="en-IE" w:eastAsia="en-GB"/>
        </w:rPr>
        <w:t>Sudharsan</w:t>
      </w:r>
      <w:proofErr w:type="spellEnd"/>
      <w:r w:rsidRPr="00221C46">
        <w:rPr>
          <w:color w:val="222222"/>
          <w:sz w:val="16"/>
          <w:szCs w:val="16"/>
          <w:shd w:val="clear" w:color="auto" w:fill="FFFFFF"/>
          <w:lang w:val="en-IE" w:eastAsia="en-GB"/>
        </w:rPr>
        <w:t xml:space="preserve"> et al., "</w:t>
      </w:r>
      <w:proofErr w:type="spellStart"/>
      <w:r w:rsidRPr="00221C46">
        <w:rPr>
          <w:color w:val="222222"/>
          <w:sz w:val="16"/>
          <w:szCs w:val="16"/>
          <w:shd w:val="clear" w:color="auto" w:fill="FFFFFF"/>
          <w:lang w:val="en-IE" w:eastAsia="en-GB"/>
        </w:rPr>
        <w:t>TinyML</w:t>
      </w:r>
      <w:proofErr w:type="spellEnd"/>
      <w:r w:rsidRPr="00221C46">
        <w:rPr>
          <w:color w:val="222222"/>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221C46">
        <w:rPr>
          <w:color w:val="222222"/>
          <w:sz w:val="16"/>
          <w:szCs w:val="16"/>
          <w:shd w:val="clear" w:color="auto" w:fill="FFFFFF"/>
          <w:lang w:val="en-IE" w:eastAsia="en-GB"/>
        </w:rPr>
        <w:t>doi</w:t>
      </w:r>
      <w:proofErr w:type="spellEnd"/>
      <w:r w:rsidRPr="00221C46">
        <w:rPr>
          <w:color w:val="222222"/>
          <w:sz w:val="16"/>
          <w:szCs w:val="16"/>
          <w:shd w:val="clear" w:color="auto" w:fill="FFFFFF"/>
          <w:lang w:val="en-IE" w:eastAsia="en-GB"/>
        </w:rPr>
        <w:t>: 10.1109/WF-IoT51360.2021.9595024.</w:t>
      </w:r>
    </w:p>
    <w:p w14:paraId="7E33DED6" w14:textId="77777777" w:rsidR="00221C46" w:rsidRDefault="00221C46" w:rsidP="00207794">
      <w:pPr>
        <w:jc w:val="both"/>
        <w:rPr>
          <w:color w:val="222222"/>
          <w:sz w:val="16"/>
          <w:szCs w:val="16"/>
          <w:shd w:val="clear" w:color="auto" w:fill="FFFFFF"/>
          <w:lang w:val="en-IE" w:eastAsia="en-GB"/>
        </w:rPr>
      </w:pPr>
    </w:p>
    <w:p w14:paraId="7FE6F7F4" w14:textId="7D47C842" w:rsidR="00C60694"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J. </w:t>
      </w:r>
      <w:proofErr w:type="spellStart"/>
      <w:r w:rsidRPr="00CD6167">
        <w:rPr>
          <w:color w:val="222222"/>
          <w:sz w:val="16"/>
          <w:szCs w:val="16"/>
          <w:shd w:val="clear" w:color="auto" w:fill="FFFFFF"/>
          <w:lang w:val="en-IE" w:eastAsia="en-GB"/>
        </w:rPr>
        <w:t>Kampars</w:t>
      </w:r>
      <w:proofErr w:type="spellEnd"/>
      <w:r w:rsidRPr="00CD6167">
        <w:rPr>
          <w:color w:val="222222"/>
          <w:sz w:val="16"/>
          <w:szCs w:val="16"/>
          <w:shd w:val="clear" w:color="auto" w:fill="FFFFFF"/>
          <w:lang w:val="en-IE" w:eastAsia="en-GB"/>
        </w:rPr>
        <w:t xml:space="preserve">, D. </w:t>
      </w:r>
      <w:proofErr w:type="spellStart"/>
      <w:r w:rsidRPr="00CD6167">
        <w:rPr>
          <w:color w:val="222222"/>
          <w:sz w:val="16"/>
          <w:szCs w:val="16"/>
          <w:shd w:val="clear" w:color="auto" w:fill="FFFFFF"/>
          <w:lang w:val="en-IE" w:eastAsia="en-GB"/>
        </w:rPr>
        <w:t>Tropins</w:t>
      </w:r>
      <w:proofErr w:type="spellEnd"/>
      <w:r w:rsidRPr="00CD6167">
        <w:rPr>
          <w:color w:val="222222"/>
          <w:sz w:val="16"/>
          <w:szCs w:val="16"/>
          <w:shd w:val="clear" w:color="auto" w:fill="FFFFFF"/>
          <w:lang w:val="en-IE" w:eastAsia="en-GB"/>
        </w:rPr>
        <w:t xml:space="preserve"> and R. </w:t>
      </w:r>
      <w:proofErr w:type="spellStart"/>
      <w:r w:rsidRPr="00CD6167">
        <w:rPr>
          <w:color w:val="222222"/>
          <w:sz w:val="16"/>
          <w:szCs w:val="16"/>
          <w:shd w:val="clear" w:color="auto" w:fill="FFFFFF"/>
          <w:lang w:val="en-IE" w:eastAsia="en-GB"/>
        </w:rPr>
        <w:t>Matisons</w:t>
      </w:r>
      <w:proofErr w:type="spellEnd"/>
      <w:r w:rsidRPr="00CD6167">
        <w:rPr>
          <w:color w:val="222222"/>
          <w:sz w:val="16"/>
          <w:szCs w:val="16"/>
          <w:shd w:val="clear" w:color="auto" w:fill="FFFFFF"/>
          <w:lang w:val="en-IE" w:eastAsia="en-GB"/>
        </w:rPr>
        <w:t xml:space="preserve">, "A Review of Application Layer Communication Protocols for the IoT Edge Cloud Continuum," 2021 62nd International Scientific Conference on Information Technology and Management Science of Riga Technical University (ITMS), 2021, pp. 1-6,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10.1109/ITMS52826.2021.9615332.</w:t>
      </w: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99273" w14:textId="77777777" w:rsidR="00AA0A70" w:rsidRDefault="00AA0A70">
      <w:r>
        <w:separator/>
      </w:r>
    </w:p>
  </w:endnote>
  <w:endnote w:type="continuationSeparator" w:id="0">
    <w:p w14:paraId="493381D0" w14:textId="77777777" w:rsidR="00AA0A70" w:rsidRDefault="00AA0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06DE8" w14:textId="77777777" w:rsidR="00AA0A70" w:rsidRPr="009A0AA6" w:rsidRDefault="00AA0A70" w:rsidP="009A0AA6">
      <w:pPr>
        <w:pStyle w:val="Footer"/>
      </w:pPr>
    </w:p>
  </w:footnote>
  <w:footnote w:type="continuationSeparator" w:id="0">
    <w:p w14:paraId="66DEE7FD" w14:textId="77777777" w:rsidR="00AA0A70" w:rsidRDefault="00AA0A70">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922182769">
    <w:abstractNumId w:val="9"/>
  </w:num>
  <w:num w:numId="2" w16cid:durableId="535629233">
    <w:abstractNumId w:val="2"/>
  </w:num>
  <w:num w:numId="3" w16cid:durableId="444007754">
    <w:abstractNumId w:val="1"/>
  </w:num>
  <w:num w:numId="4" w16cid:durableId="288317156">
    <w:abstractNumId w:val="8"/>
  </w:num>
  <w:num w:numId="5" w16cid:durableId="1451167547">
    <w:abstractNumId w:val="5"/>
  </w:num>
  <w:num w:numId="6" w16cid:durableId="882670135">
    <w:abstractNumId w:val="6"/>
  </w:num>
  <w:num w:numId="7" w16cid:durableId="21471594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7"/>
  </w:num>
  <w:num w:numId="11" w16cid:durableId="7804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1D4A"/>
    <w:rsid w:val="000403AE"/>
    <w:rsid w:val="00053B2E"/>
    <w:rsid w:val="000650E5"/>
    <w:rsid w:val="00081747"/>
    <w:rsid w:val="00085D7A"/>
    <w:rsid w:val="000F2C11"/>
    <w:rsid w:val="00114406"/>
    <w:rsid w:val="00152AB3"/>
    <w:rsid w:val="00163F9F"/>
    <w:rsid w:val="00170C54"/>
    <w:rsid w:val="001743EC"/>
    <w:rsid w:val="001B0334"/>
    <w:rsid w:val="001D7DE6"/>
    <w:rsid w:val="001E7EDB"/>
    <w:rsid w:val="001F512A"/>
    <w:rsid w:val="00207794"/>
    <w:rsid w:val="00221C46"/>
    <w:rsid w:val="00285E41"/>
    <w:rsid w:val="003242E2"/>
    <w:rsid w:val="00357347"/>
    <w:rsid w:val="0036091A"/>
    <w:rsid w:val="003A0BC5"/>
    <w:rsid w:val="003B1670"/>
    <w:rsid w:val="003F56E3"/>
    <w:rsid w:val="004063A4"/>
    <w:rsid w:val="00443DF5"/>
    <w:rsid w:val="00474613"/>
    <w:rsid w:val="004E35A3"/>
    <w:rsid w:val="00515C13"/>
    <w:rsid w:val="005B43C2"/>
    <w:rsid w:val="005C68BC"/>
    <w:rsid w:val="005E2D10"/>
    <w:rsid w:val="005F4497"/>
    <w:rsid w:val="006514FE"/>
    <w:rsid w:val="00660F88"/>
    <w:rsid w:val="006702CD"/>
    <w:rsid w:val="00682750"/>
    <w:rsid w:val="00686886"/>
    <w:rsid w:val="00694E0B"/>
    <w:rsid w:val="006A6919"/>
    <w:rsid w:val="006E42E3"/>
    <w:rsid w:val="007054D1"/>
    <w:rsid w:val="00727CFE"/>
    <w:rsid w:val="00732E46"/>
    <w:rsid w:val="007603EB"/>
    <w:rsid w:val="00770633"/>
    <w:rsid w:val="00771AA2"/>
    <w:rsid w:val="007F4FB6"/>
    <w:rsid w:val="0080720F"/>
    <w:rsid w:val="00815CC3"/>
    <w:rsid w:val="00852983"/>
    <w:rsid w:val="00874977"/>
    <w:rsid w:val="008E4F03"/>
    <w:rsid w:val="008F2699"/>
    <w:rsid w:val="00932FBA"/>
    <w:rsid w:val="0096199E"/>
    <w:rsid w:val="009A0AA6"/>
    <w:rsid w:val="009B0F1B"/>
    <w:rsid w:val="00A029FC"/>
    <w:rsid w:val="00A24B38"/>
    <w:rsid w:val="00A41540"/>
    <w:rsid w:val="00A530D2"/>
    <w:rsid w:val="00A6122B"/>
    <w:rsid w:val="00A80BDA"/>
    <w:rsid w:val="00A853F3"/>
    <w:rsid w:val="00AA0A70"/>
    <w:rsid w:val="00AB42A5"/>
    <w:rsid w:val="00AB4C22"/>
    <w:rsid w:val="00B04702"/>
    <w:rsid w:val="00B07BB7"/>
    <w:rsid w:val="00B53B72"/>
    <w:rsid w:val="00BB18DF"/>
    <w:rsid w:val="00C60694"/>
    <w:rsid w:val="00C76E9E"/>
    <w:rsid w:val="00C810A7"/>
    <w:rsid w:val="00CD4E53"/>
    <w:rsid w:val="00CD6167"/>
    <w:rsid w:val="00CE4351"/>
    <w:rsid w:val="00DA34C3"/>
    <w:rsid w:val="00DB3364"/>
    <w:rsid w:val="00DC758F"/>
    <w:rsid w:val="00DF6629"/>
    <w:rsid w:val="00E45781"/>
    <w:rsid w:val="00E474D4"/>
    <w:rsid w:val="00E57D3D"/>
    <w:rsid w:val="00E625A7"/>
    <w:rsid w:val="00E653B5"/>
    <w:rsid w:val="00E9065C"/>
    <w:rsid w:val="00EA352F"/>
    <w:rsid w:val="00EF6430"/>
    <w:rsid w:val="00F2198C"/>
    <w:rsid w:val="00F5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ee.org/publications/rights/index.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eee.org/publications/rights/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publications_standards/publications/authors/authors_submission.html"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s://journals.ieeeauthorcenter.ieee.org/create-your-ieee-journal-article/create-the-text-of-your-article/ieee-editorial-style-manua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journals.ieeeauthorcenter.ieee.org/become-an-ieee-journal-author/publishing-ethics/guidelines-and-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9</cp:revision>
  <dcterms:created xsi:type="dcterms:W3CDTF">2022-06-06T19:16:00Z</dcterms:created>
  <dcterms:modified xsi:type="dcterms:W3CDTF">2022-06-14T13:56:00Z</dcterms:modified>
</cp:coreProperties>
</file>