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74BE5D08" w:rsidR="00732E46" w:rsidRDefault="00CD4E53">
      <w:pPr>
        <w:pBdr>
          <w:top w:val="nil"/>
          <w:left w:val="nil"/>
          <w:bottom w:val="nil"/>
          <w:right w:val="nil"/>
          <w:between w:val="nil"/>
        </w:pBdr>
        <w:spacing w:after="320"/>
        <w:jc w:val="center"/>
        <w:rPr>
          <w:color w:val="000000"/>
          <w:sz w:val="22"/>
          <w:szCs w:val="22"/>
        </w:rPr>
      </w:pPr>
      <w:bookmarkStart w:id="1" w:name="_heading=h.gjdgxs" w:colFirst="0" w:colLast="0"/>
      <w:bookmarkEnd w:id="1"/>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r w:rsidR="00BD462F">
        <w:rPr>
          <w:i/>
          <w:color w:val="000000"/>
          <w:sz w:val="22"/>
          <w:szCs w:val="22"/>
        </w:rPr>
        <w:t>, MSc. Computer Science student, University College Dublin, MSc. Electrical</w:t>
      </w:r>
      <w:r w:rsidR="007C2A55">
        <w:rPr>
          <w:i/>
          <w:color w:val="000000"/>
          <w:sz w:val="22"/>
          <w:szCs w:val="22"/>
        </w:rPr>
        <w:t xml:space="preserve"> Engineering and Telecommunications</w:t>
      </w:r>
      <w:r w:rsidR="001F273C">
        <w:rPr>
          <w:i/>
          <w:color w:val="000000"/>
          <w:sz w:val="22"/>
          <w:szCs w:val="22"/>
        </w:rPr>
        <w:t xml:space="preserve"> student</w:t>
      </w:r>
      <w:r w:rsidR="007C2A55">
        <w:rPr>
          <w:i/>
          <w:color w:val="000000"/>
          <w:sz w:val="22"/>
          <w:szCs w:val="22"/>
        </w:rPr>
        <w:t xml:space="preserve">, </w:t>
      </w:r>
      <w:proofErr w:type="spellStart"/>
      <w:r w:rsidR="007C2A55">
        <w:rPr>
          <w:i/>
          <w:color w:val="000000"/>
          <w:sz w:val="22"/>
          <w:szCs w:val="22"/>
        </w:rPr>
        <w:t>Universidade</w:t>
      </w:r>
      <w:proofErr w:type="spellEnd"/>
      <w:r w:rsidR="007C2A55">
        <w:rPr>
          <w:i/>
          <w:color w:val="000000"/>
          <w:sz w:val="22"/>
          <w:szCs w:val="22"/>
        </w:rPr>
        <w:t xml:space="preserve"> Federal Fluminense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49E56AB1"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 xml:space="preserve">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distributed </w:t>
      </w:r>
      <w:r w:rsidR="0083025F">
        <w:rPr>
          <w:rFonts w:ascii="Times" w:hAnsi="Times" w:cs="Times"/>
          <w:b/>
          <w:bCs/>
          <w:color w:val="0D0D14"/>
          <w:sz w:val="18"/>
          <w:szCs w:val="18"/>
          <w:lang w:val="en-GB"/>
        </w:rPr>
        <w:t>processing</w:t>
      </w:r>
      <w:r w:rsidR="004E35A3" w:rsidRPr="004E35A3">
        <w:rPr>
          <w:rFonts w:ascii="Times" w:hAnsi="Times" w:cs="Times"/>
          <w:b/>
          <w:bCs/>
          <w:color w:val="0D0D14"/>
          <w:sz w:val="18"/>
          <w:szCs w:val="18"/>
          <w:lang w:val="en-GB"/>
        </w:rPr>
        <w:t>. For example, demand response proposals for smart electrical grids can expect millisecond-level thresholds. One possible way of mitigating this issue is by adding decision-making to the device. It is a case of edge computing that keeps a frequent communication channel with a large, distributed control plane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for proposals for time-series forecasting</w:t>
      </w:r>
      <w:r w:rsidR="001531F0">
        <w:rPr>
          <w:rFonts w:ascii="Times" w:hAnsi="Times" w:cs="Times"/>
          <w:b/>
          <w:bCs/>
          <w:color w:val="0D0D14"/>
          <w:sz w:val="18"/>
          <w:szCs w:val="18"/>
          <w:lang w:val="en-GB"/>
        </w:rPr>
        <w:t xml:space="preserve"> using</w:t>
      </w:r>
      <w:r w:rsidR="004E35A3" w:rsidRPr="004E35A3">
        <w:rPr>
          <w:rFonts w:ascii="Times" w:hAnsi="Times" w:cs="Times"/>
          <w:b/>
          <w:bCs/>
          <w:color w:val="0D0D14"/>
          <w:sz w:val="18"/>
          <w:szCs w:val="18"/>
          <w:lang w:val="en-GB"/>
        </w:rPr>
        <w:t xml:space="preserve"> modern machine learning techniques. It </w:t>
      </w:r>
      <w:r w:rsidR="00531EF4">
        <w:rPr>
          <w:rFonts w:ascii="Times" w:hAnsi="Times" w:cs="Times"/>
          <w:b/>
          <w:bCs/>
          <w:color w:val="0D0D14"/>
          <w:sz w:val="18"/>
          <w:szCs w:val="18"/>
          <w:lang w:val="en-GB"/>
        </w:rPr>
        <w:t>examined</w:t>
      </w:r>
      <w:r w:rsidR="004E35A3" w:rsidRPr="004E35A3">
        <w:rPr>
          <w:rFonts w:ascii="Times" w:hAnsi="Times" w:cs="Times"/>
          <w:b/>
          <w:bCs/>
          <w:color w:val="0D0D14"/>
          <w:sz w:val="18"/>
          <w:szCs w:val="18"/>
          <w:lang w:val="en-GB"/>
        </w:rPr>
        <w:t xml:space="preserve"> the feasibility and trade-offs expected to satisfy the technical challenges posed by this scenario.</w:t>
      </w:r>
      <w:r w:rsidR="00CA13A0">
        <w:rPr>
          <w:rFonts w:ascii="Times" w:hAnsi="Times" w:cs="Times"/>
          <w:b/>
          <w:bCs/>
          <w:color w:val="0D0D14"/>
          <w:sz w:val="18"/>
          <w:szCs w:val="18"/>
          <w:lang w:val="en-GB"/>
        </w:rPr>
        <w:t xml:space="preserve"> The strategy accrued a 22% increase in forecasting accuracy in short-term predictions when compared with default strategies, reaching an average R</w:t>
      </w:r>
      <w:r w:rsidR="00CA13A0" w:rsidRPr="00CA13A0">
        <w:rPr>
          <w:rFonts w:ascii="Times" w:hAnsi="Times" w:cs="Times"/>
          <w:b/>
          <w:bCs/>
          <w:color w:val="0D0D14"/>
          <w:sz w:val="18"/>
          <w:szCs w:val="18"/>
          <w:vertAlign w:val="superscript"/>
          <w:lang w:val="en-GB"/>
        </w:rPr>
        <w:t>2</w:t>
      </w:r>
      <w:r w:rsidR="00CA13A0">
        <w:rPr>
          <w:rFonts w:ascii="Times" w:hAnsi="Times" w:cs="Times"/>
          <w:b/>
          <w:bCs/>
          <w:color w:val="0D0D14"/>
          <w:sz w:val="18"/>
          <w:szCs w:val="18"/>
          <w:lang w:val="en-GB"/>
        </w:rPr>
        <w:t xml:space="preserve"> score of 0.85</w:t>
      </w:r>
      <w:r w:rsidR="007D2A3B">
        <w:rPr>
          <w:rFonts w:ascii="Times" w:hAnsi="Times" w:cs="Times"/>
          <w:b/>
          <w:bCs/>
          <w:color w:val="0D0D14"/>
          <w:sz w:val="18"/>
          <w:szCs w:val="18"/>
          <w:lang w:val="en-GB"/>
        </w:rPr>
        <w:t xml:space="preserve"> on a 4-year test dataset</w:t>
      </w:r>
      <w:r w:rsidR="00CA13A0">
        <w:rPr>
          <w:rFonts w:ascii="Times" w:hAnsi="Times" w:cs="Times"/>
          <w:b/>
          <w:bCs/>
          <w:color w:val="0D0D14"/>
          <w:sz w:val="18"/>
          <w:szCs w:val="18"/>
          <w:lang w:val="en-GB"/>
        </w:rPr>
        <w:t>.</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4508EDF" w:rsidR="00221C46" w:rsidRDefault="00221C46" w:rsidP="00221C46">
      <w:pPr>
        <w:ind w:firstLine="720"/>
        <w:jc w:val="both"/>
      </w:pPr>
      <w:r>
        <w:t xml:space="preserve">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w:t>
      </w:r>
      <w:proofErr w:type="spellStart"/>
      <w:r w:rsidR="00531EF4">
        <w:t>modernisation</w:t>
      </w:r>
      <w:proofErr w:type="spellEnd"/>
      <w:r>
        <w:t xml:space="preserve"> of e</w:t>
      </w:r>
      <w:r w:rsidR="008F6813">
        <w:t>nergy</w:t>
      </w:r>
      <w:r>
        <w:t xml:space="preserve"> distribution systems. There is a departure from a </w:t>
      </w:r>
      <w:proofErr w:type="spellStart"/>
      <w:r w:rsidR="00531EF4">
        <w:t>centralised</w:t>
      </w:r>
      <w:proofErr w:type="spellEnd"/>
      <w:r>
        <w:t xml:space="preserve">, unidirectional control </w:t>
      </w:r>
      <w:r w:rsidR="00030C14">
        <w:t>toward</w:t>
      </w:r>
      <w:r>
        <w:t xml:space="preserve"> more fine-grained </w:t>
      </w:r>
      <w:r w:rsidR="008F6813">
        <w:t>dispersed</w:t>
      </w:r>
      <w:r>
        <w:t xml:space="preserve"> models.</w:t>
      </w:r>
    </w:p>
    <w:p w14:paraId="3F4788CC" w14:textId="2D58C4D5" w:rsidR="00221C46" w:rsidRDefault="00221C46" w:rsidP="00221C46">
      <w:pPr>
        <w:jc w:val="both"/>
      </w:pPr>
      <w:r>
        <w:t xml:space="preserve">           Some technological breakthroughs did not fit th</w:t>
      </w:r>
      <w:r w:rsidR="005A3C25">
        <w:t>is</w:t>
      </w:r>
      <w:r>
        <w:t xml:space="preserve"> legacy top-down communication model. For example, the introduction of Solar and Wind generation requires a much more agile response given the unpredictable nature of their availability. The operator started dealing with greater levels of variance that </w:t>
      </w:r>
      <w:r>
        <w:t>more slow-moving forecasting models could not reliably manage.</w:t>
      </w:r>
    </w:p>
    <w:p w14:paraId="16CEF480" w14:textId="77777777" w:rsidR="0040329C" w:rsidRDefault="007C2A55" w:rsidP="0040329C">
      <w:pPr>
        <w:keepNext/>
        <w:jc w:val="center"/>
      </w:pPr>
      <w:r>
        <w:rPr>
          <w:noProof/>
        </w:rPr>
        <w:drawing>
          <wp:inline distT="0" distB="0" distL="0" distR="0" wp14:anchorId="13F27A40" wp14:editId="5848AA5D">
            <wp:extent cx="2611357" cy="2559336"/>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1310" cy="2627896"/>
                    </a:xfrm>
                    <a:prstGeom prst="rect">
                      <a:avLst/>
                    </a:prstGeom>
                  </pic:spPr>
                </pic:pic>
              </a:graphicData>
            </a:graphic>
          </wp:inline>
        </w:drawing>
      </w:r>
    </w:p>
    <w:p w14:paraId="39623504" w14:textId="58FF2BA2" w:rsidR="007C2A55" w:rsidRDefault="0040329C" w:rsidP="0040329C">
      <w:pPr>
        <w:pStyle w:val="Caption"/>
        <w:jc w:val="center"/>
      </w:pPr>
      <w:r>
        <w:t xml:space="preserve">Figure </w:t>
      </w:r>
      <w:fldSimple w:instr=" SEQ Figure \* ARABIC ">
        <w:r w:rsidR="0082140E">
          <w:rPr>
            <w:noProof/>
          </w:rPr>
          <w:t>1</w:t>
        </w:r>
      </w:fldSimple>
      <w:r>
        <w:t xml:space="preserve"> - Demand Response, bidirectional communication</w:t>
      </w:r>
    </w:p>
    <w:p w14:paraId="3657D227" w14:textId="79F08A77" w:rsidR="00221C46" w:rsidRDefault="00221C46" w:rsidP="00221C46">
      <w:pPr>
        <w:jc w:val="both"/>
      </w:pPr>
      <w:r>
        <w:t xml:space="preserve">           This landscape gave rise to energy aggregation services acting as independent coordinators. Industry players place bids on supply requirements advertised by system operators. It is the first step in </w:t>
      </w:r>
      <w:proofErr w:type="spellStart"/>
      <w:r w:rsidR="00531EF4">
        <w:t>decentralising</w:t>
      </w:r>
      <w:proofErr w:type="spellEnd"/>
      <w:r>
        <w:t xml:space="preserve"> control. However, </w:t>
      </w:r>
      <w:r w:rsidR="003E26FE">
        <w:t xml:space="preserve">this </w:t>
      </w:r>
      <w:proofErr w:type="spellStart"/>
      <w:r w:rsidR="003E26FE">
        <w:t>decentrali</w:t>
      </w:r>
      <w:r w:rsidR="001531F0">
        <w:t>s</w:t>
      </w:r>
      <w:r w:rsidR="003E26FE">
        <w:t>ation</w:t>
      </w:r>
      <w:proofErr w:type="spellEnd"/>
      <w:r w:rsidR="003E26FE">
        <w:t xml:space="preserve"> </w:t>
      </w:r>
      <w:r w:rsidR="005A3C25">
        <w:t xml:space="preserve">might </w:t>
      </w:r>
      <w:r>
        <w:t xml:space="preserve">still require more fine-grained information dissemination. </w:t>
      </w:r>
    </w:p>
    <w:p w14:paraId="6225E60D" w14:textId="28F97812" w:rsidR="00221C46" w:rsidRDefault="00221C46" w:rsidP="00221C46">
      <w:pPr>
        <w:jc w:val="both"/>
      </w:pPr>
      <w:r>
        <w:t xml:space="preserve">           This </w:t>
      </w:r>
      <w:r w:rsidR="00531EF4">
        <w:t>diffusion level</w:t>
      </w:r>
      <w:r>
        <w:t xml:space="preserve"> enables </w:t>
      </w:r>
      <w:r w:rsidR="005A3C25">
        <w:t xml:space="preserve">more radical </w:t>
      </w:r>
      <w:r>
        <w:t xml:space="preserve">proposals from the demand-side of the energy distribution equation. Research is often not tied to the same constraints imposed by routine business concerns. There are countless proposals for communication architectures inspired by many disciplines, from </w:t>
      </w:r>
      <w:r w:rsidR="00030C14">
        <w:t>Neighborhood</w:t>
      </w:r>
      <w:r>
        <w:t xml:space="preserve">-level microgrids to multi-layered energy distribution cells, </w:t>
      </w:r>
      <w:proofErr w:type="gramStart"/>
      <w:r>
        <w:t>similar to</w:t>
      </w:r>
      <w:proofErr w:type="gramEnd"/>
      <w:r>
        <w:t xml:space="preserve"> cellular telephone zoning.</w:t>
      </w:r>
    </w:p>
    <w:p w14:paraId="62F7704A" w14:textId="5160A7D9" w:rsidR="00221C46" w:rsidRDefault="00221C46" w:rsidP="00221C46">
      <w:pPr>
        <w:jc w:val="both"/>
      </w:pPr>
      <w:r>
        <w:t xml:space="preserve">           This restructuring shares the traits of similar past </w:t>
      </w:r>
      <w:proofErr w:type="spellStart"/>
      <w:r w:rsidR="00531EF4">
        <w:t>modernisation</w:t>
      </w:r>
      <w:proofErr w:type="spellEnd"/>
      <w:r>
        <w:t xml:space="preserve"> </w:t>
      </w:r>
      <w:proofErr w:type="spellStart"/>
      <w:r>
        <w:t>endeavours</w:t>
      </w:r>
      <w:proofErr w:type="spellEnd"/>
      <w:r>
        <w:t xml:space="preserve">. One often overlooked is moving consumers from passive receivers of information to active </w:t>
      </w:r>
      <w:r w:rsidR="00531EF4">
        <w:t>platform participants</w:t>
      </w:r>
      <w:r>
        <w:t>.</w:t>
      </w:r>
      <w:r w:rsidR="004C3C86">
        <w:t xml:space="preserve"> The main driver is the</w:t>
      </w:r>
      <w:r>
        <w:t xml:space="preserve"> move from simple broadcasting to </w:t>
      </w:r>
      <w:r w:rsidR="004C3C86">
        <w:t>much more immersive bidirectional channel</w:t>
      </w:r>
      <w:r w:rsidR="0021764B">
        <w:t>s</w:t>
      </w:r>
      <w:r>
        <w:t xml:space="preserve">. </w:t>
      </w:r>
      <w:r w:rsidR="004C3C86">
        <w:t xml:space="preserve">Other industries went through similar updates. </w:t>
      </w:r>
      <w:r>
        <w:t>The advertisement industry</w:t>
      </w:r>
      <w:r w:rsidR="00C56175">
        <w:t>, for example,</w:t>
      </w:r>
      <w:r>
        <w:t xml:space="preserve"> was the first to exploit </w:t>
      </w:r>
      <w:r w:rsidR="004C3C86">
        <w:t>bidirectionality</w:t>
      </w:r>
      <w:r>
        <w:t xml:space="preserve"> to establish feedback loops</w:t>
      </w:r>
      <w:r w:rsidR="00531EF4">
        <w:t>,</w:t>
      </w:r>
      <w:r>
        <w:t xml:space="preserve"> t</w:t>
      </w:r>
      <w:r w:rsidR="004C3C86">
        <w:t>hus</w:t>
      </w:r>
      <w:r>
        <w:t xml:space="preserve"> driv</w:t>
      </w:r>
      <w:r w:rsidR="004C3C86">
        <w:t>ing</w:t>
      </w:r>
      <w:r>
        <w:t xml:space="preserve"> revenue </w:t>
      </w:r>
      <w:r w:rsidR="00AB42A5">
        <w:t>increase</w:t>
      </w:r>
      <w:r>
        <w:t>.</w:t>
      </w:r>
    </w:p>
    <w:p w14:paraId="499BB27B" w14:textId="6C3B4566" w:rsidR="00221C46" w:rsidRDefault="00221C46" w:rsidP="00221C46">
      <w:pPr>
        <w:jc w:val="both"/>
      </w:pPr>
      <w:r>
        <w:t xml:space="preserve">           There is no reason why Smart </w:t>
      </w:r>
      <w:r w:rsidR="000B1F4F">
        <w:t>E</w:t>
      </w:r>
      <w:r>
        <w:t xml:space="preserve">lectrical </w:t>
      </w:r>
      <w:r w:rsidR="000B1F4F">
        <w:t>S</w:t>
      </w:r>
      <w:r>
        <w:t xml:space="preserve">ystems could not follow this example. Updates in the distribution network </w:t>
      </w:r>
      <w:r>
        <w:lastRenderedPageBreak/>
        <w:t xml:space="preserve">require moving to the same </w:t>
      </w:r>
      <w:r w:rsidR="004C3C86">
        <w:t>infrastructure</w:t>
      </w:r>
      <w:r>
        <w:t xml:space="preserve"> used by digital advertisement players. Therefore, there is little reason to reinvent consumer data extraction tools. Most importantly, this strategy enables leveraging tried and tested methods for handling </w:t>
      </w:r>
      <w:r w:rsidR="0021764B">
        <w:t xml:space="preserve">data </w:t>
      </w:r>
      <w:r>
        <w:t>privacy and cybersecurity.</w:t>
      </w:r>
    </w:p>
    <w:p w14:paraId="38DE28E5" w14:textId="628C4FB2" w:rsidR="007C2A55" w:rsidRDefault="007C2A55" w:rsidP="007C2A55">
      <w:pPr>
        <w:jc w:val="both"/>
      </w:pPr>
      <w:r>
        <w:t xml:space="preserve">           This document explores the beginning of this journey. It </w:t>
      </w:r>
      <w:r w:rsidR="00531EF4">
        <w:t>investigates</w:t>
      </w:r>
      <w:r w:rsidR="004C3C86">
        <w:t xml:space="preserve"> </w:t>
      </w:r>
      <w:r>
        <w:t xml:space="preserve">the best strategy for understanding consumer </w:t>
      </w:r>
      <w:proofErr w:type="spellStart"/>
      <w:r>
        <w:t>behaviour</w:t>
      </w:r>
      <w:proofErr w:type="spellEnd"/>
      <w:r>
        <w:t xml:space="preserve"> and its relationship </w:t>
      </w:r>
      <w:r w:rsidR="004C3C86">
        <w:t>with</w:t>
      </w:r>
      <w:r>
        <w:t xml:space="preserve"> the energy distribution system. The focus is developing a reliable tool for forecasting household demand as the first step toward </w:t>
      </w:r>
      <w:r w:rsidR="00531EF4">
        <w:t>creating</w:t>
      </w:r>
      <w:r>
        <w:t xml:space="preserve"> a fully </w:t>
      </w:r>
      <w:proofErr w:type="spellStart"/>
      <w:r w:rsidR="004C3C86">
        <w:t>modernised</w:t>
      </w:r>
      <w:proofErr w:type="spellEnd"/>
      <w:r w:rsidR="004C3C86">
        <w:t xml:space="preserve"> </w:t>
      </w:r>
      <w:r>
        <w:t>digital communication medium.</w:t>
      </w:r>
    </w:p>
    <w:p w14:paraId="0B03ED83" w14:textId="77777777" w:rsidR="000E39D5" w:rsidRDefault="000E39D5" w:rsidP="000E39D5">
      <w:pPr>
        <w:jc w:val="both"/>
      </w:pPr>
    </w:p>
    <w:p w14:paraId="30BB7A35" w14:textId="17BDED1C" w:rsidR="000E39D5" w:rsidRDefault="000E39D5" w:rsidP="000E39D5">
      <w:pPr>
        <w:pStyle w:val="Heading1"/>
      </w:pPr>
      <w:r w:rsidRPr="003F56E3">
        <w:t>I</w:t>
      </w:r>
      <w:r>
        <w:t>I</w:t>
      </w:r>
      <w:r w:rsidRPr="003F56E3">
        <w:t>.</w:t>
      </w:r>
      <w:r>
        <w:t xml:space="preserve"> Related Work</w:t>
      </w:r>
    </w:p>
    <w:p w14:paraId="05189D7B" w14:textId="77777777" w:rsidR="000E39D5" w:rsidRDefault="000E39D5" w:rsidP="007C2A55">
      <w:pPr>
        <w:jc w:val="both"/>
      </w:pPr>
    </w:p>
    <w:p w14:paraId="489F75FB" w14:textId="04F2B50E" w:rsidR="00C77710" w:rsidRDefault="007C2A55" w:rsidP="00C77710">
      <w:pPr>
        <w:jc w:val="both"/>
        <w:rPr>
          <w:color w:val="000000" w:themeColor="text1"/>
          <w:shd w:val="clear" w:color="auto" w:fill="FFFFFF"/>
          <w:lang w:val="en-IE" w:eastAsia="en-GB"/>
        </w:rPr>
      </w:pPr>
      <w:r>
        <w:t xml:space="preserve">           </w:t>
      </w:r>
      <w:r w:rsidR="00C77710">
        <w:rPr>
          <w:color w:val="000000" w:themeColor="text1"/>
          <w:shd w:val="clear" w:color="auto" w:fill="FFFFFF"/>
          <w:lang w:val="en-IE" w:eastAsia="en-GB"/>
        </w:rPr>
        <w:tab/>
        <w:t xml:space="preserve">The search for </w:t>
      </w:r>
      <w:r w:rsidR="00BC045C">
        <w:rPr>
          <w:color w:val="000000" w:themeColor="text1"/>
          <w:shd w:val="clear" w:color="auto" w:fill="FFFFFF"/>
          <w:lang w:val="en-IE" w:eastAsia="en-GB"/>
        </w:rPr>
        <w:t>this type of</w:t>
      </w:r>
      <w:r w:rsidR="00C77710">
        <w:rPr>
          <w:color w:val="000000" w:themeColor="text1"/>
          <w:shd w:val="clear" w:color="auto" w:fill="FFFFFF"/>
          <w:lang w:val="en-IE" w:eastAsia="en-GB"/>
        </w:rPr>
        <w:t xml:space="preserve"> </w:t>
      </w:r>
      <w:r w:rsidR="00BC045C">
        <w:rPr>
          <w:color w:val="000000" w:themeColor="text1"/>
          <w:shd w:val="clear" w:color="auto" w:fill="FFFFFF"/>
          <w:lang w:val="en-IE" w:eastAsia="en-GB"/>
        </w:rPr>
        <w:t>predictive</w:t>
      </w:r>
      <w:r w:rsidR="00C77710">
        <w:rPr>
          <w:color w:val="000000" w:themeColor="text1"/>
          <w:shd w:val="clear" w:color="auto" w:fill="FFFFFF"/>
          <w:lang w:val="en-IE" w:eastAsia="en-GB"/>
        </w:rPr>
        <w:t xml:space="preserve"> model in the energy sector is an active research field. Many of the challenges surrounding the modernisation of energy distribution intersect with phenomena that cannot be easily supported by a </w:t>
      </w:r>
      <w:r w:rsidR="000B1F4F">
        <w:rPr>
          <w:color w:val="000000" w:themeColor="text1"/>
          <w:shd w:val="clear" w:color="auto" w:fill="FFFFFF"/>
          <w:lang w:val="en-IE" w:eastAsia="en-GB"/>
        </w:rPr>
        <w:t>deterministic</w:t>
      </w:r>
      <w:r w:rsidR="00C77710">
        <w:rPr>
          <w:color w:val="000000" w:themeColor="text1"/>
          <w:shd w:val="clear" w:color="auto" w:fill="FFFFFF"/>
          <w:lang w:val="en-IE" w:eastAsia="en-GB"/>
        </w:rPr>
        <w:t xml:space="preserve"> set of equations. </w:t>
      </w:r>
      <w:r w:rsidR="00BC045C">
        <w:rPr>
          <w:color w:val="000000" w:themeColor="text1"/>
          <w:shd w:val="clear" w:color="auto" w:fill="FFFFFF"/>
          <w:lang w:val="en-IE" w:eastAsia="en-GB"/>
        </w:rPr>
        <w:t>The f</w:t>
      </w:r>
      <w:r w:rsidR="00C77710">
        <w:rPr>
          <w:color w:val="000000" w:themeColor="text1"/>
          <w:shd w:val="clear" w:color="auto" w:fill="FFFFFF"/>
          <w:lang w:val="en-IE" w:eastAsia="en-GB"/>
        </w:rPr>
        <w:t xml:space="preserve">orecasting </w:t>
      </w:r>
      <w:r w:rsidR="00BC045C">
        <w:rPr>
          <w:color w:val="000000" w:themeColor="text1"/>
          <w:shd w:val="clear" w:color="auto" w:fill="FFFFFF"/>
          <w:lang w:val="en-IE" w:eastAsia="en-GB"/>
        </w:rPr>
        <w:t>component</w:t>
      </w:r>
      <w:r w:rsidR="00C77710">
        <w:rPr>
          <w:color w:val="000000" w:themeColor="text1"/>
          <w:shd w:val="clear" w:color="auto" w:fill="FFFFFF"/>
          <w:lang w:val="en-IE" w:eastAsia="en-GB"/>
        </w:rPr>
        <w:t xml:space="preserve"> add</w:t>
      </w:r>
      <w:r w:rsidR="00BC045C">
        <w:rPr>
          <w:color w:val="000000" w:themeColor="text1"/>
          <w:shd w:val="clear" w:color="auto" w:fill="FFFFFF"/>
          <w:lang w:val="en-IE" w:eastAsia="en-GB"/>
        </w:rPr>
        <w:t>s</w:t>
      </w:r>
      <w:r w:rsidR="00C77710">
        <w:rPr>
          <w:color w:val="000000" w:themeColor="text1"/>
          <w:shd w:val="clear" w:color="auto" w:fill="FFFFFF"/>
          <w:lang w:val="en-IE" w:eastAsia="en-GB"/>
        </w:rPr>
        <w:t xml:space="preserve"> a compounding level of complexity. Weather conditions influence directly the energy throughput of sustainable power generation in the form of wind, or incidence solar radiation. Still, our weather prediction models suffer from an increasingly large error margins the more we increase our forecasting window.</w:t>
      </w:r>
    </w:p>
    <w:p w14:paraId="287DFE2B" w14:textId="0BA094A7" w:rsidR="00C77710" w:rsidRDefault="00C77710" w:rsidP="00C77710">
      <w:pPr>
        <w:jc w:val="both"/>
        <w:rPr>
          <w:color w:val="000000" w:themeColor="text1"/>
          <w:shd w:val="clear" w:color="auto" w:fill="FFFFFF"/>
          <w:lang w:val="en-IE" w:eastAsia="en-GB"/>
        </w:rPr>
      </w:pPr>
      <w:r>
        <w:rPr>
          <w:color w:val="000000" w:themeColor="text1"/>
          <w:shd w:val="clear" w:color="auto" w:fill="FFFFFF"/>
          <w:lang w:val="en-IE" w:eastAsia="en-GB"/>
        </w:rPr>
        <w:tab/>
        <w:t>This research must overcome a different hurdle</w:t>
      </w:r>
      <w:r w:rsidR="0021290C">
        <w:rPr>
          <w:color w:val="000000" w:themeColor="text1"/>
          <w:shd w:val="clear" w:color="auto" w:fill="FFFFFF"/>
          <w:lang w:val="en-IE" w:eastAsia="en-GB"/>
        </w:rPr>
        <w:t>:</w:t>
      </w:r>
      <w:r>
        <w:rPr>
          <w:color w:val="000000" w:themeColor="text1"/>
          <w:shd w:val="clear" w:color="auto" w:fill="FFFFFF"/>
          <w:lang w:val="en-IE" w:eastAsia="en-GB"/>
        </w:rPr>
        <w:t xml:space="preserve"> modelling human </w:t>
      </w:r>
      <w:r w:rsidR="00EB6D7D">
        <w:rPr>
          <w:color w:val="000000" w:themeColor="text1"/>
          <w:shd w:val="clear" w:color="auto" w:fill="FFFFFF"/>
          <w:lang w:val="en-IE" w:eastAsia="en-GB"/>
        </w:rPr>
        <w:t xml:space="preserve">consumption </w:t>
      </w:r>
      <w:r>
        <w:rPr>
          <w:color w:val="000000" w:themeColor="text1"/>
          <w:shd w:val="clear" w:color="auto" w:fill="FFFFFF"/>
          <w:lang w:val="en-IE" w:eastAsia="en-GB"/>
        </w:rPr>
        <w:t>behaviour. However, there is no reason for discarding the lessons learned by colleagues when dealing with the analogous problem of unpredictab</w:t>
      </w:r>
      <w:r w:rsidR="0021290C">
        <w:rPr>
          <w:color w:val="000000" w:themeColor="text1"/>
          <w:shd w:val="clear" w:color="auto" w:fill="FFFFFF"/>
          <w:lang w:val="en-IE" w:eastAsia="en-GB"/>
        </w:rPr>
        <w:t>ility</w:t>
      </w:r>
      <w:r>
        <w:rPr>
          <w:color w:val="000000" w:themeColor="text1"/>
          <w:shd w:val="clear" w:color="auto" w:fill="FFFFFF"/>
          <w:lang w:val="en-IE" w:eastAsia="en-GB"/>
        </w:rPr>
        <w:t xml:space="preserve"> of their research subjects. In fact, experimenting with different </w:t>
      </w:r>
      <w:r w:rsidR="00E77DDC">
        <w:rPr>
          <w:color w:val="000000" w:themeColor="text1"/>
          <w:shd w:val="clear" w:color="auto" w:fill="FFFFFF"/>
          <w:lang w:val="en-IE" w:eastAsia="en-GB"/>
        </w:rPr>
        <w:t>model templates</w:t>
      </w:r>
      <w:r>
        <w:rPr>
          <w:color w:val="000000" w:themeColor="text1"/>
          <w:shd w:val="clear" w:color="auto" w:fill="FFFFFF"/>
          <w:lang w:val="en-IE" w:eastAsia="en-GB"/>
        </w:rPr>
        <w:t xml:space="preserve"> and evaluating their performances is the recurring theme.</w:t>
      </w:r>
    </w:p>
    <w:p w14:paraId="048C8540" w14:textId="3450095B" w:rsidR="00C77710" w:rsidRDefault="00C77710" w:rsidP="00C77710">
      <w:pPr>
        <w:jc w:val="both"/>
        <w:rPr>
          <w:color w:val="222222"/>
          <w:shd w:val="clear" w:color="auto" w:fill="FFFFFF"/>
          <w:lang w:val="en-IE" w:eastAsia="en-GB"/>
        </w:rPr>
      </w:pPr>
      <w:r>
        <w:rPr>
          <w:color w:val="000000" w:themeColor="text1"/>
          <w:shd w:val="clear" w:color="auto" w:fill="FFFFFF"/>
          <w:lang w:val="en-IE" w:eastAsia="en-GB"/>
        </w:rPr>
        <w:tab/>
      </w:r>
      <w:proofErr w:type="spellStart"/>
      <w:r w:rsidRPr="00D56E53">
        <w:rPr>
          <w:color w:val="222222"/>
          <w:shd w:val="clear" w:color="auto" w:fill="FFFFFF"/>
          <w:lang w:val="en-IE" w:eastAsia="en-GB"/>
        </w:rPr>
        <w:t>Markovics</w:t>
      </w:r>
      <w:proofErr w:type="spellEnd"/>
      <w:r w:rsidRPr="00D56E53">
        <w:rPr>
          <w:color w:val="222222"/>
          <w:shd w:val="clear" w:color="auto" w:fill="FFFFFF"/>
          <w:lang w:val="en-IE" w:eastAsia="en-GB"/>
        </w:rPr>
        <w:t>, D. and Mayer, M.J., 2022</w:t>
      </w:r>
      <w:r>
        <w:rPr>
          <w:color w:val="222222"/>
          <w:shd w:val="clear" w:color="auto" w:fill="FFFFFF"/>
          <w:lang w:val="en-IE" w:eastAsia="en-GB"/>
        </w:rPr>
        <w:t xml:space="preserve"> performed </w:t>
      </w:r>
      <w:r w:rsidR="0021290C">
        <w:rPr>
          <w:color w:val="222222"/>
          <w:shd w:val="clear" w:color="auto" w:fill="FFFFFF"/>
          <w:lang w:val="en-IE" w:eastAsia="en-GB"/>
        </w:rPr>
        <w:t>an</w:t>
      </w:r>
      <w:r>
        <w:rPr>
          <w:color w:val="222222"/>
          <w:shd w:val="clear" w:color="auto" w:fill="FFFFFF"/>
          <w:lang w:val="en-IE" w:eastAsia="en-GB"/>
        </w:rPr>
        <w:t xml:space="preserve"> extensive exploration of classical ML models in the short term prediction of solar power generation. It provides solid arguments for skipping several candidates when framing their conclusions in the context of this research’s objectives. Specifically, </w:t>
      </w:r>
      <w:r w:rsidR="0021290C">
        <w:rPr>
          <w:color w:val="222222"/>
          <w:shd w:val="clear" w:color="auto" w:fill="FFFFFF"/>
          <w:lang w:val="en-IE" w:eastAsia="en-GB"/>
        </w:rPr>
        <w:t xml:space="preserve">in our proposed scenario, </w:t>
      </w:r>
      <w:r>
        <w:rPr>
          <w:color w:val="222222"/>
          <w:shd w:val="clear" w:color="auto" w:fill="FFFFFF"/>
          <w:lang w:val="en-IE" w:eastAsia="en-GB"/>
        </w:rPr>
        <w:t>increases in the collected dataset size can easily translate in high</w:t>
      </w:r>
      <w:r w:rsidR="00EB6D7D">
        <w:rPr>
          <w:color w:val="222222"/>
          <w:shd w:val="clear" w:color="auto" w:fill="FFFFFF"/>
          <w:lang w:val="en-IE" w:eastAsia="en-GB"/>
        </w:rPr>
        <w:t>er</w:t>
      </w:r>
      <w:r>
        <w:rPr>
          <w:color w:val="222222"/>
          <w:shd w:val="clear" w:color="auto" w:fill="FFFFFF"/>
          <w:lang w:val="en-IE" w:eastAsia="en-GB"/>
        </w:rPr>
        <w:t xml:space="preserve"> accuracy ratings. This criterion</w:t>
      </w:r>
      <w:r w:rsidR="00EB6D7D">
        <w:rPr>
          <w:color w:val="222222"/>
          <w:shd w:val="clear" w:color="auto" w:fill="FFFFFF"/>
          <w:lang w:val="en-IE" w:eastAsia="en-GB"/>
        </w:rPr>
        <w:t>, according to the authors,</w:t>
      </w:r>
      <w:r>
        <w:rPr>
          <w:color w:val="222222"/>
          <w:shd w:val="clear" w:color="auto" w:fill="FFFFFF"/>
          <w:lang w:val="en-IE" w:eastAsia="en-GB"/>
        </w:rPr>
        <w:t xml:space="preserve"> makes ANNs an attractive choice.</w:t>
      </w:r>
    </w:p>
    <w:p w14:paraId="1DE0A29F" w14:textId="799522E8" w:rsidR="00C77710" w:rsidRDefault="00C77710" w:rsidP="00C77710">
      <w:pPr>
        <w:jc w:val="both"/>
        <w:rPr>
          <w:color w:val="000000" w:themeColor="text1"/>
          <w:shd w:val="clear" w:color="auto" w:fill="FFFFFF"/>
          <w:lang w:val="en-IE" w:eastAsia="en-GB"/>
        </w:rPr>
      </w:pPr>
      <w:r>
        <w:rPr>
          <w:color w:val="222222"/>
          <w:shd w:val="clear" w:color="auto" w:fill="FFFFFF"/>
          <w:lang w:val="en-IE" w:eastAsia="en-GB"/>
        </w:rPr>
        <w:tab/>
        <w:t xml:space="preserve">However, this </w:t>
      </w:r>
      <w:r w:rsidR="00EB6D7D">
        <w:rPr>
          <w:color w:val="222222"/>
          <w:shd w:val="clear" w:color="auto" w:fill="FFFFFF"/>
          <w:lang w:val="en-IE" w:eastAsia="en-GB"/>
        </w:rPr>
        <w:t>selection</w:t>
      </w:r>
      <w:r>
        <w:rPr>
          <w:color w:val="222222"/>
          <w:shd w:val="clear" w:color="auto" w:fill="FFFFFF"/>
          <w:lang w:val="en-IE" w:eastAsia="en-GB"/>
        </w:rPr>
        <w:t xml:space="preserve"> comes at the expense of conserving computing resource when making predictions.</w:t>
      </w:r>
      <w:r w:rsidRPr="00602AB4">
        <w:rPr>
          <w:color w:val="222222"/>
          <w:shd w:val="clear" w:color="auto" w:fill="FFFFFF"/>
          <w:lang w:val="en-IE" w:eastAsia="en-GB"/>
        </w:rPr>
        <w:t xml:space="preserve"> </w:t>
      </w:r>
      <w:r w:rsidRPr="00602AB4">
        <w:rPr>
          <w:color w:val="000000" w:themeColor="text1"/>
          <w:shd w:val="clear" w:color="auto" w:fill="FFFFFF"/>
          <w:lang w:val="en-IE" w:eastAsia="en-GB"/>
        </w:rPr>
        <w:t xml:space="preserve">B. </w:t>
      </w:r>
      <w:proofErr w:type="spellStart"/>
      <w:r w:rsidRPr="00602AB4">
        <w:rPr>
          <w:color w:val="000000" w:themeColor="text1"/>
          <w:shd w:val="clear" w:color="auto" w:fill="FFFFFF"/>
          <w:lang w:val="en-IE" w:eastAsia="en-GB"/>
        </w:rPr>
        <w:t>Sudharsan</w:t>
      </w:r>
      <w:proofErr w:type="spellEnd"/>
      <w:r w:rsidRPr="00602AB4">
        <w:rPr>
          <w:color w:val="000000" w:themeColor="text1"/>
          <w:shd w:val="clear" w:color="auto" w:fill="FFFFFF"/>
          <w:lang w:val="en-IE" w:eastAsia="en-GB"/>
        </w:rPr>
        <w:t xml:space="preserve"> et al</w:t>
      </w:r>
      <w:r>
        <w:rPr>
          <w:color w:val="000000" w:themeColor="text1"/>
          <w:shd w:val="clear" w:color="auto" w:fill="FFFFFF"/>
          <w:lang w:val="en-IE" w:eastAsia="en-GB"/>
        </w:rPr>
        <w:t xml:space="preserve">., 2021, explores a solution for shrink-wrapping ANN models trained in regular computing clusters so they can be embedded in a more modest device. This is an important strategy. Not only the system needs to distribute </w:t>
      </w:r>
      <w:r w:rsidR="0021290C">
        <w:rPr>
          <w:color w:val="000000" w:themeColor="text1"/>
          <w:shd w:val="clear" w:color="auto" w:fill="FFFFFF"/>
          <w:lang w:val="en-IE" w:eastAsia="en-GB"/>
        </w:rPr>
        <w:t xml:space="preserve">a large quantity of </w:t>
      </w:r>
      <w:r>
        <w:rPr>
          <w:color w:val="000000" w:themeColor="text1"/>
          <w:shd w:val="clear" w:color="auto" w:fill="FFFFFF"/>
          <w:lang w:val="en-IE" w:eastAsia="en-GB"/>
        </w:rPr>
        <w:t>updated models through Over the Air (OTA) updates, optimizing models for size also keeps memory footprints manageable.</w:t>
      </w:r>
    </w:p>
    <w:p w14:paraId="4DCB7458" w14:textId="69B5C2E7" w:rsidR="00C77710" w:rsidRDefault="00C77710" w:rsidP="00C77710">
      <w:pPr>
        <w:jc w:val="both"/>
        <w:rPr>
          <w:color w:val="222222"/>
          <w:shd w:val="clear" w:color="auto" w:fill="FFFFFF"/>
          <w:lang w:val="en-IE" w:eastAsia="en-GB"/>
        </w:rPr>
      </w:pPr>
      <w:r>
        <w:rPr>
          <w:color w:val="000000" w:themeColor="text1"/>
          <w:shd w:val="clear" w:color="auto" w:fill="FFFFFF"/>
          <w:lang w:val="en-IE" w:eastAsia="en-GB"/>
        </w:rPr>
        <w:tab/>
        <w:t>Selecting a</w:t>
      </w:r>
      <w:r w:rsidR="0021290C">
        <w:rPr>
          <w:color w:val="000000" w:themeColor="text1"/>
          <w:shd w:val="clear" w:color="auto" w:fill="FFFFFF"/>
          <w:lang w:val="en-IE" w:eastAsia="en-GB"/>
        </w:rPr>
        <w:t>n</w:t>
      </w:r>
      <w:r>
        <w:rPr>
          <w:color w:val="000000" w:themeColor="text1"/>
          <w:shd w:val="clear" w:color="auto" w:fill="FFFFFF"/>
          <w:lang w:val="en-IE" w:eastAsia="en-GB"/>
        </w:rPr>
        <w:t xml:space="preserve"> ANN model for energy consumption forecasting is the subject of both</w:t>
      </w:r>
      <w:r w:rsidRPr="001B3CA5">
        <w:rPr>
          <w:color w:val="000000" w:themeColor="text1"/>
          <w:shd w:val="clear" w:color="auto" w:fill="FFFFFF"/>
          <w:lang w:val="en-IE" w:eastAsia="en-GB"/>
        </w:rPr>
        <w:t xml:space="preserve"> </w:t>
      </w:r>
      <w:r w:rsidRPr="00D56E53">
        <w:rPr>
          <w:color w:val="222222"/>
          <w:shd w:val="clear" w:color="auto" w:fill="FFFFFF"/>
          <w:lang w:val="en-IE" w:eastAsia="en-GB"/>
        </w:rPr>
        <w:t>Agrawal, V.A.N.I.T.A.</w:t>
      </w:r>
      <w:r w:rsidRPr="001B3CA5">
        <w:rPr>
          <w:color w:val="222222"/>
          <w:shd w:val="clear" w:color="auto" w:fill="FFFFFF"/>
          <w:lang w:val="en-IE" w:eastAsia="en-GB"/>
        </w:rPr>
        <w:t>, et al., 2021</w:t>
      </w:r>
      <w:r>
        <w:rPr>
          <w:color w:val="222222"/>
          <w:shd w:val="clear" w:color="auto" w:fill="FFFFFF"/>
          <w:lang w:val="en-IE" w:eastAsia="en-GB"/>
        </w:rPr>
        <w:t xml:space="preserve"> and </w:t>
      </w:r>
      <w:proofErr w:type="spellStart"/>
      <w:r w:rsidRPr="00C46A1E">
        <w:rPr>
          <w:color w:val="222222"/>
          <w:shd w:val="clear" w:color="auto" w:fill="FFFFFF"/>
          <w:lang w:val="en-IE" w:eastAsia="en-GB"/>
        </w:rPr>
        <w:t>Kontogiannis</w:t>
      </w:r>
      <w:proofErr w:type="spellEnd"/>
      <w:r w:rsidRPr="00C46A1E">
        <w:rPr>
          <w:color w:val="222222"/>
          <w:shd w:val="clear" w:color="auto" w:fill="FFFFFF"/>
          <w:lang w:val="en-IE" w:eastAsia="en-GB"/>
        </w:rPr>
        <w:t>, D.,</w:t>
      </w:r>
      <w:r>
        <w:rPr>
          <w:color w:val="222222"/>
          <w:shd w:val="clear" w:color="auto" w:fill="FFFFFF"/>
          <w:lang w:val="en-IE" w:eastAsia="en-GB"/>
        </w:rPr>
        <w:t xml:space="preserve"> et al., 2020. Their work provide an invaluable comparison benchmark since we’ll deal with the same problem domain. </w:t>
      </w:r>
      <w:proofErr w:type="spellStart"/>
      <w:r w:rsidRPr="00C46A1E">
        <w:rPr>
          <w:color w:val="222222"/>
          <w:shd w:val="clear" w:color="auto" w:fill="FFFFFF"/>
          <w:lang w:val="en-IE" w:eastAsia="en-GB"/>
        </w:rPr>
        <w:t>Kontogiannis</w:t>
      </w:r>
      <w:proofErr w:type="spellEnd"/>
      <w:r w:rsidRPr="00C46A1E">
        <w:rPr>
          <w:color w:val="222222"/>
          <w:shd w:val="clear" w:color="auto" w:fill="FFFFFF"/>
          <w:lang w:val="en-IE" w:eastAsia="en-GB"/>
        </w:rPr>
        <w:t>, D.,</w:t>
      </w:r>
      <w:r>
        <w:rPr>
          <w:color w:val="222222"/>
          <w:shd w:val="clear" w:color="auto" w:fill="FFFFFF"/>
          <w:lang w:val="en-IE" w:eastAsia="en-GB"/>
        </w:rPr>
        <w:t xml:space="preserve"> et al., 2020, provides the added benefit of using the same dataset</w:t>
      </w:r>
      <w:r w:rsidR="00EB6D7D">
        <w:rPr>
          <w:color w:val="222222"/>
          <w:shd w:val="clear" w:color="auto" w:fill="FFFFFF"/>
          <w:lang w:val="en-IE" w:eastAsia="en-GB"/>
        </w:rPr>
        <w:t xml:space="preserve"> used for this exploration</w:t>
      </w:r>
      <w:r>
        <w:rPr>
          <w:color w:val="222222"/>
          <w:shd w:val="clear" w:color="auto" w:fill="FFFFFF"/>
          <w:lang w:val="en-IE" w:eastAsia="en-GB"/>
        </w:rPr>
        <w:t xml:space="preserve">: </w:t>
      </w:r>
      <w:r w:rsidRPr="002F16D4">
        <w:rPr>
          <w:color w:val="222222"/>
          <w:shd w:val="clear" w:color="auto" w:fill="FFFFFF"/>
          <w:lang w:val="en-IE" w:eastAsia="en-GB"/>
        </w:rPr>
        <w:t>Individual household electric power consumption Data Set</w:t>
      </w:r>
      <w:r>
        <w:rPr>
          <w:color w:val="222222"/>
          <w:shd w:val="clear" w:color="auto" w:fill="FFFFFF"/>
          <w:lang w:val="en-IE" w:eastAsia="en-GB"/>
        </w:rPr>
        <w:t xml:space="preserve"> (</w:t>
      </w:r>
      <w:r w:rsidRPr="00CE537E">
        <w:rPr>
          <w:color w:val="000000" w:themeColor="text1"/>
          <w:shd w:val="clear" w:color="auto" w:fill="FFFFFF"/>
          <w:lang w:val="en-IE" w:eastAsia="en-GB"/>
        </w:rPr>
        <w:t>UCI Machine Learning Repository, 2022</w:t>
      </w:r>
      <w:r>
        <w:rPr>
          <w:color w:val="222222"/>
          <w:shd w:val="clear" w:color="auto" w:fill="FFFFFF"/>
          <w:lang w:val="en-IE" w:eastAsia="en-GB"/>
        </w:rPr>
        <w:t>).</w:t>
      </w:r>
    </w:p>
    <w:p w14:paraId="20213FCD" w14:textId="59EEAA95" w:rsidR="007848BB" w:rsidRDefault="00C77710" w:rsidP="00C77710">
      <w:pPr>
        <w:jc w:val="both"/>
        <w:rPr>
          <w:color w:val="222222"/>
          <w:shd w:val="clear" w:color="auto" w:fill="FFFFFF"/>
          <w:lang w:val="en-IE" w:eastAsia="en-GB"/>
        </w:rPr>
      </w:pPr>
      <w:r>
        <w:rPr>
          <w:color w:val="222222"/>
          <w:shd w:val="clear" w:color="auto" w:fill="FFFFFF"/>
          <w:lang w:val="en-IE" w:eastAsia="en-GB"/>
        </w:rPr>
        <w:tab/>
        <w:t xml:space="preserve">This document will draw upon the lessons learned thus far and attempt to operationalise these models for a concrete scenario. There is a justifiable </w:t>
      </w:r>
      <w:r w:rsidR="0021290C">
        <w:rPr>
          <w:color w:val="222222"/>
          <w:shd w:val="clear" w:color="auto" w:fill="FFFFFF"/>
          <w:lang w:val="en-IE" w:eastAsia="en-GB"/>
        </w:rPr>
        <w:t>focus</w:t>
      </w:r>
      <w:r>
        <w:rPr>
          <w:color w:val="222222"/>
          <w:shd w:val="clear" w:color="auto" w:fill="FFFFFF"/>
          <w:lang w:val="en-IE" w:eastAsia="en-GB"/>
        </w:rPr>
        <w:t xml:space="preserve"> of the research community on the accuracy of predictions. However, some engineering concerns force modellers into uncomfortable situations where </w:t>
      </w:r>
      <w:r w:rsidR="00EB6D7D">
        <w:rPr>
          <w:color w:val="222222"/>
          <w:shd w:val="clear" w:color="auto" w:fill="FFFFFF"/>
          <w:lang w:val="en-IE" w:eastAsia="en-GB"/>
        </w:rPr>
        <w:t xml:space="preserve">potential </w:t>
      </w:r>
      <w:r>
        <w:rPr>
          <w:color w:val="222222"/>
          <w:shd w:val="clear" w:color="auto" w:fill="FFFFFF"/>
          <w:lang w:val="en-IE" w:eastAsia="en-GB"/>
        </w:rPr>
        <w:t xml:space="preserve">predictive power must confront </w:t>
      </w:r>
      <w:r w:rsidR="000B1F4F">
        <w:rPr>
          <w:color w:val="222222"/>
          <w:shd w:val="clear" w:color="auto" w:fill="FFFFFF"/>
          <w:lang w:val="en-IE" w:eastAsia="en-GB"/>
        </w:rPr>
        <w:t xml:space="preserve">more </w:t>
      </w:r>
      <w:r>
        <w:rPr>
          <w:color w:val="222222"/>
          <w:shd w:val="clear" w:color="auto" w:fill="FFFFFF"/>
          <w:lang w:val="en-IE" w:eastAsia="en-GB"/>
        </w:rPr>
        <w:t>mundane constraints. This type of trade-off analysis is often missing in the literature. While this research will not remediate the problem by providing a blanket framework, it will honest</w:t>
      </w:r>
      <w:r w:rsidR="0021290C">
        <w:rPr>
          <w:color w:val="222222"/>
          <w:shd w:val="clear" w:color="auto" w:fill="FFFFFF"/>
          <w:lang w:val="en-IE" w:eastAsia="en-GB"/>
        </w:rPr>
        <w:t>ly</w:t>
      </w:r>
      <w:r>
        <w:rPr>
          <w:color w:val="222222"/>
          <w:shd w:val="clear" w:color="auto" w:fill="FFFFFF"/>
          <w:lang w:val="en-IE" w:eastAsia="en-GB"/>
        </w:rPr>
        <w:t xml:space="preserve"> attempt to provide a substantive discussion in </w:t>
      </w:r>
      <w:r w:rsidR="0021290C">
        <w:rPr>
          <w:color w:val="222222"/>
          <w:shd w:val="clear" w:color="auto" w:fill="FFFFFF"/>
          <w:lang w:val="en-IE" w:eastAsia="en-GB"/>
        </w:rPr>
        <w:t>feasibility</w:t>
      </w:r>
      <w:r>
        <w:rPr>
          <w:color w:val="222222"/>
          <w:shd w:val="clear" w:color="auto" w:fill="FFFFFF"/>
          <w:lang w:val="en-IE" w:eastAsia="en-GB"/>
        </w:rPr>
        <w:t>.</w:t>
      </w:r>
    </w:p>
    <w:p w14:paraId="22AB46C4" w14:textId="77777777" w:rsidR="00C77710" w:rsidRPr="00C77710" w:rsidRDefault="00C77710" w:rsidP="00C77710">
      <w:pPr>
        <w:jc w:val="both"/>
        <w:rPr>
          <w:color w:val="000000" w:themeColor="text1"/>
          <w:shd w:val="clear" w:color="auto" w:fill="FFFFFF"/>
          <w:lang w:val="en-IE" w:eastAsia="en-GB"/>
        </w:rPr>
      </w:pPr>
    </w:p>
    <w:p w14:paraId="3C1B3FB4" w14:textId="6C3DF667" w:rsidR="005A7D86" w:rsidRDefault="00C810A7" w:rsidP="00E20F7A">
      <w:pPr>
        <w:pStyle w:val="Heading1"/>
      </w:pPr>
      <w:r w:rsidRPr="003F56E3">
        <w:t>I</w:t>
      </w:r>
      <w:r w:rsidR="00C23B5E">
        <w:t>I</w:t>
      </w:r>
      <w:r w:rsidR="000E39D5">
        <w:t>I</w:t>
      </w:r>
      <w:r w:rsidRPr="003F56E3">
        <w:t xml:space="preserve">. </w:t>
      </w:r>
      <w:r>
        <w:t>M</w:t>
      </w:r>
      <w:r w:rsidR="008662EE">
        <w:t>ethodology</w:t>
      </w:r>
    </w:p>
    <w:p w14:paraId="077C73A4" w14:textId="77777777" w:rsidR="00C748B7" w:rsidRDefault="00C748B7" w:rsidP="00221C46">
      <w:pPr>
        <w:jc w:val="both"/>
      </w:pPr>
    </w:p>
    <w:p w14:paraId="64C8FD1A" w14:textId="0D1790E5"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r w:rsidR="005E3DBC">
        <w:t>all</w:t>
      </w:r>
      <w:r>
        <w:t xml:space="preserve"> </w:t>
      </w:r>
      <w:r w:rsidR="00531EF4">
        <w:t>needed</w:t>
      </w:r>
      <w:r>
        <w:t xml:space="preserve"> aspects. Therefore, the </w:t>
      </w:r>
      <w:r w:rsidR="004C3C86">
        <w:t>scope</w:t>
      </w:r>
      <w:r>
        <w:t xml:space="preserve"> will remain on the study of the decision-making </w:t>
      </w:r>
      <w:r w:rsidR="00EB6D7D">
        <w:t>algorithm</w:t>
      </w:r>
      <w:r>
        <w:t>.</w:t>
      </w:r>
    </w:p>
    <w:p w14:paraId="389116FB" w14:textId="6F225815" w:rsidR="00E474D4" w:rsidRDefault="00E474D4" w:rsidP="00E474D4">
      <w:pPr>
        <w:ind w:firstLine="720"/>
        <w:jc w:val="both"/>
      </w:pPr>
      <w:r>
        <w:t xml:space="preserve">This focus on software implementation implies a primarily </w:t>
      </w:r>
      <w:proofErr w:type="spellStart"/>
      <w:r>
        <w:t>qu</w:t>
      </w:r>
      <w:r w:rsidR="00EB6D7D">
        <w:t>l</w:t>
      </w:r>
      <w:r>
        <w:t>itative</w:t>
      </w:r>
      <w:proofErr w:type="spellEnd"/>
      <w:r>
        <w:t xml:space="preserve"> exploration of resource consumption. Since there is no candidate hardware platform, there are </w:t>
      </w:r>
      <w:r w:rsidR="00265359">
        <w:t>only ballpark estimates of</w:t>
      </w:r>
      <w:r>
        <w:t xml:space="preserve"> expected limits. The scenario </w:t>
      </w:r>
      <w:r w:rsidR="00531EF4">
        <w:t>involves</w:t>
      </w:r>
      <w:r>
        <w:t xml:space="preserve"> extra tasks such as defining credible baselines so the researcher can reach </w:t>
      </w:r>
      <w:r w:rsidR="00531EF4">
        <w:t>plausible</w:t>
      </w:r>
      <w:r>
        <w:t xml:space="preserve"> conclusion</w:t>
      </w:r>
      <w:r w:rsidR="00BA7468">
        <w:t>s</w:t>
      </w:r>
      <w:r>
        <w:t>.</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1BD3A826"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w:t>
      </w:r>
      <w:r w:rsidR="00265359">
        <w:t xml:space="preserve">not </w:t>
      </w:r>
      <w:proofErr w:type="gramStart"/>
      <w:r w:rsidR="00265359">
        <w:t>taking action</w:t>
      </w:r>
      <w:proofErr w:type="gramEnd"/>
      <w:r>
        <w:t>. Assuming that previous readings are close enough to the subsequent measurement, there is little reason to waste computing cycles.</w:t>
      </w:r>
    </w:p>
    <w:p w14:paraId="1BFBBFB0" w14:textId="0BF3F434" w:rsidR="00E474D4" w:rsidRDefault="00E474D4" w:rsidP="00E474D4">
      <w:pPr>
        <w:ind w:firstLine="720"/>
        <w:jc w:val="both"/>
      </w:pPr>
      <w:r>
        <w:t xml:space="preserve">With this baseline, we can look for algorithms to improve this score. This step lets us put computational costs in context and define </w:t>
      </w:r>
      <w:r w:rsidR="00AC7C38">
        <w:t xml:space="preserve">the </w:t>
      </w:r>
      <w:r w:rsidR="00843DE0">
        <w:t xml:space="preserve">approximate </w:t>
      </w:r>
      <w:r w:rsidR="00AC7C38">
        <w:t>costs</w:t>
      </w:r>
      <w:r>
        <w:t xml:space="preserve"> </w:t>
      </w:r>
      <w:r w:rsidR="00265359">
        <w:t xml:space="preserve">of </w:t>
      </w:r>
      <w:r w:rsidR="00AC7C38">
        <w:t xml:space="preserve">an </w:t>
      </w:r>
      <w:r>
        <w:t xml:space="preserve">accuracy boost. This evaluation can rely on well-established time and space complexity analysis. There is no point in discussing strategies for proper assignment of responsibilities of components in the distributed architecture of a Smart Grid system if we do not know the </w:t>
      </w:r>
      <w:r w:rsidR="00843DE0">
        <w:t xml:space="preserve">computational </w:t>
      </w:r>
      <w:r>
        <w:t>costs involved in each stage.</w:t>
      </w:r>
    </w:p>
    <w:p w14:paraId="1BF1C4FE" w14:textId="1B22EA86" w:rsidR="00E474D4" w:rsidRDefault="00E474D4" w:rsidP="00E474D4">
      <w:pPr>
        <w:ind w:firstLine="720"/>
        <w:jc w:val="both"/>
      </w:pPr>
      <w:r>
        <w:t xml:space="preserve">Space complexity </w:t>
      </w:r>
      <w:r w:rsidR="00843DE0">
        <w:t xml:space="preserve">analysis </w:t>
      </w:r>
      <w:r>
        <w:t xml:space="preserve">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45C3E8B2" w:rsidR="00C810A7" w:rsidRDefault="00E474D4" w:rsidP="00E474D4">
      <w:pPr>
        <w:ind w:firstLine="720"/>
        <w:jc w:val="both"/>
      </w:pPr>
      <w:r>
        <w:t>Time complexity</w:t>
      </w:r>
      <w:r w:rsidR="00843DE0">
        <w:t xml:space="preserve"> analysis</w:t>
      </w:r>
      <w:r>
        <w:t xml:space="preserve"> will dictate the level of responsiveness of the system. We discussed moving from a </w:t>
      </w:r>
      <w:r>
        <w:lastRenderedPageBreak/>
        <w:t xml:space="preserve">slow-moving, </w:t>
      </w:r>
      <w:r w:rsidR="00265359">
        <w:t>centralized, top-down</w:t>
      </w:r>
      <w:r>
        <w:t xml:space="preserve"> forecasting plan to a distributed, </w:t>
      </w:r>
      <w:r w:rsidR="00030C14">
        <w:t>fine-grained,</w:t>
      </w:r>
      <w:r>
        <w:t xml:space="preserve"> </w:t>
      </w:r>
      <w:r w:rsidR="00265359">
        <w:t>collaborative</w:t>
      </w:r>
      <w:r>
        <w:t xml:space="preserve"> one. Generating and updating models </w:t>
      </w:r>
      <w:r w:rsidR="00AC7C38">
        <w:t xml:space="preserve">OTA </w:t>
      </w:r>
      <w:r>
        <w:t xml:space="preserve">can be </w:t>
      </w:r>
      <w:r w:rsidR="00265359">
        <w:t>the</w:t>
      </w:r>
      <w:r>
        <w:t xml:space="preserve"> bottleneck that restricts response times. But also, forecasting times can hamper the agility of the solution.</w:t>
      </w:r>
    </w:p>
    <w:p w14:paraId="6A3803AF" w14:textId="64B7F965" w:rsidR="00BA7468" w:rsidRDefault="00BA7468" w:rsidP="00E474D4">
      <w:pPr>
        <w:ind w:firstLine="720"/>
        <w:jc w:val="both"/>
      </w:pPr>
      <w:r>
        <w:t xml:space="preserve">Finally, the research will investigate the gains accrued by the automated decision model. It must look for relevant statistical criteria </w:t>
      </w:r>
      <w:r w:rsidR="00531EF4">
        <w:t>to</w:t>
      </w:r>
      <w:r>
        <w:t xml:space="preserve"> quantify the confidence in results.</w:t>
      </w:r>
      <w:r w:rsidR="00EA5E16">
        <w:t xml:space="preserve"> The </w:t>
      </w:r>
      <w:r w:rsidR="00265359">
        <w:t>naive</w:t>
      </w:r>
      <w:r w:rsidR="00EA5E16">
        <w:t xml:space="preserve"> baseline model, while trivial, has structural capabilities that might not differ much from a</w:t>
      </w:r>
      <w:r w:rsidR="00903AD8">
        <w:t xml:space="preserve"> complex</w:t>
      </w:r>
      <w:r w:rsidR="00EA5E16">
        <w:t xml:space="preserve"> estimator. An even worse case would be if the model could not </w:t>
      </w:r>
      <w:r w:rsidR="00531EF4">
        <w:t>reach the same reliability level</w:t>
      </w:r>
      <w:r w:rsidR="00EA5E16">
        <w:t xml:space="preserve"> as the one presented by </w:t>
      </w:r>
      <w:r w:rsidR="00265359">
        <w:t>doing no forecasting at all</w:t>
      </w:r>
      <w:r w:rsidR="00EA5E16">
        <w:t xml:space="preserve">.  </w:t>
      </w:r>
    </w:p>
    <w:p w14:paraId="64E5C9B7" w14:textId="5E78586E" w:rsidR="005E3DBC" w:rsidRDefault="005E3DBC" w:rsidP="0022716D">
      <w:pPr>
        <w:jc w:val="both"/>
      </w:pPr>
    </w:p>
    <w:p w14:paraId="2BADB2EF" w14:textId="225C6E8A" w:rsidR="005E3DBC" w:rsidRDefault="005E3DBC" w:rsidP="005E3DBC">
      <w:pPr>
        <w:pStyle w:val="Heading1"/>
      </w:pPr>
      <w:r w:rsidRPr="003F56E3">
        <w:t>I</w:t>
      </w:r>
      <w:r w:rsidR="000E39D5">
        <w:t>V</w:t>
      </w:r>
      <w:r w:rsidRPr="003F56E3">
        <w:t xml:space="preserve">. </w:t>
      </w:r>
      <w:r>
        <w:t>C</w:t>
      </w:r>
      <w:r w:rsidR="008662EE">
        <w:t>andidate</w:t>
      </w:r>
      <w:r>
        <w:t xml:space="preserve"> M</w:t>
      </w:r>
      <w:r w:rsidR="008662EE">
        <w:t>odels</w:t>
      </w:r>
    </w:p>
    <w:p w14:paraId="16AFDA8A" w14:textId="77777777" w:rsidR="0040329C" w:rsidRDefault="00160852" w:rsidP="0040329C">
      <w:pPr>
        <w:keepNext/>
        <w:jc w:val="center"/>
      </w:pPr>
      <w:r>
        <w:rPr>
          <w:noProof/>
        </w:rPr>
        <w:drawing>
          <wp:inline distT="0" distB="0" distL="0" distR="0" wp14:anchorId="719C9EF3" wp14:editId="4D5B7721">
            <wp:extent cx="3063240" cy="204216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29EE182D" w14:textId="37716829" w:rsidR="00160852" w:rsidRPr="00160852" w:rsidRDefault="0040329C" w:rsidP="0040329C">
      <w:pPr>
        <w:pStyle w:val="Caption"/>
        <w:jc w:val="center"/>
      </w:pPr>
      <w:r>
        <w:t xml:space="preserve">Figure </w:t>
      </w:r>
      <w:fldSimple w:instr=" SEQ Figure \* ARABIC ">
        <w:r w:rsidR="0082140E">
          <w:rPr>
            <w:noProof/>
          </w:rPr>
          <w:t>2</w:t>
        </w:r>
      </w:fldSimple>
      <w:r>
        <w:t xml:space="preserve"> - Household consumption, daily seasonality</w:t>
      </w:r>
    </w:p>
    <w:p w14:paraId="2C06EB51" w14:textId="3EA24C25" w:rsidR="005E3DBC" w:rsidRDefault="005E3DBC" w:rsidP="005E3DBC"/>
    <w:p w14:paraId="66BB96D6" w14:textId="79C9954C" w:rsidR="00160852" w:rsidRDefault="00286945" w:rsidP="00194A86">
      <w:pPr>
        <w:jc w:val="both"/>
      </w:pPr>
      <w:r>
        <w:tab/>
        <w:t xml:space="preserve">Household consumption injects a fair amount of </w:t>
      </w:r>
      <w:r w:rsidR="00463C05">
        <w:t xml:space="preserve">human </w:t>
      </w:r>
      <w:r>
        <w:t xml:space="preserve">unpredictability </w:t>
      </w:r>
      <w:r w:rsidR="00B67925">
        <w:t>into</w:t>
      </w:r>
      <w:r>
        <w:t xml:space="preserve"> the problem. </w:t>
      </w:r>
      <w:r w:rsidR="00531EF4">
        <w:t>Some aspects can</w:t>
      </w:r>
      <w:r>
        <w:t xml:space="preserve"> be reasoned </w:t>
      </w:r>
      <w:r w:rsidR="00194A86">
        <w:t xml:space="preserve">at a coarse-grained level. For example, daily seasonal patterns are undeniable (Figure </w:t>
      </w:r>
      <w:r w:rsidR="00463C05">
        <w:t>2</w:t>
      </w:r>
      <w:r w:rsidR="00194A86">
        <w:t xml:space="preserve">). This </w:t>
      </w:r>
      <w:r w:rsidR="001E17C2">
        <w:t xml:space="preserve">type of </w:t>
      </w:r>
      <w:r w:rsidR="00194A86">
        <w:t xml:space="preserve">information drives </w:t>
      </w:r>
      <w:r w:rsidR="00030C14">
        <w:t>decision processes</w:t>
      </w:r>
      <w:r w:rsidR="001E17C2">
        <w:t xml:space="preserve"> in several disciplines</w:t>
      </w:r>
      <w:r w:rsidR="00531EF4">
        <w:t>, directly impacting</w:t>
      </w:r>
      <w:r w:rsidR="001E17C2">
        <w:t xml:space="preserve"> the design of well-established </w:t>
      </w:r>
      <w:r w:rsidR="00903AD8">
        <w:t xml:space="preserve">distribution </w:t>
      </w:r>
      <w:r w:rsidR="001E17C2">
        <w:t>supply chains.</w:t>
      </w:r>
      <w:r w:rsidR="00194A86">
        <w:t xml:space="preserve"> </w:t>
      </w:r>
      <w:r w:rsidR="00531EF4">
        <w:t>These seasonal patterns are essential for supply-side planning in the energy distribution space</w:t>
      </w:r>
      <w:r w:rsidR="001E17C2">
        <w:t>.</w:t>
      </w:r>
    </w:p>
    <w:p w14:paraId="6509AD94" w14:textId="74F3EFCC" w:rsidR="00873A59" w:rsidRDefault="001E17C2" w:rsidP="00194A86">
      <w:pPr>
        <w:jc w:val="both"/>
      </w:pPr>
      <w:r>
        <w:tab/>
        <w:t>This proposal explores a different pathway, more in line with the online connectivity</w:t>
      </w:r>
      <w:r w:rsidR="00725B05">
        <w:t xml:space="preserve"> patterns proposed by the modern Smart Electrical grid. The argument is that traditional seasonal windows do not capture single household demand </w:t>
      </w:r>
      <w:proofErr w:type="spellStart"/>
      <w:r w:rsidR="00725B05">
        <w:t>behaviour</w:t>
      </w:r>
      <w:proofErr w:type="spellEnd"/>
      <w:r w:rsidR="00725B05">
        <w:t xml:space="preserve"> with enough resolution to empower residents to drive energy conservation decisions. They are better suited to a centrally managed system, like the ones </w:t>
      </w:r>
      <w:r w:rsidR="008322DE">
        <w:t xml:space="preserve">found </w:t>
      </w:r>
      <w:r w:rsidR="00725B05">
        <w:t xml:space="preserve">in </w:t>
      </w:r>
      <w:r w:rsidR="008322DE">
        <w:t>mainstream</w:t>
      </w:r>
      <w:r w:rsidR="00873A59">
        <w:t xml:space="preserve"> </w:t>
      </w:r>
      <w:r w:rsidR="00463C05">
        <w:t xml:space="preserve">Energy Distribution </w:t>
      </w:r>
      <w:r w:rsidR="00873A59">
        <w:t>control plane</w:t>
      </w:r>
      <w:r w:rsidR="00463C05">
        <w:t>s</w:t>
      </w:r>
      <w:r w:rsidR="00873A59">
        <w:t xml:space="preserve">. The main idea of this article is not </w:t>
      </w:r>
      <w:r w:rsidR="00030C14">
        <w:t>to scrap</w:t>
      </w:r>
      <w:r w:rsidR="00873A59">
        <w:t xml:space="preserve"> the current model but refine it to include a more </w:t>
      </w:r>
      <w:proofErr w:type="spellStart"/>
      <w:r w:rsidR="00873A59">
        <w:t>decentralised</w:t>
      </w:r>
      <w:proofErr w:type="spellEnd"/>
      <w:r w:rsidR="00873A59">
        <w:t xml:space="preserve"> component </w:t>
      </w:r>
      <w:r w:rsidR="00463C05">
        <w:t>that</w:t>
      </w:r>
      <w:r w:rsidR="00873A59">
        <w:t xml:space="preserve"> consumers </w:t>
      </w:r>
      <w:r w:rsidR="004511E3">
        <w:t xml:space="preserve">could </w:t>
      </w:r>
      <w:r w:rsidR="00873A59">
        <w:t>interact directly through their daily routines.</w:t>
      </w:r>
    </w:p>
    <w:p w14:paraId="5664B85E" w14:textId="25084495" w:rsidR="001E17C2" w:rsidRDefault="00873A59" w:rsidP="00194A86">
      <w:pPr>
        <w:jc w:val="both"/>
      </w:pPr>
      <w:r>
        <w:tab/>
        <w:t xml:space="preserve">Unfortunately, capturing consumption patterns in this resolution is not a trivial matter. Human </w:t>
      </w:r>
      <w:proofErr w:type="spellStart"/>
      <w:r>
        <w:t>behaviour</w:t>
      </w:r>
      <w:proofErr w:type="spellEnd"/>
      <w:r>
        <w:t xml:space="preserve"> has a notoriously </w:t>
      </w:r>
      <w:r w:rsidR="00F50480">
        <w:t>chaotic component that challenges conventional modelling. For this reason, the research explores non-mainstream applications. It borrows from modern digital marketing platforms and their successful applications of non-linear model</w:t>
      </w:r>
      <w:r w:rsidR="004511E3">
        <w:t>s</w:t>
      </w:r>
      <w:r w:rsidR="00F50480">
        <w:t xml:space="preserve"> such as Artificial Neural Networks (ANN).</w:t>
      </w:r>
    </w:p>
    <w:p w14:paraId="104407F5" w14:textId="715E2C72" w:rsidR="00F50480" w:rsidRDefault="00F50480" w:rsidP="00194A86">
      <w:pPr>
        <w:jc w:val="both"/>
      </w:pPr>
      <w:r>
        <w:tab/>
      </w:r>
      <w:r w:rsidR="00B15A39">
        <w:t xml:space="preserve">Before discussing possibilities, it is </w:t>
      </w:r>
      <w:r w:rsidR="00531EF4">
        <w:t>crucial</w:t>
      </w:r>
      <w:r w:rsidR="00B15A39">
        <w:t xml:space="preserve"> to place some guidelines that constrain available options. ANNs are a popular academic field with a prolific </w:t>
      </w:r>
      <w:r w:rsidR="00284E8C">
        <w:t xml:space="preserve">research </w:t>
      </w:r>
      <w:r w:rsidR="00B15A39">
        <w:t xml:space="preserve">community. The number of possible architectures </w:t>
      </w:r>
      <w:r w:rsidR="00030C14">
        <w:t>increases</w:t>
      </w:r>
      <w:r w:rsidR="00B15A39">
        <w:t xml:space="preserve"> every year.</w:t>
      </w:r>
      <w:r w:rsidR="00236B7D">
        <w:t xml:space="preserve"> Nonetheless, the proposed solution cannot reasonably expend the same resources as state-of-the-art Transformer solutions employed in large language models</w:t>
      </w:r>
      <w:r w:rsidR="00AC7C38">
        <w:t>, for example</w:t>
      </w:r>
      <w:r w:rsidR="00236B7D">
        <w:t xml:space="preserve">. </w:t>
      </w:r>
      <w:r w:rsidR="00903AD8">
        <w:t>Instead, i</w:t>
      </w:r>
      <w:r w:rsidR="00531EF4">
        <w:t>t</w:t>
      </w:r>
      <w:r w:rsidR="00236B7D">
        <w:t xml:space="preserve"> goes </w:t>
      </w:r>
      <w:r w:rsidR="00531EF4">
        <w:t>the opposite</w:t>
      </w:r>
      <w:r w:rsidR="00903AD8">
        <w:t xml:space="preserve"> way</w:t>
      </w:r>
      <w:r w:rsidR="00236B7D">
        <w:t xml:space="preserve">, </w:t>
      </w:r>
      <w:proofErr w:type="spellStart"/>
      <w:r w:rsidR="00236B7D">
        <w:t>favouring</w:t>
      </w:r>
      <w:proofErr w:type="spellEnd"/>
      <w:r w:rsidR="00236B7D">
        <w:t xml:space="preserve"> </w:t>
      </w:r>
      <w:r w:rsidR="00030C14">
        <w:t>lightweight</w:t>
      </w:r>
      <w:r w:rsidR="00236B7D">
        <w:t xml:space="preserve"> structures.</w:t>
      </w:r>
    </w:p>
    <w:p w14:paraId="73ED9FE1" w14:textId="2C5B38D2" w:rsidR="00902ADA" w:rsidRDefault="00236B7D" w:rsidP="00194A86">
      <w:pPr>
        <w:jc w:val="both"/>
      </w:pPr>
      <w:r>
        <w:tab/>
        <w:t>However, th</w:t>
      </w:r>
      <w:r w:rsidR="00284E8C">
        <w:t>is</w:t>
      </w:r>
      <w:r>
        <w:t xml:space="preserve"> side of </w:t>
      </w:r>
      <w:r w:rsidR="00284E8C">
        <w:t>complexity</w:t>
      </w:r>
      <w:r>
        <w:t xml:space="preserve"> spectrum </w:t>
      </w:r>
      <w:r w:rsidR="00AC7C38">
        <w:t>might</w:t>
      </w:r>
      <w:r w:rsidR="0027184E">
        <w:t xml:space="preserve"> not provide a straightforward option either. While Feed Forward Neural Networks (FFNN) can be </w:t>
      </w:r>
      <w:r w:rsidR="00DE6354">
        <w:t xml:space="preserve">more </w:t>
      </w:r>
      <w:r w:rsidR="0027184E">
        <w:t xml:space="preserve">easily embedded in simple devices, they might not provide adequate structural support. The problem lies in </w:t>
      </w:r>
      <w:r w:rsidR="00204594">
        <w:t>tr</w:t>
      </w:r>
      <w:r w:rsidR="008322DE">
        <w:t>aining models of</w:t>
      </w:r>
      <w:r w:rsidR="00204594">
        <w:t xml:space="preserve"> </w:t>
      </w:r>
      <w:r w:rsidR="00451C35">
        <w:t>an</w:t>
      </w:r>
      <w:r w:rsidR="00204594">
        <w:t xml:space="preserve"> extrapolation problem </w:t>
      </w:r>
      <w:r w:rsidR="008322DE">
        <w:t xml:space="preserve">with a structure better suited for </w:t>
      </w:r>
      <w:r w:rsidR="00284E8C">
        <w:t xml:space="preserve">more naïve </w:t>
      </w:r>
      <w:r w:rsidR="008322DE">
        <w:t>interpolation</w:t>
      </w:r>
      <w:r w:rsidR="00284E8C">
        <w:t xml:space="preserve"> scenarios</w:t>
      </w:r>
      <w:r w:rsidR="008322DE">
        <w:t xml:space="preserve">. </w:t>
      </w:r>
      <w:r w:rsidR="00450390">
        <w:t>Specifically, t</w:t>
      </w:r>
      <w:r w:rsidR="008322DE">
        <w:t>he</w:t>
      </w:r>
      <w:r w:rsidR="00450390">
        <w:t xml:space="preserve"> available</w:t>
      </w:r>
      <w:r w:rsidR="008322DE">
        <w:t xml:space="preserve"> dataset</w:t>
      </w:r>
      <w:r w:rsidR="00204594">
        <w:t xml:space="preserve"> might not have </w:t>
      </w:r>
      <w:r w:rsidR="008322DE">
        <w:t>enough examples</w:t>
      </w:r>
      <w:r w:rsidR="00204594">
        <w:t xml:space="preserve"> to map </w:t>
      </w:r>
      <w:r w:rsidR="005E6A3B">
        <w:t>the most relevant patterns</w:t>
      </w:r>
      <w:r w:rsidR="004511E3">
        <w:t xml:space="preserve"> at the required levels of </w:t>
      </w:r>
      <w:r w:rsidR="00450390">
        <w:t>resolution</w:t>
      </w:r>
      <w:r w:rsidR="00204594">
        <w:t xml:space="preserve">. </w:t>
      </w:r>
    </w:p>
    <w:p w14:paraId="73B98B0D" w14:textId="6247BCD7" w:rsidR="00160852" w:rsidRDefault="00204594" w:rsidP="00160852">
      <w:pPr>
        <w:ind w:firstLine="720"/>
        <w:jc w:val="both"/>
      </w:pPr>
      <w:r>
        <w:t xml:space="preserve">Energy consumption </w:t>
      </w:r>
      <w:r w:rsidR="004511E3">
        <w:t>forecasting</w:t>
      </w:r>
      <w:r>
        <w:t xml:space="preserve"> require</w:t>
      </w:r>
      <w:r w:rsidR="004511E3">
        <w:t>s</w:t>
      </w:r>
      <w:r>
        <w:t xml:space="preserve"> a structure closer to </w:t>
      </w:r>
      <w:r w:rsidR="00450390">
        <w:t>traditional</w:t>
      </w:r>
      <w:r>
        <w:t xml:space="preserve"> time series analysis. Patterns</w:t>
      </w:r>
      <w:r w:rsidR="00451C35">
        <w:t xml:space="preserve"> of </w:t>
      </w:r>
      <w:proofErr w:type="spellStart"/>
      <w:r w:rsidR="00030C14">
        <w:t>neighbouring</w:t>
      </w:r>
      <w:proofErr w:type="spellEnd"/>
      <w:r w:rsidR="00451C35">
        <w:t xml:space="preserve"> measurements inform the </w:t>
      </w:r>
      <w:proofErr w:type="spellStart"/>
      <w:r w:rsidR="00451C35">
        <w:t>behaviour</w:t>
      </w:r>
      <w:proofErr w:type="spellEnd"/>
      <w:r w:rsidR="00451C35">
        <w:t xml:space="preserve"> of future ones. FFNNs treat all </w:t>
      </w:r>
      <w:r w:rsidR="00030C14">
        <w:t>data points</w:t>
      </w:r>
      <w:r w:rsidR="00451C35">
        <w:t xml:space="preserve"> in the same fashion</w:t>
      </w:r>
      <w:r w:rsidR="004511E3">
        <w:t xml:space="preserve"> if no structural inference mechanism is modelled explicitly</w:t>
      </w:r>
      <w:r w:rsidR="00451C35">
        <w:t xml:space="preserve">. </w:t>
      </w:r>
      <w:r w:rsidR="004511E3">
        <w:t>This research must rely on a decision</w:t>
      </w:r>
      <w:r w:rsidR="00451C35">
        <w:t xml:space="preserve"> framework that can adaptatively map sequential structures</w:t>
      </w:r>
      <w:r w:rsidR="004D34FA">
        <w:t xml:space="preserve"> according to </w:t>
      </w:r>
      <w:r w:rsidR="00450390">
        <w:t xml:space="preserve">these </w:t>
      </w:r>
      <w:r w:rsidR="004D34FA">
        <w:t>temporal invariances</w:t>
      </w:r>
      <w:r w:rsidR="00451C35">
        <w:t>.</w:t>
      </w:r>
      <w:r w:rsidR="00902ADA">
        <w:t xml:space="preserve"> </w:t>
      </w:r>
      <w:r w:rsidR="0071364B">
        <w:t>Therefore</w:t>
      </w:r>
      <w:r w:rsidR="00694CAB">
        <w:t>, we will</w:t>
      </w:r>
      <w:r w:rsidR="00902ADA">
        <w:t xml:space="preserve"> </w:t>
      </w:r>
      <w:r w:rsidR="00694CAB">
        <w:t>explore</w:t>
      </w:r>
      <w:r w:rsidR="00902ADA">
        <w:t xml:space="preserve"> a few candidates </w:t>
      </w:r>
      <w:r w:rsidR="005E6A3B">
        <w:t xml:space="preserve">that fall </w:t>
      </w:r>
      <w:r w:rsidR="00902ADA">
        <w:t>between</w:t>
      </w:r>
      <w:r w:rsidR="00694CAB">
        <w:t xml:space="preserve"> simple</w:t>
      </w:r>
      <w:r w:rsidR="005E6A3B">
        <w:t xml:space="preserve"> network</w:t>
      </w:r>
      <w:r w:rsidR="00694CAB">
        <w:t xml:space="preserve"> architectural choice</w:t>
      </w:r>
      <w:r w:rsidR="005E6A3B">
        <w:t>s</w:t>
      </w:r>
      <w:r w:rsidR="00694CAB">
        <w:t xml:space="preserve"> and strong contenders with a track record of capturing time displace</w:t>
      </w:r>
      <w:r w:rsidR="00450390">
        <w:t>d</w:t>
      </w:r>
      <w:r w:rsidR="00694CAB">
        <w:t xml:space="preserve"> patterns</w:t>
      </w:r>
      <w:r w:rsidR="00902ADA">
        <w:t xml:space="preserve">. </w:t>
      </w:r>
      <w:r w:rsidR="00030C14">
        <w:t>The</w:t>
      </w:r>
      <w:r w:rsidR="00694CAB">
        <w:t xml:space="preserve"> selected candidate</w:t>
      </w:r>
      <w:r w:rsidR="00902ADA">
        <w:t xml:space="preserve"> must be </w:t>
      </w:r>
      <w:r w:rsidR="005E6A3B">
        <w:t>lightweight</w:t>
      </w:r>
      <w:r w:rsidR="00902ADA">
        <w:t xml:space="preserve"> enough to fit an embedded system but capture enough complexity to provide reliable forecasts.</w:t>
      </w:r>
    </w:p>
    <w:p w14:paraId="7762DB4E" w14:textId="77777777" w:rsidR="00286945" w:rsidRPr="006F3156" w:rsidRDefault="00286945" w:rsidP="005E3DBC">
      <w:pPr>
        <w:rPr>
          <w:color w:val="000000" w:themeColor="text1"/>
        </w:rPr>
      </w:pPr>
    </w:p>
    <w:p w14:paraId="0BA5B2BC" w14:textId="24C47BAD" w:rsidR="008662EE" w:rsidRPr="006F3156" w:rsidRDefault="008662EE" w:rsidP="008662EE">
      <w:pPr>
        <w:pStyle w:val="Heading2"/>
        <w:numPr>
          <w:ilvl w:val="0"/>
          <w:numId w:val="0"/>
        </w:numPr>
        <w:rPr>
          <w:color w:val="000000" w:themeColor="text1"/>
        </w:rPr>
      </w:pPr>
      <w:r w:rsidRPr="006F3156">
        <w:rPr>
          <w:color w:val="000000" w:themeColor="text1"/>
        </w:rPr>
        <w:t>A. Convolutional Neural Networks</w:t>
      </w:r>
    </w:p>
    <w:p w14:paraId="20C97337" w14:textId="135AB5F0" w:rsidR="008662EE" w:rsidRDefault="008662EE" w:rsidP="008662EE">
      <w:pPr>
        <w:rPr>
          <w:color w:val="000000" w:themeColor="text1"/>
        </w:rPr>
      </w:pPr>
    </w:p>
    <w:p w14:paraId="1A0277A8" w14:textId="42E1756B" w:rsidR="004D34FA" w:rsidRDefault="004D34FA" w:rsidP="00A53C9D">
      <w:pPr>
        <w:jc w:val="both"/>
        <w:rPr>
          <w:color w:val="000000" w:themeColor="text1"/>
        </w:rPr>
      </w:pPr>
      <w:r>
        <w:rPr>
          <w:color w:val="000000" w:themeColor="text1"/>
        </w:rPr>
        <w:tab/>
        <w:t xml:space="preserve">One of the simplest ways of looking for invariant </w:t>
      </w:r>
      <w:proofErr w:type="spellStart"/>
      <w:r w:rsidR="00A53C9D">
        <w:rPr>
          <w:color w:val="000000" w:themeColor="text1"/>
        </w:rPr>
        <w:t>behaviours</w:t>
      </w:r>
      <w:proofErr w:type="spellEnd"/>
      <w:r w:rsidR="00A53C9D">
        <w:rPr>
          <w:color w:val="000000" w:themeColor="text1"/>
        </w:rPr>
        <w:t xml:space="preserve"> across time is the application of adaptative filters. Instead of treating neurons as weight placeholders in a non-linear system, this architecture groups these structures into kernels and </w:t>
      </w:r>
      <w:r w:rsidR="00531EF4">
        <w:rPr>
          <w:color w:val="000000" w:themeColor="text1"/>
        </w:rPr>
        <w:t>creates a lower resolution matrix on</w:t>
      </w:r>
      <w:r w:rsidR="005E6A3B">
        <w:rPr>
          <w:color w:val="000000" w:themeColor="text1"/>
        </w:rPr>
        <w:t xml:space="preserve"> top of</w:t>
      </w:r>
      <w:r w:rsidR="00531EF4">
        <w:rPr>
          <w:color w:val="000000" w:themeColor="text1"/>
        </w:rPr>
        <w:t xml:space="preserve"> </w:t>
      </w:r>
      <w:r w:rsidR="00A53C9D">
        <w:rPr>
          <w:color w:val="000000" w:themeColor="text1"/>
        </w:rPr>
        <w:t xml:space="preserve">this convolution layer. This configuration allows the translation of </w:t>
      </w:r>
      <w:r w:rsidR="00531EF4">
        <w:rPr>
          <w:color w:val="000000" w:themeColor="text1"/>
        </w:rPr>
        <w:t xml:space="preserve">a </w:t>
      </w:r>
      <w:proofErr w:type="spellStart"/>
      <w:r w:rsidR="00030C14">
        <w:rPr>
          <w:color w:val="000000" w:themeColor="text1"/>
        </w:rPr>
        <w:t>neighbouring</w:t>
      </w:r>
      <w:proofErr w:type="spellEnd"/>
      <w:r w:rsidR="00A53C9D">
        <w:rPr>
          <w:color w:val="000000" w:themeColor="text1"/>
        </w:rPr>
        <w:t xml:space="preserve"> pattern (a slight signal increase followed by a sharp drop</w:t>
      </w:r>
      <w:r w:rsidR="005E6A3B">
        <w:rPr>
          <w:color w:val="000000" w:themeColor="text1"/>
        </w:rPr>
        <w:t>, for example</w:t>
      </w:r>
      <w:r w:rsidR="00A53C9D">
        <w:rPr>
          <w:color w:val="000000" w:themeColor="text1"/>
        </w:rPr>
        <w:t xml:space="preserve">) into a meaningful information unit to be manipulated by upper </w:t>
      </w:r>
      <w:r w:rsidR="00510CAE">
        <w:rPr>
          <w:color w:val="000000" w:themeColor="text1"/>
        </w:rPr>
        <w:t>layer</w:t>
      </w:r>
      <w:r w:rsidR="005E6A3B">
        <w:rPr>
          <w:color w:val="000000" w:themeColor="text1"/>
        </w:rPr>
        <w:t>s</w:t>
      </w:r>
      <w:r w:rsidR="00A53C9D">
        <w:rPr>
          <w:color w:val="000000" w:themeColor="text1"/>
        </w:rPr>
        <w:t>.</w:t>
      </w:r>
      <w:r w:rsidR="00510CAE">
        <w:rPr>
          <w:color w:val="000000" w:themeColor="text1"/>
        </w:rPr>
        <w:t xml:space="preserve"> Since the experiment deals with </w:t>
      </w:r>
      <w:r w:rsidR="005E6A3B">
        <w:rPr>
          <w:color w:val="000000" w:themeColor="text1"/>
        </w:rPr>
        <w:t xml:space="preserve">the </w:t>
      </w:r>
      <w:proofErr w:type="spellStart"/>
      <w:r w:rsidR="005E6A3B">
        <w:rPr>
          <w:color w:val="000000" w:themeColor="text1"/>
        </w:rPr>
        <w:t>behaviour</w:t>
      </w:r>
      <w:proofErr w:type="spellEnd"/>
      <w:r w:rsidR="005E6A3B">
        <w:rPr>
          <w:color w:val="000000" w:themeColor="text1"/>
        </w:rPr>
        <w:t xml:space="preserve"> of </w:t>
      </w:r>
      <w:r w:rsidR="00510CAE">
        <w:rPr>
          <w:color w:val="000000" w:themeColor="text1"/>
        </w:rPr>
        <w:t>a single signal</w:t>
      </w:r>
      <w:r w:rsidR="005E6A3B">
        <w:rPr>
          <w:color w:val="000000" w:themeColor="text1"/>
        </w:rPr>
        <w:t xml:space="preserve"> over time</w:t>
      </w:r>
      <w:r w:rsidR="00510CAE">
        <w:rPr>
          <w:color w:val="000000" w:themeColor="text1"/>
        </w:rPr>
        <w:t xml:space="preserve">, the </w:t>
      </w:r>
      <w:r w:rsidR="005E6A3B">
        <w:rPr>
          <w:color w:val="000000" w:themeColor="text1"/>
        </w:rPr>
        <w:t>obvious choice</w:t>
      </w:r>
      <w:r w:rsidR="00510CAE">
        <w:rPr>
          <w:color w:val="000000" w:themeColor="text1"/>
        </w:rPr>
        <w:t xml:space="preserve"> is the Single Dimension Convolution Neural Network (CNN1D). In this case, the kernel is a subset of the sequential input widow.</w:t>
      </w:r>
    </w:p>
    <w:p w14:paraId="1D0FC5DC" w14:textId="77777777" w:rsidR="004D34FA" w:rsidRPr="006F3156" w:rsidRDefault="004D34FA" w:rsidP="008662EE">
      <w:pPr>
        <w:rPr>
          <w:color w:val="000000" w:themeColor="text1"/>
        </w:rPr>
      </w:pPr>
    </w:p>
    <w:p w14:paraId="5D9B2A00" w14:textId="5FDC9F94" w:rsidR="008662EE" w:rsidRPr="006F3156" w:rsidRDefault="008662EE" w:rsidP="008662EE">
      <w:pPr>
        <w:pStyle w:val="Heading2"/>
        <w:numPr>
          <w:ilvl w:val="0"/>
          <w:numId w:val="0"/>
        </w:numPr>
        <w:rPr>
          <w:color w:val="000000" w:themeColor="text1"/>
        </w:rPr>
      </w:pPr>
      <w:r w:rsidRPr="006F3156">
        <w:rPr>
          <w:color w:val="000000" w:themeColor="text1"/>
        </w:rPr>
        <w:t>B. Gated Recurrent Units</w:t>
      </w:r>
    </w:p>
    <w:p w14:paraId="2DE2ECA0" w14:textId="5A5D1664" w:rsidR="008662EE" w:rsidRDefault="008662EE" w:rsidP="008662EE">
      <w:pPr>
        <w:rPr>
          <w:color w:val="000000" w:themeColor="text1"/>
        </w:rPr>
      </w:pPr>
    </w:p>
    <w:p w14:paraId="4030E6F9" w14:textId="75F8E550" w:rsidR="00983DF7" w:rsidRDefault="00983DF7" w:rsidP="00983DF7">
      <w:pPr>
        <w:jc w:val="both"/>
        <w:rPr>
          <w:color w:val="000000" w:themeColor="text1"/>
        </w:rPr>
      </w:pPr>
      <w:r>
        <w:rPr>
          <w:color w:val="000000" w:themeColor="text1"/>
        </w:rPr>
        <w:tab/>
        <w:t xml:space="preserve">GRUs provide an extra layer of refinement on top of the standard Recurrent Neural Networks (RNN). These ANNs </w:t>
      </w:r>
      <w:proofErr w:type="spellStart"/>
      <w:r w:rsidR="00531EF4">
        <w:rPr>
          <w:color w:val="000000" w:themeColor="text1"/>
        </w:rPr>
        <w:t>specialise</w:t>
      </w:r>
      <w:proofErr w:type="spellEnd"/>
      <w:r>
        <w:rPr>
          <w:color w:val="000000" w:themeColor="text1"/>
        </w:rPr>
        <w:t xml:space="preserve"> in mapping sequential patterns found in their inputs. Standard RNNs use the composition of sigmoid units to</w:t>
      </w:r>
      <w:r w:rsidR="00C817D1">
        <w:rPr>
          <w:color w:val="000000" w:themeColor="text1"/>
        </w:rPr>
        <w:t xml:space="preserve"> capture context information in the input by applying the same structure to each</w:t>
      </w:r>
      <w:r w:rsidR="00D27599">
        <w:rPr>
          <w:color w:val="000000" w:themeColor="text1"/>
        </w:rPr>
        <w:t xml:space="preserve"> value reading</w:t>
      </w:r>
      <w:r w:rsidR="00C817D1">
        <w:rPr>
          <w:color w:val="000000" w:themeColor="text1"/>
        </w:rPr>
        <w:t xml:space="preserve"> sequentially. Their limitation is their tendency to “forget” sequence members</w:t>
      </w:r>
      <w:r w:rsidR="00531EF4">
        <w:rPr>
          <w:color w:val="000000" w:themeColor="text1"/>
        </w:rPr>
        <w:t xml:space="preserve"> </w:t>
      </w:r>
      <w:r w:rsidR="00D27599">
        <w:rPr>
          <w:color w:val="000000" w:themeColor="text1"/>
        </w:rPr>
        <w:t>on</w:t>
      </w:r>
      <w:r w:rsidR="0083025F">
        <w:rPr>
          <w:color w:val="000000" w:themeColor="text1"/>
        </w:rPr>
        <w:t xml:space="preserve"> </w:t>
      </w:r>
      <w:r w:rsidR="0071364B">
        <w:rPr>
          <w:color w:val="000000" w:themeColor="text1"/>
        </w:rPr>
        <w:t>exceptionally</w:t>
      </w:r>
      <w:r w:rsidR="00C817D1">
        <w:rPr>
          <w:color w:val="000000" w:themeColor="text1"/>
        </w:rPr>
        <w:t xml:space="preserve"> long input vectors. GRUs filter irrelevant members by adding a forget logical gate before proceeding with the signal </w:t>
      </w:r>
      <w:r w:rsidR="00C817D1">
        <w:rPr>
          <w:color w:val="000000" w:themeColor="text1"/>
        </w:rPr>
        <w:lastRenderedPageBreak/>
        <w:t>propagation. Like the CNN1D</w:t>
      </w:r>
      <w:r w:rsidR="00531EF4">
        <w:rPr>
          <w:color w:val="000000" w:themeColor="text1"/>
        </w:rPr>
        <w:t>,</w:t>
      </w:r>
      <w:r w:rsidR="00C817D1">
        <w:rPr>
          <w:color w:val="000000" w:themeColor="text1"/>
        </w:rPr>
        <w:t xml:space="preserve"> it will take </w:t>
      </w:r>
      <w:proofErr w:type="spellStart"/>
      <w:r w:rsidR="00C817D1">
        <w:rPr>
          <w:color w:val="000000" w:themeColor="text1"/>
        </w:rPr>
        <w:t>neighbouring</w:t>
      </w:r>
      <w:proofErr w:type="spellEnd"/>
      <w:r w:rsidR="00C817D1">
        <w:rPr>
          <w:color w:val="000000" w:themeColor="text1"/>
        </w:rPr>
        <w:t xml:space="preserve"> sequence values into account</w:t>
      </w:r>
      <w:r w:rsidR="00531EF4">
        <w:rPr>
          <w:color w:val="000000" w:themeColor="text1"/>
        </w:rPr>
        <w:t>,</w:t>
      </w:r>
      <w:r w:rsidR="00C817D1">
        <w:rPr>
          <w:color w:val="000000" w:themeColor="text1"/>
        </w:rPr>
        <w:t xml:space="preserve"> thus creating a</w:t>
      </w:r>
      <w:r w:rsidR="00D27599">
        <w:rPr>
          <w:color w:val="000000" w:themeColor="text1"/>
        </w:rPr>
        <w:t>n analogous</w:t>
      </w:r>
      <w:r w:rsidR="00C817D1">
        <w:rPr>
          <w:color w:val="000000" w:themeColor="text1"/>
        </w:rPr>
        <w:t xml:space="preserve"> </w:t>
      </w:r>
      <w:r w:rsidR="002A641D">
        <w:rPr>
          <w:color w:val="000000" w:themeColor="text1"/>
        </w:rPr>
        <w:t>pattern grouping mechanic.</w:t>
      </w:r>
      <w:r w:rsidR="00C817D1">
        <w:rPr>
          <w:color w:val="000000" w:themeColor="text1"/>
        </w:rPr>
        <w:t xml:space="preserve">  </w:t>
      </w:r>
    </w:p>
    <w:p w14:paraId="0AEDB432" w14:textId="77777777" w:rsidR="00983DF7" w:rsidRPr="006F3156" w:rsidRDefault="00983DF7" w:rsidP="008662EE">
      <w:pPr>
        <w:rPr>
          <w:color w:val="000000" w:themeColor="text1"/>
        </w:rPr>
      </w:pPr>
    </w:p>
    <w:p w14:paraId="04FB84C3" w14:textId="0AD65DA4" w:rsidR="008662EE" w:rsidRPr="006F3156" w:rsidRDefault="008662EE" w:rsidP="008662EE">
      <w:pPr>
        <w:pStyle w:val="Heading2"/>
        <w:numPr>
          <w:ilvl w:val="0"/>
          <w:numId w:val="0"/>
        </w:numPr>
        <w:rPr>
          <w:color w:val="000000" w:themeColor="text1"/>
        </w:rPr>
      </w:pPr>
      <w:r w:rsidRPr="006F3156">
        <w:rPr>
          <w:color w:val="000000" w:themeColor="text1"/>
        </w:rPr>
        <w:t>C. Long-Term Short-Term Memory</w:t>
      </w:r>
    </w:p>
    <w:p w14:paraId="0DFED9F0" w14:textId="1B81ED4F" w:rsidR="008662EE" w:rsidRDefault="008662EE" w:rsidP="008662EE"/>
    <w:p w14:paraId="6279A678" w14:textId="49121C82" w:rsidR="00510CAE" w:rsidRDefault="00510CAE" w:rsidP="002C7857">
      <w:pPr>
        <w:jc w:val="both"/>
      </w:pPr>
      <w:r>
        <w:tab/>
      </w:r>
      <w:r w:rsidR="00983DF7">
        <w:t>LSTMs</w:t>
      </w:r>
      <w:r>
        <w:t xml:space="preserve"> </w:t>
      </w:r>
      <w:r w:rsidR="00983DF7">
        <w:t>are</w:t>
      </w:r>
      <w:r>
        <w:t xml:space="preserve"> the most sophisticated of the RNNs. </w:t>
      </w:r>
      <w:r w:rsidR="00531EF4">
        <w:t>This architecture's rationale is to construct context masks that propagate along with the inputs adaptatively</w:t>
      </w:r>
      <w:r w:rsidR="002C7857">
        <w:t>. This structure allows the model to select arbitrary subsets of the input sequence during the prediction stage</w:t>
      </w:r>
      <w:r w:rsidR="00531EF4">
        <w:t>,</w:t>
      </w:r>
      <w:r w:rsidR="002C7857">
        <w:t xml:space="preserve"> thus enabling a sophisticated composition of simple pattern classification filters that rely on </w:t>
      </w:r>
      <w:proofErr w:type="spellStart"/>
      <w:r w:rsidR="002C7857">
        <w:t>neighbouring</w:t>
      </w:r>
      <w:proofErr w:type="spellEnd"/>
      <w:r w:rsidR="002C7857">
        <w:t xml:space="preserve"> indexes.</w:t>
      </w:r>
    </w:p>
    <w:p w14:paraId="438A2657" w14:textId="77777777" w:rsidR="006F3156" w:rsidRPr="008662EE" w:rsidRDefault="006F3156" w:rsidP="008662EE"/>
    <w:p w14:paraId="0C976E17" w14:textId="4F0973C8" w:rsidR="008662EE" w:rsidRDefault="00C23B5E" w:rsidP="008662EE">
      <w:pPr>
        <w:pStyle w:val="Heading1"/>
      </w:pPr>
      <w:r>
        <w:t>V</w:t>
      </w:r>
      <w:r w:rsidR="008662EE">
        <w:t xml:space="preserve">. </w:t>
      </w:r>
      <w:r w:rsidR="0027184E">
        <w:t>Implementation</w:t>
      </w:r>
    </w:p>
    <w:p w14:paraId="1410EA4B" w14:textId="77777777" w:rsidR="00E20F7A" w:rsidRPr="00E20F7A" w:rsidRDefault="00E20F7A" w:rsidP="00E20F7A"/>
    <w:p w14:paraId="743E4AA1" w14:textId="77777777" w:rsidR="0040329C" w:rsidRDefault="00E20F7A" w:rsidP="0040329C">
      <w:pPr>
        <w:keepNext/>
      </w:pPr>
      <w:r>
        <w:rPr>
          <w:noProof/>
        </w:rPr>
        <w:drawing>
          <wp:inline distT="0" distB="0" distL="0" distR="0" wp14:anchorId="4AA07C42" wp14:editId="6ACD56B7">
            <wp:extent cx="3063240" cy="97946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979469"/>
                    </a:xfrm>
                    <a:prstGeom prst="rect">
                      <a:avLst/>
                    </a:prstGeom>
                  </pic:spPr>
                </pic:pic>
              </a:graphicData>
            </a:graphic>
          </wp:inline>
        </w:drawing>
      </w:r>
    </w:p>
    <w:p w14:paraId="166958DC" w14:textId="6801268B" w:rsidR="00E20F7A" w:rsidRPr="00E20F7A" w:rsidRDefault="0040329C" w:rsidP="0040329C">
      <w:pPr>
        <w:pStyle w:val="Caption"/>
        <w:jc w:val="center"/>
      </w:pPr>
      <w:r>
        <w:t xml:space="preserve">Figure </w:t>
      </w:r>
      <w:fldSimple w:instr=" SEQ Figure \* ARABIC ">
        <w:r w:rsidR="0082140E">
          <w:rPr>
            <w:noProof/>
          </w:rPr>
          <w:t>3</w:t>
        </w:r>
      </w:fldSimple>
      <w:r>
        <w:t xml:space="preserve"> - Decision Support System, experiment summary</w:t>
      </w:r>
    </w:p>
    <w:p w14:paraId="74D0CF7F" w14:textId="77777777" w:rsidR="007A2728" w:rsidRDefault="007A2728" w:rsidP="008662EE">
      <w:r>
        <w:tab/>
      </w:r>
    </w:p>
    <w:p w14:paraId="2BF79FC4" w14:textId="36F6DF12" w:rsidR="007A2728" w:rsidRDefault="0071364B" w:rsidP="007A2728">
      <w:pPr>
        <w:ind w:firstLine="720"/>
        <w:jc w:val="both"/>
      </w:pPr>
      <w:r>
        <w:t xml:space="preserve">One </w:t>
      </w:r>
      <w:r w:rsidR="0083025F">
        <w:t>striking</w:t>
      </w:r>
      <w:r>
        <w:t xml:space="preserve"> contrast when considering the departure from centralised control systems toward more collaborative frameworks is</w:t>
      </w:r>
      <w:r w:rsidR="007A2728">
        <w:t xml:space="preserve"> the importance of </w:t>
      </w:r>
      <w:r w:rsidR="00030C14">
        <w:t>concept drift</w:t>
      </w:r>
      <w:r w:rsidR="007A2728">
        <w:t xml:space="preserve">. Large-scale planning dilutes individual shifts in consumer </w:t>
      </w:r>
      <w:proofErr w:type="spellStart"/>
      <w:r w:rsidR="007A2728">
        <w:t>behaviour</w:t>
      </w:r>
      <w:proofErr w:type="spellEnd"/>
      <w:r w:rsidR="007A2728">
        <w:t xml:space="preserve"> since it is concerned </w:t>
      </w:r>
      <w:r w:rsidR="00030C14">
        <w:t>with</w:t>
      </w:r>
      <w:r w:rsidR="007A2728">
        <w:t xml:space="preserve"> putting together a macro view of the distribution system. In this case, significant </w:t>
      </w:r>
      <w:r w:rsidR="00887D8F">
        <w:t xml:space="preserve">perturbations on energy flow require events with </w:t>
      </w:r>
      <w:r w:rsidR="00030C14">
        <w:t>widespread</w:t>
      </w:r>
      <w:r w:rsidR="00887D8F">
        <w:t xml:space="preserve"> </w:t>
      </w:r>
      <w:r w:rsidR="00030C14">
        <w:t>impacts</w:t>
      </w:r>
      <w:r w:rsidR="00887D8F">
        <w:t xml:space="preserve">, like events that capture the attention of a whole region (popular televised sporting events or season finales of shows on a schedule). </w:t>
      </w:r>
      <w:r w:rsidR="00B13BEF">
        <w:t>Direct c</w:t>
      </w:r>
      <w:r w:rsidR="00887D8F">
        <w:t>onsumer engagement requires a much more individual approach</w:t>
      </w:r>
      <w:r w:rsidR="00B13BEF">
        <w:t>. Residents will see little incentive to use a solution that is not responsive to their actions.</w:t>
      </w:r>
    </w:p>
    <w:p w14:paraId="6BE4B446" w14:textId="77777777" w:rsidR="00640804" w:rsidRDefault="00B13BEF" w:rsidP="007A2728">
      <w:pPr>
        <w:ind w:firstLine="720"/>
        <w:jc w:val="both"/>
      </w:pPr>
      <w:r>
        <w:t xml:space="preserve">For this reason, </w:t>
      </w:r>
      <w:r w:rsidR="0071364B">
        <w:t xml:space="preserve">this proposal must </w:t>
      </w:r>
      <w:proofErr w:type="spellStart"/>
      <w:r w:rsidR="0071364B">
        <w:t>favour</w:t>
      </w:r>
      <w:proofErr w:type="spellEnd"/>
      <w:r>
        <w:t xml:space="preserve"> </w:t>
      </w:r>
      <w:proofErr w:type="spellStart"/>
      <w:r w:rsidR="0071364B">
        <w:t>individualised</w:t>
      </w:r>
      <w:proofErr w:type="spellEnd"/>
      <w:r>
        <w:t xml:space="preserve"> </w:t>
      </w:r>
      <w:r w:rsidR="00F07D99">
        <w:t xml:space="preserve">decision-making models. At this point, </w:t>
      </w:r>
      <w:r w:rsidR="0071364B">
        <w:t>some architectural considerations can</w:t>
      </w:r>
      <w:r w:rsidR="00F07D99">
        <w:t xml:space="preserve"> </w:t>
      </w:r>
      <w:proofErr w:type="spellStart"/>
      <w:r w:rsidR="0071364B">
        <w:t>rationalise</w:t>
      </w:r>
      <w:proofErr w:type="spellEnd"/>
      <w:r w:rsidR="00F07D99">
        <w:t xml:space="preserve"> this problem statement into a workable solution. </w:t>
      </w:r>
      <w:r w:rsidR="0071364B">
        <w:t>Big</w:t>
      </w:r>
      <w:r w:rsidR="00F07D99">
        <w:t xml:space="preserve"> datasets required to train these models might not conform to the processing restrictions of a </w:t>
      </w:r>
      <w:r w:rsidR="0071364B">
        <w:t xml:space="preserve">more </w:t>
      </w:r>
      <w:r w:rsidR="004E14A5">
        <w:t>modest</w:t>
      </w:r>
      <w:r w:rsidR="00F07D99">
        <w:t xml:space="preserve"> </w:t>
      </w:r>
      <w:r w:rsidR="00D27599">
        <w:t xml:space="preserve">energy </w:t>
      </w:r>
      <w:r w:rsidR="00F07D99">
        <w:t>meter. However</w:t>
      </w:r>
      <w:r w:rsidR="0071364B">
        <w:t xml:space="preserve">, this requirement </w:t>
      </w:r>
      <w:r w:rsidR="004E14A5">
        <w:t>might</w:t>
      </w:r>
      <w:r w:rsidR="0021764B">
        <w:t xml:space="preserve"> not</w:t>
      </w:r>
      <w:r w:rsidR="0071364B">
        <w:t xml:space="preserve"> be fulfilled on-site </w:t>
      </w:r>
      <w:r w:rsidR="004E14A5">
        <w:t xml:space="preserve">but </w:t>
      </w:r>
      <w:r w:rsidR="0071364B">
        <w:t xml:space="preserve">in a </w:t>
      </w:r>
      <w:r w:rsidR="00D27599">
        <w:t>more robust</w:t>
      </w:r>
      <w:r w:rsidR="0071364B">
        <w:t xml:space="preserve"> </w:t>
      </w:r>
      <w:r w:rsidR="00D27599">
        <w:t>backend</w:t>
      </w:r>
      <w:r w:rsidR="0071364B">
        <w:t xml:space="preserve"> system</w:t>
      </w:r>
      <w:r w:rsidR="004E14A5">
        <w:t xml:space="preserve"> (the control plane)</w:t>
      </w:r>
      <w:r w:rsidR="00260F78">
        <w:t xml:space="preserve">. </w:t>
      </w:r>
    </w:p>
    <w:p w14:paraId="1940462D" w14:textId="010D077B" w:rsidR="00B13BEF" w:rsidRDefault="00260F78" w:rsidP="007A2728">
      <w:pPr>
        <w:ind w:firstLine="720"/>
        <w:jc w:val="both"/>
      </w:pPr>
      <w:r>
        <w:t xml:space="preserve">The system’s design can accommodate delays in </w:t>
      </w:r>
      <w:r w:rsidR="00467CB5">
        <w:t xml:space="preserve">a </w:t>
      </w:r>
      <w:r>
        <w:t>model update if the existing solution</w:t>
      </w:r>
      <w:r w:rsidR="00D27599">
        <w:t>’s throughput is feast enough to</w:t>
      </w:r>
      <w:r w:rsidR="00640804">
        <w:t xml:space="preserve"> not let concept drift degrade its performance. A simple example would be seasonal consumption patterns shifts between summer and winter</w:t>
      </w:r>
      <w:r>
        <w:t>.</w:t>
      </w:r>
    </w:p>
    <w:p w14:paraId="2057778B" w14:textId="0F28E93A" w:rsidR="00260F78" w:rsidRDefault="00260F78" w:rsidP="007A2728">
      <w:pPr>
        <w:ind w:firstLine="720"/>
        <w:jc w:val="both"/>
      </w:pPr>
      <w:r>
        <w:t>Following this premise, we can add three restrictions to the implementation:</w:t>
      </w:r>
    </w:p>
    <w:p w14:paraId="2F881250" w14:textId="77777777" w:rsidR="00260F78" w:rsidRDefault="00260F78" w:rsidP="007A2728">
      <w:pPr>
        <w:ind w:firstLine="720"/>
        <w:jc w:val="both"/>
      </w:pPr>
    </w:p>
    <w:p w14:paraId="6EDB2210" w14:textId="5D811060" w:rsidR="00260F78" w:rsidRDefault="00260F78" w:rsidP="00260F78">
      <w:pPr>
        <w:pStyle w:val="ListParagraph"/>
        <w:numPr>
          <w:ilvl w:val="0"/>
          <w:numId w:val="13"/>
        </w:numPr>
        <w:jc w:val="both"/>
      </w:pPr>
      <w:r>
        <w:t>The model must fit the embedded system after training.</w:t>
      </w:r>
    </w:p>
    <w:p w14:paraId="5C0A89A7" w14:textId="071E0A86" w:rsidR="00260F78" w:rsidRDefault="00260F78" w:rsidP="00260F78">
      <w:pPr>
        <w:pStyle w:val="ListParagraph"/>
        <w:numPr>
          <w:ilvl w:val="0"/>
          <w:numId w:val="13"/>
        </w:numPr>
        <w:jc w:val="both"/>
      </w:pPr>
      <w:r>
        <w:t>The model must be responsive given the hardware restrictions</w:t>
      </w:r>
      <w:r w:rsidR="000A06F3">
        <w:t xml:space="preserve"> of the embedded system.</w:t>
      </w:r>
    </w:p>
    <w:p w14:paraId="26865AA6" w14:textId="40CACE33" w:rsidR="000A06F3" w:rsidRDefault="000A06F3" w:rsidP="00260F78">
      <w:pPr>
        <w:pStyle w:val="ListParagraph"/>
        <w:numPr>
          <w:ilvl w:val="0"/>
          <w:numId w:val="13"/>
        </w:numPr>
        <w:jc w:val="both"/>
      </w:pPr>
      <w:r>
        <w:t>Training times off</w:t>
      </w:r>
      <w:r w:rsidR="00511D00">
        <w:t>-</w:t>
      </w:r>
      <w:r>
        <w:t xml:space="preserve">site must be fast </w:t>
      </w:r>
      <w:proofErr w:type="gramStart"/>
      <w:r>
        <w:t>enough</w:t>
      </w:r>
      <w:proofErr w:type="gramEnd"/>
      <w:r>
        <w:t xml:space="preserve"> so </w:t>
      </w:r>
      <w:r w:rsidR="00467CB5">
        <w:t>concept drift</w:t>
      </w:r>
      <w:r>
        <w:t xml:space="preserve"> does not </w:t>
      </w:r>
      <w:r w:rsidR="002C1EE7">
        <w:t>degrade</w:t>
      </w:r>
      <w:r>
        <w:t xml:space="preserve"> model response.</w:t>
      </w:r>
    </w:p>
    <w:p w14:paraId="271B9219" w14:textId="76D8FFE0" w:rsidR="000A06F3" w:rsidRDefault="000A06F3" w:rsidP="000A06F3">
      <w:pPr>
        <w:jc w:val="both"/>
      </w:pPr>
    </w:p>
    <w:p w14:paraId="7DDD340D" w14:textId="14CB4701" w:rsidR="000A06F3" w:rsidRDefault="000A06F3" w:rsidP="000A06F3">
      <w:pPr>
        <w:jc w:val="both"/>
      </w:pPr>
      <w:r>
        <w:t xml:space="preserve">Point 3 should not become an </w:t>
      </w:r>
      <w:r w:rsidR="0071364B">
        <w:t>afterthought</w:t>
      </w:r>
      <w:r>
        <w:t xml:space="preserve">. Training millions of simple models on large datasets can become intractable even for </w:t>
      </w:r>
      <w:r w:rsidR="0083025F">
        <w:t>robust</w:t>
      </w:r>
      <w:r w:rsidR="0071364B">
        <w:t>,</w:t>
      </w:r>
      <w:r>
        <w:t xml:space="preserve"> scalable platforms.</w:t>
      </w:r>
    </w:p>
    <w:p w14:paraId="1457C16A" w14:textId="63D4EB40" w:rsidR="00047955" w:rsidRDefault="00944400" w:rsidP="000A06F3">
      <w:pPr>
        <w:jc w:val="both"/>
      </w:pPr>
      <w:r>
        <w:tab/>
        <w:t xml:space="preserve">Our choice in working with ANN also introduces additional concerns that act as both benefits </w:t>
      </w:r>
      <w:r w:rsidR="00467CB5">
        <w:t>and</w:t>
      </w:r>
      <w:r>
        <w:t xml:space="preserve"> sometimes as system constraints. Figure 3 provides a </w:t>
      </w:r>
      <w:r w:rsidR="00047955">
        <w:t>visual summary of this exercise:</w:t>
      </w:r>
    </w:p>
    <w:p w14:paraId="115E7FAF" w14:textId="77777777" w:rsidR="00047955" w:rsidRDefault="00047955" w:rsidP="000A06F3">
      <w:pPr>
        <w:jc w:val="both"/>
      </w:pPr>
    </w:p>
    <w:p w14:paraId="004B0C11" w14:textId="33072D3B" w:rsidR="00047955" w:rsidRDefault="00047955" w:rsidP="00047955">
      <w:pPr>
        <w:pStyle w:val="ListParagraph"/>
        <w:numPr>
          <w:ilvl w:val="0"/>
          <w:numId w:val="14"/>
        </w:numPr>
        <w:jc w:val="both"/>
      </w:pPr>
      <w:r>
        <w:t xml:space="preserve">The Global Active Power signal must be </w:t>
      </w:r>
      <w:proofErr w:type="gramStart"/>
      <w:r w:rsidR="00467CB5">
        <w:t>down-sampled</w:t>
      </w:r>
      <w:proofErr w:type="gramEnd"/>
      <w:r>
        <w:t xml:space="preserve"> to a workable discrete measurement, represented by the white circles in Figure 3.</w:t>
      </w:r>
    </w:p>
    <w:p w14:paraId="6BADDD03" w14:textId="715518E4" w:rsidR="00047955" w:rsidRDefault="00047955" w:rsidP="00047955">
      <w:pPr>
        <w:pStyle w:val="ListParagraph"/>
        <w:numPr>
          <w:ilvl w:val="0"/>
          <w:numId w:val="14"/>
        </w:numPr>
        <w:jc w:val="both"/>
      </w:pPr>
      <w:r>
        <w:t xml:space="preserve">The output of the predicted model will also represent the same type of discrete measurement of the same interval size, white diamonds in Figure 3. </w:t>
      </w:r>
    </w:p>
    <w:p w14:paraId="68A8C522" w14:textId="79E7BE4D" w:rsidR="00047955" w:rsidRDefault="00811C6C" w:rsidP="00047955">
      <w:pPr>
        <w:pStyle w:val="ListParagraph"/>
        <w:numPr>
          <w:ilvl w:val="0"/>
          <w:numId w:val="14"/>
        </w:numPr>
        <w:jc w:val="both"/>
      </w:pPr>
      <w:r>
        <w:t>The model will leverage a set of hidden units of one of the candidate architectures discussed in the previous section, white squares in Figure 3.</w:t>
      </w:r>
    </w:p>
    <w:p w14:paraId="4A7C86F5" w14:textId="478A59A4" w:rsidR="00811C6C" w:rsidRDefault="00811C6C" w:rsidP="00811C6C">
      <w:pPr>
        <w:jc w:val="both"/>
      </w:pPr>
    </w:p>
    <w:p w14:paraId="219DCEB5" w14:textId="47674DC3" w:rsidR="00811C6C" w:rsidRDefault="00811C6C" w:rsidP="00811C6C">
      <w:pPr>
        <w:jc w:val="both"/>
      </w:pPr>
      <w:r>
        <w:t xml:space="preserve">Although </w:t>
      </w:r>
      <w:r w:rsidR="0071364B">
        <w:t xml:space="preserve">only one hidden layer is </w:t>
      </w:r>
      <w:r>
        <w:t xml:space="preserve">shown in Figure 3, the actual implementation might be more complex. For example, </w:t>
      </w:r>
      <w:r w:rsidR="0071364B">
        <w:t xml:space="preserve">adding some noise to the system </w:t>
      </w:r>
      <w:r w:rsidR="004E14A5">
        <w:t xml:space="preserve">with a Dropout layer usually </w:t>
      </w:r>
      <w:r w:rsidR="007508F0">
        <w:t>produces a more robust training phase</w:t>
      </w:r>
      <w:r>
        <w:t xml:space="preserve"> (</w:t>
      </w:r>
      <w:r w:rsidR="00E9012E" w:rsidRPr="00511D00">
        <w:rPr>
          <w:color w:val="212121"/>
        </w:rPr>
        <w:t>Srivastava N. et al., 2014</w:t>
      </w:r>
      <w:r>
        <w:t xml:space="preserve">). Additionally, some architectures, like CNN1D, require </w:t>
      </w:r>
      <w:r w:rsidR="0071364B">
        <w:t xml:space="preserve">extra manipulation, such as </w:t>
      </w:r>
      <w:r w:rsidR="00511D00">
        <w:t xml:space="preserve">a </w:t>
      </w:r>
      <w:r w:rsidR="0071364B">
        <w:t>model Flattening, to provide the expected output type</w:t>
      </w:r>
      <w:r>
        <w:t>.</w:t>
      </w:r>
    </w:p>
    <w:p w14:paraId="62CC7136" w14:textId="36E0F508" w:rsidR="004E7AD7" w:rsidRDefault="004E7AD7" w:rsidP="00811C6C">
      <w:pPr>
        <w:jc w:val="both"/>
      </w:pPr>
      <w:r>
        <w:tab/>
        <w:t xml:space="preserve">Modern ANNs are highly modular and support the level of interchangeability required by this experiment. The source code was written using Python and the </w:t>
      </w:r>
      <w:proofErr w:type="spellStart"/>
      <w:r>
        <w:t>Tensorflow</w:t>
      </w:r>
      <w:proofErr w:type="spellEnd"/>
      <w:r>
        <w:t xml:space="preserve"> library</w:t>
      </w:r>
      <w:r w:rsidR="009E0DD7">
        <w:t xml:space="preserve"> (</w:t>
      </w:r>
      <w:r w:rsidR="00E9012E" w:rsidRPr="00C77710">
        <w:rPr>
          <w:color w:val="000000" w:themeColor="text1"/>
          <w:shd w:val="clear" w:color="auto" w:fill="FFFFFF"/>
          <w:lang w:val="en-IE" w:eastAsia="en-GB"/>
        </w:rPr>
        <w:t>M. Abadi et al., 2015</w:t>
      </w:r>
      <w:r w:rsidR="009E0DD7">
        <w:t>)</w:t>
      </w:r>
      <w:r>
        <w:t xml:space="preserve">. The main reason for this choice was the possibility of progressing this research </w:t>
      </w:r>
      <w:r w:rsidR="0071364B">
        <w:t>using</w:t>
      </w:r>
      <w:r>
        <w:t xml:space="preserve"> </w:t>
      </w:r>
      <w:proofErr w:type="spellStart"/>
      <w:r>
        <w:t>Tensorflow</w:t>
      </w:r>
      <w:proofErr w:type="spellEnd"/>
      <w:r>
        <w:t xml:space="preserve"> Lite and </w:t>
      </w:r>
      <w:r w:rsidR="0071364B">
        <w:t xml:space="preserve">directly embedding the trained model into a few candidate hardware platforms </w:t>
      </w:r>
      <w:r>
        <w:t>(</w:t>
      </w:r>
      <w:r w:rsidR="008A586A" w:rsidRPr="00C77710">
        <w:rPr>
          <w:color w:val="000000" w:themeColor="text1"/>
          <w:shd w:val="clear" w:color="auto" w:fill="FFFFFF"/>
          <w:lang w:val="en-IE" w:eastAsia="en-GB"/>
        </w:rPr>
        <w:t xml:space="preserve">B. </w:t>
      </w:r>
      <w:proofErr w:type="spellStart"/>
      <w:r w:rsidR="008A586A" w:rsidRPr="00C77710">
        <w:rPr>
          <w:color w:val="000000" w:themeColor="text1"/>
          <w:shd w:val="clear" w:color="auto" w:fill="FFFFFF"/>
          <w:lang w:val="en-IE" w:eastAsia="en-GB"/>
        </w:rPr>
        <w:t>Sudharsan</w:t>
      </w:r>
      <w:proofErr w:type="spellEnd"/>
      <w:r w:rsidR="008A586A" w:rsidRPr="00C77710">
        <w:rPr>
          <w:color w:val="000000" w:themeColor="text1"/>
          <w:shd w:val="clear" w:color="auto" w:fill="FFFFFF"/>
          <w:lang w:val="en-IE" w:eastAsia="en-GB"/>
        </w:rPr>
        <w:t xml:space="preserve"> et al., 2021</w:t>
      </w:r>
      <w:r>
        <w:t>).</w:t>
      </w:r>
    </w:p>
    <w:p w14:paraId="2BF5DFD3" w14:textId="0D34AF86" w:rsidR="007A2728" w:rsidRDefault="007A2728" w:rsidP="004E7AD7">
      <w:pPr>
        <w:jc w:val="both"/>
      </w:pPr>
    </w:p>
    <w:p w14:paraId="316CFC2F" w14:textId="77777777" w:rsidR="0040329C" w:rsidRDefault="00346165" w:rsidP="0040329C">
      <w:pPr>
        <w:keepNext/>
      </w:pPr>
      <w:r>
        <w:rPr>
          <w:noProof/>
        </w:rPr>
        <w:drawing>
          <wp:inline distT="0" distB="0" distL="0" distR="0" wp14:anchorId="3EC9ECE3" wp14:editId="560ADDC9">
            <wp:extent cx="3063240" cy="77406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3240" cy="774065"/>
                    </a:xfrm>
                    <a:prstGeom prst="rect">
                      <a:avLst/>
                    </a:prstGeom>
                  </pic:spPr>
                </pic:pic>
              </a:graphicData>
            </a:graphic>
          </wp:inline>
        </w:drawing>
      </w:r>
    </w:p>
    <w:p w14:paraId="4372868E" w14:textId="21C7CAB8" w:rsidR="00346165" w:rsidRDefault="0040329C" w:rsidP="0040329C">
      <w:pPr>
        <w:pStyle w:val="Caption"/>
        <w:jc w:val="center"/>
      </w:pPr>
      <w:r>
        <w:t xml:space="preserve">Figure </w:t>
      </w:r>
      <w:fldSimple w:instr=" SEQ Figure \* ARABIC ">
        <w:r w:rsidR="0082140E">
          <w:rPr>
            <w:noProof/>
          </w:rPr>
          <w:t>4</w:t>
        </w:r>
      </w:fldSimple>
      <w:r>
        <w:t xml:space="preserve"> - Model Applicability, hypothesis test</w:t>
      </w:r>
    </w:p>
    <w:p w14:paraId="531C11A4" w14:textId="31A47F0A" w:rsidR="00346165" w:rsidRDefault="00346165" w:rsidP="008662EE"/>
    <w:p w14:paraId="21F75BB2" w14:textId="56216EC6" w:rsidR="00BD462F" w:rsidRDefault="00BD462F" w:rsidP="00BF1CF0">
      <w:pPr>
        <w:jc w:val="both"/>
      </w:pPr>
      <w:r>
        <w:tab/>
        <w:t xml:space="preserve">Even though there is a significant amount of time spent on </w:t>
      </w:r>
      <w:proofErr w:type="spellStart"/>
      <w:r w:rsidR="0071364B">
        <w:t>analysing</w:t>
      </w:r>
      <w:proofErr w:type="spellEnd"/>
      <w:r w:rsidR="007C2A55">
        <w:t xml:space="preserve"> the computational requirements involved in this proposal, </w:t>
      </w:r>
      <w:r w:rsidR="00467CB5">
        <w:t xml:space="preserve">the </w:t>
      </w:r>
      <w:r w:rsidR="007C2A55">
        <w:t>model’s applicability is the paramount concern. A highly scalable, computationally efficient</w:t>
      </w:r>
      <w:r w:rsidR="001F273C">
        <w:t>, inaccurate solution will not warrant the resources spent on deploying it, even though cost</w:t>
      </w:r>
      <w:r w:rsidR="007508F0">
        <w:t>s</w:t>
      </w:r>
      <w:r w:rsidR="001F273C">
        <w:t xml:space="preserve"> w</w:t>
      </w:r>
      <w:r w:rsidR="007508F0">
        <w:t>ere</w:t>
      </w:r>
      <w:r w:rsidR="001F273C">
        <w:t xml:space="preserve"> </w:t>
      </w:r>
      <w:proofErr w:type="spellStart"/>
      <w:r w:rsidR="0071364B">
        <w:t>minimised</w:t>
      </w:r>
      <w:proofErr w:type="spellEnd"/>
      <w:r w:rsidR="001F273C">
        <w:t>. In this case, the proposal must provide the required level of observability. Figure 4 provides a visual summary of</w:t>
      </w:r>
      <w:r w:rsidR="007848BB">
        <w:t xml:space="preserve"> the data collected for validating applicability. Every prediction records the baseline (persistence model) used to compute the error accrued</w:t>
      </w:r>
      <w:r w:rsidR="0071364B">
        <w:t xml:space="preserve">, </w:t>
      </w:r>
      <w:proofErr w:type="gramStart"/>
      <w:r w:rsidR="0071364B">
        <w:t>assuming</w:t>
      </w:r>
      <w:r w:rsidR="007848BB">
        <w:t xml:space="preserve"> that</w:t>
      </w:r>
      <w:proofErr w:type="gramEnd"/>
      <w:r w:rsidR="007848BB">
        <w:t xml:space="preserve"> current readings will not change (Figure 4, left). </w:t>
      </w:r>
      <w:r w:rsidR="00467CB5">
        <w:t>The model’s</w:t>
      </w:r>
      <w:r w:rsidR="007848BB">
        <w:t xml:space="preserve"> output provides the de-facto estimation of the future reading and its residual error (Figure 4, </w:t>
      </w:r>
      <w:proofErr w:type="spellStart"/>
      <w:r w:rsidR="007848BB">
        <w:t>centre</w:t>
      </w:r>
      <w:proofErr w:type="spellEnd"/>
      <w:r w:rsidR="007848BB">
        <w:t xml:space="preserve">). Finally, </w:t>
      </w:r>
      <w:r w:rsidR="005C3507">
        <w:t xml:space="preserve">we have the </w:t>
      </w:r>
      <w:r w:rsidR="005C3507">
        <w:lastRenderedPageBreak/>
        <w:t xml:space="preserve">ground truth, or the </w:t>
      </w:r>
      <w:r w:rsidR="00467CB5">
        <w:t>labelled</w:t>
      </w:r>
      <w:r w:rsidR="005C3507">
        <w:t xml:space="preserve"> test data used to define the target for both error margins (Figure 4, right).</w:t>
      </w:r>
    </w:p>
    <w:p w14:paraId="2F6D34FB" w14:textId="62E97DFA" w:rsidR="00DE1F3C" w:rsidRDefault="0040329C" w:rsidP="00DE1F3C">
      <w:pPr>
        <w:jc w:val="both"/>
      </w:pPr>
      <w:r>
        <w:rPr>
          <w:noProof/>
        </w:rPr>
        <mc:AlternateContent>
          <mc:Choice Requires="wps">
            <w:drawing>
              <wp:anchor distT="0" distB="0" distL="114300" distR="114300" simplePos="0" relativeHeight="251662336" behindDoc="0" locked="0" layoutInCell="1" allowOverlap="1" wp14:anchorId="13A07A87" wp14:editId="44BFE7F8">
                <wp:simplePos x="0" y="0"/>
                <wp:positionH relativeFrom="column">
                  <wp:posOffset>0</wp:posOffset>
                </wp:positionH>
                <wp:positionV relativeFrom="paragraph">
                  <wp:posOffset>845185</wp:posOffset>
                </wp:positionV>
                <wp:extent cx="208470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07A87" id="_x0000_t202" coordsize="21600,21600" o:spt="202" path="m,l,21600r21600,l21600,xe">
                <v:stroke joinstyle="miter"/>
                <v:path gradientshapeok="t" o:connecttype="rect"/>
              </v:shapetype>
              <v:shape id="Text Box 11" o:spid="_x0000_s1026" type="#_x0000_t202" style="position:absolute;left:0;text-align:left;margin-left:0;margin-top:66.55pt;width:16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" stroked="f">
                <v:textbox style="mso-fit-shape-to-text:t" inset="0,0,0,0">
                  <w:txbxContent>
                    <w:p w14:paraId="218F8218" w14:textId="378D01D9" w:rsidR="0040329C" w:rsidRPr="0056033D" w:rsidRDefault="0040329C" w:rsidP="0040329C">
                      <w:pPr>
                        <w:pStyle w:val="Caption"/>
                        <w:jc w:val="center"/>
                        <w:rPr>
                          <w:noProof/>
                          <w:sz w:val="20"/>
                          <w:szCs w:val="20"/>
                        </w:rPr>
                      </w:pPr>
                      <w:r>
                        <w:t xml:space="preserve">Figure </w:t>
                      </w:r>
                      <w:fldSimple w:instr=" SEQ Figure \* ARABIC ">
                        <w:r w:rsidR="0082140E">
                          <w:rPr>
                            <w:noProof/>
                          </w:rPr>
                          <w:t>5</w:t>
                        </w:r>
                      </w:fldSimple>
                      <w:r>
                        <w:t xml:space="preserve"> - Model Applicability, comparison</w:t>
                      </w:r>
                    </w:p>
                  </w:txbxContent>
                </v:textbox>
                <w10:wrap type="square"/>
              </v:shape>
            </w:pict>
          </mc:Fallback>
        </mc:AlternateContent>
      </w:r>
      <w:r w:rsidR="00346165">
        <w:rPr>
          <w:noProof/>
        </w:rPr>
        <w:drawing>
          <wp:anchor distT="0" distB="0" distL="114300" distR="114300" simplePos="0" relativeHeight="251660288" behindDoc="0" locked="0" layoutInCell="1" allowOverlap="1" wp14:anchorId="0049A38A" wp14:editId="77ECB62F">
            <wp:simplePos x="0" y="0"/>
            <wp:positionH relativeFrom="column">
              <wp:posOffset>0</wp:posOffset>
            </wp:positionH>
            <wp:positionV relativeFrom="paragraph">
              <wp:posOffset>1905</wp:posOffset>
            </wp:positionV>
            <wp:extent cx="2085045" cy="786214"/>
            <wp:effectExtent l="0" t="0" r="0" b="1270"/>
            <wp:wrapSquare wrapText="bothSides"/>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5045" cy="786214"/>
                    </a:xfrm>
                    <a:prstGeom prst="rect">
                      <a:avLst/>
                    </a:prstGeom>
                  </pic:spPr>
                </pic:pic>
              </a:graphicData>
            </a:graphic>
            <wp14:sizeRelH relativeFrom="page">
              <wp14:pctWidth>0</wp14:pctWidth>
            </wp14:sizeRelH>
            <wp14:sizeRelV relativeFrom="page">
              <wp14:pctHeight>0</wp14:pctHeight>
            </wp14:sizeRelV>
          </wp:anchor>
        </w:drawing>
      </w:r>
      <w:r w:rsidR="00BF1CF0">
        <w:tab/>
        <w:t xml:space="preserve">As follows, our hypothesis for using a machine learning model hinges on the qualitative gains in terms of </w:t>
      </w:r>
      <w:proofErr w:type="spellStart"/>
      <w:r w:rsidR="0071364B">
        <w:t>minimising</w:t>
      </w:r>
      <w:proofErr w:type="spellEnd"/>
      <w:r w:rsidR="00BF1CF0">
        <w:t xml:space="preserve"> the residual errors in comparison with not using </w:t>
      </w:r>
      <w:r w:rsidR="00467CB5">
        <w:t>a</w:t>
      </w:r>
      <w:r w:rsidR="007508F0">
        <w:t>ny</w:t>
      </w:r>
      <w:r w:rsidR="00467CB5">
        <w:t xml:space="preserve"> </w:t>
      </w:r>
      <w:r w:rsidR="00BF1CF0">
        <w:t xml:space="preserve">type of estimation, but also on the quantitative assessments of the structural differences between both cases (Figure 5). </w:t>
      </w:r>
    </w:p>
    <w:p w14:paraId="7BAA4A21" w14:textId="2600C569" w:rsidR="00346165" w:rsidRDefault="00346165" w:rsidP="008662EE">
      <w:r>
        <w:rPr>
          <w:noProof/>
        </w:rPr>
        <w:drawing>
          <wp:inline distT="0" distB="0" distL="0" distR="0" wp14:anchorId="27FC6F2B" wp14:editId="2D485EE2">
            <wp:extent cx="3063240" cy="204216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1CE318F" w14:textId="36C77054" w:rsidR="00C424E9" w:rsidRDefault="00207C3B" w:rsidP="00C424E9">
      <w:pPr>
        <w:rPr>
          <w:sz w:val="18"/>
          <w:szCs w:val="18"/>
        </w:rPr>
      </w:pPr>
      <w:proofErr w:type="gramStart"/>
      <w:r>
        <w:rPr>
          <w:b/>
          <w:bCs/>
          <w:sz w:val="18"/>
          <w:szCs w:val="18"/>
        </w:rPr>
        <w:t>W(</w:t>
      </w:r>
      <w:proofErr w:type="gramEnd"/>
      <w:r>
        <w:rPr>
          <w:b/>
          <w:bCs/>
          <w:sz w:val="18"/>
          <w:szCs w:val="18"/>
        </w:rPr>
        <w:t xml:space="preserve">1) </w:t>
      </w:r>
      <w:r w:rsidR="00C424E9" w:rsidRPr="00C424E9">
        <w:rPr>
          <w:b/>
          <w:bCs/>
          <w:sz w:val="18"/>
          <w:szCs w:val="18"/>
        </w:rPr>
        <w:t>P(1857):</w:t>
      </w:r>
      <w:r w:rsidR="00C424E9">
        <w:rPr>
          <w:sz w:val="18"/>
          <w:szCs w:val="18"/>
        </w:rPr>
        <w:tab/>
      </w:r>
      <w:r w:rsidR="00C424E9" w:rsidRPr="00C424E9">
        <w:rPr>
          <w:sz w:val="18"/>
          <w:szCs w:val="18"/>
        </w:rPr>
        <w:t xml:space="preserve">MSE (baseline) </w:t>
      </w:r>
      <w:r w:rsidR="00E021DB">
        <w:rPr>
          <w:sz w:val="18"/>
          <w:szCs w:val="18"/>
        </w:rPr>
        <w:tab/>
      </w:r>
      <w:r w:rsidR="00E021DB">
        <w:rPr>
          <w:sz w:val="18"/>
          <w:szCs w:val="18"/>
        </w:rPr>
        <w:tab/>
      </w:r>
      <w:r w:rsidR="00E021DB" w:rsidRPr="00E021DB">
        <w:rPr>
          <w:sz w:val="18"/>
          <w:szCs w:val="18"/>
        </w:rPr>
        <w:t>5.58394734</w:t>
      </w:r>
    </w:p>
    <w:p w14:paraId="39AE4FDC" w14:textId="02C100C4" w:rsidR="00C424E9" w:rsidRPr="00C424E9" w:rsidRDefault="00C424E9" w:rsidP="00C424E9">
      <w:pPr>
        <w:ind w:left="1440"/>
        <w:rPr>
          <w:sz w:val="18"/>
          <w:szCs w:val="18"/>
        </w:rPr>
      </w:pPr>
      <w:r w:rsidRPr="00C424E9">
        <w:rPr>
          <w:sz w:val="18"/>
          <w:szCs w:val="18"/>
        </w:rPr>
        <w:t xml:space="preserve">MSE (cnn1d) </w:t>
      </w:r>
      <w:r w:rsidR="00E021DB">
        <w:rPr>
          <w:sz w:val="18"/>
          <w:szCs w:val="18"/>
        </w:rPr>
        <w:tab/>
      </w:r>
      <w:r w:rsidR="00E021DB">
        <w:rPr>
          <w:sz w:val="18"/>
          <w:szCs w:val="18"/>
        </w:rPr>
        <w:tab/>
      </w:r>
      <w:r w:rsidR="00E021DB" w:rsidRPr="00E021DB">
        <w:rPr>
          <w:sz w:val="18"/>
          <w:szCs w:val="18"/>
        </w:rPr>
        <w:t>1.44245937</w:t>
      </w:r>
    </w:p>
    <w:p w14:paraId="06A20592" w14:textId="248C2A7B" w:rsidR="00C424E9" w:rsidRDefault="00231856" w:rsidP="00C424E9">
      <w:pPr>
        <w:ind w:left="720" w:firstLine="720"/>
        <w:rPr>
          <w:sz w:val="18"/>
          <w:szCs w:val="18"/>
        </w:rPr>
      </w:pPr>
      <w:r>
        <w:rPr>
          <w:sz w:val="18"/>
          <w:szCs w:val="18"/>
        </w:rPr>
        <w:t>p</w:t>
      </w:r>
      <w:r w:rsidR="00C424E9">
        <w:rPr>
          <w:sz w:val="18"/>
          <w:szCs w:val="18"/>
        </w:rPr>
        <w:t>-</w:t>
      </w:r>
      <w:r>
        <w:rPr>
          <w:sz w:val="18"/>
          <w:szCs w:val="18"/>
        </w:rPr>
        <w:t>v</w:t>
      </w:r>
      <w:r w:rsidR="00C424E9" w:rsidRPr="00C424E9">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C424E9" w:rsidRPr="00C424E9">
        <w:rPr>
          <w:sz w:val="18"/>
          <w:szCs w:val="18"/>
        </w:rPr>
        <w:t>)</w:t>
      </w:r>
      <w:r>
        <w:rPr>
          <w:sz w:val="18"/>
          <w:szCs w:val="18"/>
        </w:rPr>
        <w:tab/>
      </w:r>
      <w:r>
        <w:rPr>
          <w:sz w:val="18"/>
          <w:szCs w:val="18"/>
        </w:rPr>
        <w:tab/>
      </w:r>
      <w:r w:rsidR="00E021DB" w:rsidRPr="00E021DB">
        <w:rPr>
          <w:sz w:val="18"/>
          <w:szCs w:val="18"/>
        </w:rPr>
        <w:t>0.00000003</w:t>
      </w:r>
    </w:p>
    <w:p w14:paraId="304679F7" w14:textId="77777777" w:rsidR="00272940" w:rsidRDefault="00272940" w:rsidP="00C424E9">
      <w:pPr>
        <w:ind w:left="720" w:firstLine="720"/>
        <w:rPr>
          <w:sz w:val="18"/>
          <w:szCs w:val="18"/>
        </w:rPr>
      </w:pPr>
    </w:p>
    <w:p w14:paraId="71D0C1CA" w14:textId="2D2C9F11" w:rsidR="008A586A" w:rsidRDefault="008A586A" w:rsidP="008A586A">
      <w:pPr>
        <w:pStyle w:val="Caption"/>
        <w:jc w:val="center"/>
      </w:pPr>
      <w:r>
        <w:t xml:space="preserve">Figure </w:t>
      </w:r>
      <w:fldSimple w:instr=" SEQ Figure \* ARABIC ">
        <w:r w:rsidR="0082140E">
          <w:rPr>
            <w:noProof/>
          </w:rPr>
          <w:t>6</w:t>
        </w:r>
      </w:fldSimple>
      <w:r>
        <w:t xml:space="preserve"> - Model Applicability, experiment's output</w:t>
      </w:r>
    </w:p>
    <w:p w14:paraId="663762DD" w14:textId="75D8AC59" w:rsidR="0013485E" w:rsidRDefault="0013485E" w:rsidP="00C424E9">
      <w:pPr>
        <w:ind w:left="720" w:firstLine="720"/>
        <w:rPr>
          <w:sz w:val="18"/>
          <w:szCs w:val="18"/>
        </w:rPr>
      </w:pPr>
    </w:p>
    <w:p w14:paraId="4846BD31" w14:textId="6AF80363" w:rsidR="0013485E" w:rsidRPr="00C424E9" w:rsidRDefault="0013485E" w:rsidP="0013485E">
      <w:pPr>
        <w:ind w:firstLine="720"/>
        <w:jc w:val="both"/>
        <w:rPr>
          <w:sz w:val="18"/>
          <w:szCs w:val="18"/>
        </w:rPr>
      </w:pPr>
      <w:r>
        <w:t xml:space="preserve">Figure 6 provides the output generated by the experiment. At </w:t>
      </w:r>
      <w:r w:rsidR="007508F0">
        <w:t xml:space="preserve">training </w:t>
      </w:r>
      <w:r>
        <w:t xml:space="preserve">window </w:t>
      </w:r>
      <w:r w:rsidR="0071364B">
        <w:t>one</w:t>
      </w:r>
      <w:r>
        <w:t xml:space="preserve"> prediction</w:t>
      </w:r>
      <w:r w:rsidR="007508F0">
        <w:t xml:space="preserve"> number</w:t>
      </w:r>
      <w:r>
        <w:t xml:space="preserve"> 1857 of this batch, 48 5-minute readings (blue line) were given as an input for prediction. The baseline (red line) used the last reading as the result of every position (the persistence model</w:t>
      </w:r>
      <w:r w:rsidR="007508F0">
        <w:t>, or baseline</w:t>
      </w:r>
      <w:r>
        <w:t xml:space="preserve">). There were 13 5-minute interval predictions (orange line) adding up to a little over 1 hour (ANN model output). Both cases were compared with the 13-ground truth points (cyan line) with significant differences in error margins </w:t>
      </w:r>
      <w:proofErr w:type="spellStart"/>
      <w:r>
        <w:t>favo</w:t>
      </w:r>
      <w:r w:rsidR="00154205">
        <w:t>u</w:t>
      </w:r>
      <w:r>
        <w:t>ring</w:t>
      </w:r>
      <w:proofErr w:type="spellEnd"/>
      <w:r>
        <w:t xml:space="preserve"> the estimator. According to the student-t statistic</w:t>
      </w:r>
      <w:r w:rsidR="00030C14">
        <w:t>,</w:t>
      </w:r>
      <w:r>
        <w:t xml:space="preserve"> there are enough structural differences between the baseline and the estimator to accept that they are not the same model with </w:t>
      </w:r>
      <w:r w:rsidR="0071364B">
        <w:t xml:space="preserve">high </w:t>
      </w:r>
      <w:r>
        <w:t>confidence (p-value).</w:t>
      </w:r>
    </w:p>
    <w:p w14:paraId="49E563D4" w14:textId="38AB9CB8" w:rsidR="005E3DBC" w:rsidRDefault="008662EE" w:rsidP="008662EE">
      <w:pPr>
        <w:pStyle w:val="Heading1"/>
      </w:pPr>
      <w:r>
        <w:t>V</w:t>
      </w:r>
      <w:r w:rsidR="000E39D5">
        <w:t>I</w:t>
      </w:r>
      <w:r w:rsidRPr="003F56E3">
        <w:t xml:space="preserve">. </w:t>
      </w:r>
      <w:r>
        <w:t>Discussion</w:t>
      </w:r>
    </w:p>
    <w:p w14:paraId="2EE25D73" w14:textId="22FFF284" w:rsidR="008662EE" w:rsidRDefault="008662EE" w:rsidP="008662EE"/>
    <w:tbl>
      <w:tblPr>
        <w:tblStyle w:val="TableGrid"/>
        <w:tblW w:w="0" w:type="auto"/>
        <w:jc w:val="center"/>
        <w:tblLook w:val="04A0" w:firstRow="1" w:lastRow="0" w:firstColumn="1" w:lastColumn="0" w:noHBand="0" w:noVBand="1"/>
      </w:tblPr>
      <w:tblGrid>
        <w:gridCol w:w="988"/>
        <w:gridCol w:w="1275"/>
        <w:gridCol w:w="1347"/>
        <w:gridCol w:w="1204"/>
      </w:tblGrid>
      <w:tr w:rsidR="00CB7E16" w:rsidRPr="00D2397A" w14:paraId="651B4CE1" w14:textId="77777777" w:rsidTr="00D2397A">
        <w:trPr>
          <w:jc w:val="center"/>
        </w:trPr>
        <w:tc>
          <w:tcPr>
            <w:tcW w:w="988" w:type="dxa"/>
            <w:tcBorders>
              <w:bottom w:val="single" w:sz="4" w:space="0" w:color="auto"/>
            </w:tcBorders>
          </w:tcPr>
          <w:p w14:paraId="520B51CA" w14:textId="316FDEC4" w:rsidR="00CB7E16" w:rsidRPr="00D2397A" w:rsidRDefault="00CB7E16" w:rsidP="008662EE">
            <w:pPr>
              <w:rPr>
                <w:b/>
                <w:bCs/>
                <w:sz w:val="18"/>
                <w:szCs w:val="18"/>
              </w:rPr>
            </w:pPr>
            <w:r w:rsidRPr="00D2397A">
              <w:rPr>
                <w:b/>
                <w:bCs/>
                <w:sz w:val="18"/>
                <w:szCs w:val="18"/>
              </w:rPr>
              <w:t>Structure</w:t>
            </w:r>
          </w:p>
        </w:tc>
        <w:tc>
          <w:tcPr>
            <w:tcW w:w="1275" w:type="dxa"/>
            <w:tcBorders>
              <w:bottom w:val="single" w:sz="4" w:space="0" w:color="auto"/>
              <w:right w:val="nil"/>
            </w:tcBorders>
          </w:tcPr>
          <w:p w14:paraId="174D90B8" w14:textId="71907083" w:rsidR="00CB7E16" w:rsidRPr="00D2397A" w:rsidRDefault="00CB7E16" w:rsidP="008662EE">
            <w:pPr>
              <w:rPr>
                <w:b/>
                <w:bCs/>
                <w:sz w:val="18"/>
                <w:szCs w:val="18"/>
              </w:rPr>
            </w:pPr>
            <w:r w:rsidRPr="00D2397A">
              <w:rPr>
                <w:b/>
                <w:bCs/>
                <w:sz w:val="18"/>
                <w:szCs w:val="18"/>
              </w:rPr>
              <w:t>Train T. (s)</w:t>
            </w:r>
          </w:p>
        </w:tc>
        <w:tc>
          <w:tcPr>
            <w:tcW w:w="1347" w:type="dxa"/>
            <w:tcBorders>
              <w:left w:val="nil"/>
              <w:bottom w:val="single" w:sz="4" w:space="0" w:color="auto"/>
              <w:right w:val="nil"/>
            </w:tcBorders>
          </w:tcPr>
          <w:p w14:paraId="15B5B09F" w14:textId="07BC33DA" w:rsidR="00CB7E16" w:rsidRPr="00D2397A" w:rsidRDefault="00CB7E16" w:rsidP="008662EE">
            <w:pPr>
              <w:rPr>
                <w:b/>
                <w:bCs/>
                <w:sz w:val="18"/>
                <w:szCs w:val="18"/>
              </w:rPr>
            </w:pPr>
            <w:r w:rsidRPr="00D2397A">
              <w:rPr>
                <w:b/>
                <w:bCs/>
                <w:sz w:val="18"/>
                <w:szCs w:val="18"/>
              </w:rPr>
              <w:t>Pred. T. (s)</w:t>
            </w:r>
          </w:p>
        </w:tc>
        <w:tc>
          <w:tcPr>
            <w:tcW w:w="1204" w:type="dxa"/>
            <w:tcBorders>
              <w:left w:val="nil"/>
              <w:bottom w:val="single" w:sz="4" w:space="0" w:color="auto"/>
            </w:tcBorders>
          </w:tcPr>
          <w:p w14:paraId="76458C11" w14:textId="17C174C3" w:rsidR="00CB7E16" w:rsidRPr="00D2397A" w:rsidRDefault="00CB7E16" w:rsidP="008662EE">
            <w:pPr>
              <w:rPr>
                <w:b/>
                <w:bCs/>
                <w:sz w:val="18"/>
                <w:szCs w:val="18"/>
              </w:rPr>
            </w:pPr>
            <w:r w:rsidRPr="00D2397A">
              <w:rPr>
                <w:b/>
                <w:bCs/>
                <w:sz w:val="18"/>
                <w:szCs w:val="18"/>
              </w:rPr>
              <w:t>Size (KB)</w:t>
            </w:r>
          </w:p>
        </w:tc>
      </w:tr>
      <w:tr w:rsidR="00CB7E16" w:rsidRPr="00D2397A" w14:paraId="60B6E824" w14:textId="77777777" w:rsidTr="00231856">
        <w:trPr>
          <w:jc w:val="center"/>
        </w:trPr>
        <w:tc>
          <w:tcPr>
            <w:tcW w:w="988" w:type="dxa"/>
            <w:tcBorders>
              <w:bottom w:val="nil"/>
            </w:tcBorders>
          </w:tcPr>
          <w:p w14:paraId="6361325F" w14:textId="5F18DE69" w:rsidR="00CB7E16" w:rsidRPr="00D2397A" w:rsidRDefault="00CB7E16" w:rsidP="008662EE">
            <w:pPr>
              <w:rPr>
                <w:sz w:val="18"/>
                <w:szCs w:val="18"/>
              </w:rPr>
            </w:pPr>
            <w:r w:rsidRPr="00D2397A">
              <w:rPr>
                <w:sz w:val="18"/>
                <w:szCs w:val="18"/>
              </w:rPr>
              <w:t>FFNN</w:t>
            </w:r>
          </w:p>
        </w:tc>
        <w:tc>
          <w:tcPr>
            <w:tcW w:w="1275" w:type="dxa"/>
            <w:tcBorders>
              <w:bottom w:val="nil"/>
              <w:right w:val="nil"/>
            </w:tcBorders>
          </w:tcPr>
          <w:p w14:paraId="22D6502A" w14:textId="04258735" w:rsidR="00CB7E16" w:rsidRPr="00D2397A" w:rsidRDefault="00CB7E16" w:rsidP="003502EE">
            <w:pPr>
              <w:jc w:val="right"/>
              <w:rPr>
                <w:sz w:val="18"/>
                <w:szCs w:val="18"/>
              </w:rPr>
            </w:pPr>
            <w:r w:rsidRPr="00D2397A">
              <w:rPr>
                <w:sz w:val="18"/>
                <w:szCs w:val="18"/>
              </w:rPr>
              <w:t>28.5</w:t>
            </w:r>
            <w:r w:rsidR="003502EE" w:rsidRPr="00D2397A">
              <w:rPr>
                <w:sz w:val="18"/>
                <w:szCs w:val="18"/>
              </w:rPr>
              <w:t>00</w:t>
            </w:r>
          </w:p>
        </w:tc>
        <w:tc>
          <w:tcPr>
            <w:tcW w:w="1347" w:type="dxa"/>
            <w:tcBorders>
              <w:left w:val="nil"/>
              <w:bottom w:val="nil"/>
              <w:right w:val="nil"/>
            </w:tcBorders>
          </w:tcPr>
          <w:p w14:paraId="12CE1315" w14:textId="5EEC94C8" w:rsidR="00CB7E16" w:rsidRPr="00D2397A" w:rsidRDefault="00CB7E16" w:rsidP="003502EE">
            <w:pPr>
              <w:jc w:val="right"/>
              <w:rPr>
                <w:sz w:val="18"/>
                <w:szCs w:val="18"/>
              </w:rPr>
            </w:pPr>
            <w:r w:rsidRPr="00D2397A">
              <w:rPr>
                <w:sz w:val="18"/>
                <w:szCs w:val="18"/>
              </w:rPr>
              <w:t>0.205</w:t>
            </w:r>
          </w:p>
        </w:tc>
        <w:tc>
          <w:tcPr>
            <w:tcW w:w="1204" w:type="dxa"/>
            <w:tcBorders>
              <w:left w:val="nil"/>
              <w:bottom w:val="nil"/>
            </w:tcBorders>
          </w:tcPr>
          <w:p w14:paraId="06BECC79" w14:textId="04A48DC3" w:rsidR="00CB7E16" w:rsidRPr="00D2397A" w:rsidRDefault="00CB7E16" w:rsidP="003502EE">
            <w:pPr>
              <w:jc w:val="right"/>
              <w:rPr>
                <w:sz w:val="18"/>
                <w:szCs w:val="18"/>
              </w:rPr>
            </w:pPr>
            <w:r w:rsidRPr="00D2397A">
              <w:rPr>
                <w:sz w:val="18"/>
                <w:szCs w:val="18"/>
              </w:rPr>
              <w:t>1</w:t>
            </w:r>
            <w:r w:rsidR="00C13197">
              <w:rPr>
                <w:sz w:val="18"/>
                <w:szCs w:val="18"/>
              </w:rPr>
              <w:t>3</w:t>
            </w:r>
            <w:r w:rsidRPr="00D2397A">
              <w:rPr>
                <w:sz w:val="18"/>
                <w:szCs w:val="18"/>
              </w:rPr>
              <w:t>.254</w:t>
            </w:r>
          </w:p>
        </w:tc>
      </w:tr>
      <w:tr w:rsidR="00CB7E16" w:rsidRPr="00D2397A" w14:paraId="76F0945D" w14:textId="77777777" w:rsidTr="00231856">
        <w:trPr>
          <w:jc w:val="center"/>
        </w:trPr>
        <w:tc>
          <w:tcPr>
            <w:tcW w:w="988" w:type="dxa"/>
            <w:tcBorders>
              <w:top w:val="nil"/>
              <w:bottom w:val="nil"/>
            </w:tcBorders>
          </w:tcPr>
          <w:p w14:paraId="63F49108" w14:textId="53813FA5" w:rsidR="00CB7E16" w:rsidRPr="00D2397A" w:rsidRDefault="00CB7E16" w:rsidP="008662EE">
            <w:pPr>
              <w:rPr>
                <w:sz w:val="18"/>
                <w:szCs w:val="18"/>
              </w:rPr>
            </w:pPr>
            <w:r w:rsidRPr="00D2397A">
              <w:rPr>
                <w:sz w:val="18"/>
                <w:szCs w:val="18"/>
              </w:rPr>
              <w:t>GRU</w:t>
            </w:r>
          </w:p>
        </w:tc>
        <w:tc>
          <w:tcPr>
            <w:tcW w:w="1275" w:type="dxa"/>
            <w:tcBorders>
              <w:top w:val="nil"/>
              <w:bottom w:val="nil"/>
              <w:right w:val="nil"/>
            </w:tcBorders>
          </w:tcPr>
          <w:p w14:paraId="386CC596" w14:textId="3FE739AC" w:rsidR="00CB7E16" w:rsidRPr="00D2397A" w:rsidRDefault="003502EE" w:rsidP="003502EE">
            <w:pPr>
              <w:jc w:val="right"/>
              <w:rPr>
                <w:sz w:val="18"/>
                <w:szCs w:val="18"/>
              </w:rPr>
            </w:pPr>
            <w:r w:rsidRPr="00D2397A">
              <w:rPr>
                <w:sz w:val="18"/>
                <w:szCs w:val="18"/>
              </w:rPr>
              <w:t>1174.000</w:t>
            </w:r>
          </w:p>
        </w:tc>
        <w:tc>
          <w:tcPr>
            <w:tcW w:w="1347" w:type="dxa"/>
            <w:tcBorders>
              <w:top w:val="nil"/>
              <w:left w:val="nil"/>
              <w:bottom w:val="nil"/>
              <w:right w:val="nil"/>
            </w:tcBorders>
            <w:shd w:val="clear" w:color="auto" w:fill="FBE4D5" w:themeFill="accent2" w:themeFillTint="33"/>
          </w:tcPr>
          <w:p w14:paraId="3FE4D1A0" w14:textId="08AF6DCA" w:rsidR="00CB7E16" w:rsidRPr="00D2397A" w:rsidRDefault="003502EE" w:rsidP="003502EE">
            <w:pPr>
              <w:jc w:val="right"/>
              <w:rPr>
                <w:sz w:val="18"/>
                <w:szCs w:val="18"/>
              </w:rPr>
            </w:pPr>
            <w:r w:rsidRPr="00D2397A">
              <w:rPr>
                <w:sz w:val="18"/>
                <w:szCs w:val="18"/>
              </w:rPr>
              <w:t>1.760</w:t>
            </w:r>
          </w:p>
        </w:tc>
        <w:tc>
          <w:tcPr>
            <w:tcW w:w="1204" w:type="dxa"/>
            <w:tcBorders>
              <w:top w:val="nil"/>
              <w:left w:val="nil"/>
              <w:bottom w:val="nil"/>
            </w:tcBorders>
            <w:shd w:val="clear" w:color="auto" w:fill="FFFFFF" w:themeFill="background1"/>
          </w:tcPr>
          <w:p w14:paraId="484AC190" w14:textId="46283279" w:rsidR="00CB7E16" w:rsidRPr="00D2397A" w:rsidRDefault="003502EE" w:rsidP="003502EE">
            <w:pPr>
              <w:jc w:val="right"/>
              <w:rPr>
                <w:sz w:val="18"/>
                <w:szCs w:val="18"/>
              </w:rPr>
            </w:pPr>
            <w:r w:rsidRPr="00D2397A">
              <w:rPr>
                <w:sz w:val="18"/>
                <w:szCs w:val="18"/>
              </w:rPr>
              <w:t>663.670</w:t>
            </w:r>
            <w:r w:rsidR="004A2924">
              <w:rPr>
                <w:sz w:val="18"/>
                <w:szCs w:val="18"/>
              </w:rPr>
              <w:t>*</w:t>
            </w:r>
          </w:p>
        </w:tc>
      </w:tr>
      <w:tr w:rsidR="00CB7E16" w:rsidRPr="00D2397A" w14:paraId="682DE1CE" w14:textId="77777777" w:rsidTr="00231856">
        <w:trPr>
          <w:jc w:val="center"/>
        </w:trPr>
        <w:tc>
          <w:tcPr>
            <w:tcW w:w="988" w:type="dxa"/>
            <w:tcBorders>
              <w:top w:val="nil"/>
              <w:bottom w:val="nil"/>
            </w:tcBorders>
          </w:tcPr>
          <w:p w14:paraId="0678B8F0" w14:textId="5F52430E" w:rsidR="00CB7E16" w:rsidRPr="00D2397A" w:rsidRDefault="00CB7E16" w:rsidP="008662EE">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605B7A1F" w14:textId="14DC5BF9" w:rsidR="00CB7E16" w:rsidRPr="00D2397A" w:rsidRDefault="003502EE" w:rsidP="003502EE">
            <w:pPr>
              <w:jc w:val="right"/>
              <w:rPr>
                <w:sz w:val="18"/>
                <w:szCs w:val="18"/>
              </w:rPr>
            </w:pPr>
            <w:r w:rsidRPr="00D2397A">
              <w:rPr>
                <w:sz w:val="18"/>
                <w:szCs w:val="18"/>
              </w:rPr>
              <w:t>1731.000</w:t>
            </w:r>
          </w:p>
        </w:tc>
        <w:tc>
          <w:tcPr>
            <w:tcW w:w="1347" w:type="dxa"/>
            <w:tcBorders>
              <w:top w:val="nil"/>
              <w:left w:val="nil"/>
              <w:bottom w:val="nil"/>
              <w:right w:val="nil"/>
            </w:tcBorders>
          </w:tcPr>
          <w:p w14:paraId="3068D42D" w14:textId="781B7395" w:rsidR="00CB7E16" w:rsidRPr="00D2397A" w:rsidRDefault="003502EE" w:rsidP="003502EE">
            <w:pPr>
              <w:jc w:val="right"/>
              <w:rPr>
                <w:sz w:val="18"/>
                <w:szCs w:val="18"/>
              </w:rPr>
            </w:pPr>
            <w:r w:rsidRPr="00D2397A">
              <w:rPr>
                <w:sz w:val="18"/>
                <w:szCs w:val="18"/>
              </w:rPr>
              <w:t>1.580</w:t>
            </w:r>
          </w:p>
        </w:tc>
        <w:tc>
          <w:tcPr>
            <w:tcW w:w="1204" w:type="dxa"/>
            <w:tcBorders>
              <w:top w:val="nil"/>
              <w:left w:val="nil"/>
              <w:bottom w:val="nil"/>
            </w:tcBorders>
            <w:shd w:val="clear" w:color="auto" w:fill="FBE4D5" w:themeFill="accent2" w:themeFillTint="33"/>
          </w:tcPr>
          <w:p w14:paraId="40A07ED1" w14:textId="0F253323" w:rsidR="00CB7E16" w:rsidRPr="00D2397A" w:rsidRDefault="003502EE" w:rsidP="003502EE">
            <w:pPr>
              <w:jc w:val="right"/>
              <w:rPr>
                <w:sz w:val="18"/>
                <w:szCs w:val="18"/>
              </w:rPr>
            </w:pPr>
            <w:r w:rsidRPr="00D2397A">
              <w:rPr>
                <w:sz w:val="18"/>
                <w:szCs w:val="18"/>
              </w:rPr>
              <w:t>768.541</w:t>
            </w:r>
            <w:r w:rsidR="004A2924">
              <w:rPr>
                <w:sz w:val="18"/>
                <w:szCs w:val="18"/>
              </w:rPr>
              <w:t>*</w:t>
            </w:r>
          </w:p>
        </w:tc>
      </w:tr>
      <w:tr w:rsidR="00CB7E16" w:rsidRPr="00D2397A" w14:paraId="67932376" w14:textId="77777777" w:rsidTr="00D2397A">
        <w:trPr>
          <w:jc w:val="center"/>
        </w:trPr>
        <w:tc>
          <w:tcPr>
            <w:tcW w:w="988" w:type="dxa"/>
            <w:tcBorders>
              <w:top w:val="nil"/>
            </w:tcBorders>
          </w:tcPr>
          <w:p w14:paraId="433C796C" w14:textId="5F98FD2C" w:rsidR="00CB7E16" w:rsidRPr="00D2397A" w:rsidRDefault="00CB7E16" w:rsidP="008662EE">
            <w:pPr>
              <w:rPr>
                <w:sz w:val="18"/>
                <w:szCs w:val="18"/>
              </w:rPr>
            </w:pPr>
            <w:r w:rsidRPr="00D2397A">
              <w:rPr>
                <w:sz w:val="18"/>
                <w:szCs w:val="18"/>
              </w:rPr>
              <w:t>C</w:t>
            </w:r>
            <w:r w:rsidR="00A8590F">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020AF90F" w14:textId="4D4B558C" w:rsidR="00CB7E16" w:rsidRPr="00D2397A" w:rsidRDefault="003502EE" w:rsidP="003502EE">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7A01593C" w14:textId="10EC5615" w:rsidR="00CB7E16" w:rsidRPr="00D2397A" w:rsidRDefault="003502EE" w:rsidP="003502EE">
            <w:pPr>
              <w:jc w:val="right"/>
              <w:rPr>
                <w:sz w:val="18"/>
                <w:szCs w:val="18"/>
              </w:rPr>
            </w:pPr>
            <w:r w:rsidRPr="00D2397A">
              <w:rPr>
                <w:sz w:val="18"/>
                <w:szCs w:val="18"/>
              </w:rPr>
              <w:t>0.166</w:t>
            </w:r>
          </w:p>
        </w:tc>
        <w:tc>
          <w:tcPr>
            <w:tcW w:w="1204" w:type="dxa"/>
            <w:tcBorders>
              <w:top w:val="nil"/>
              <w:left w:val="nil"/>
            </w:tcBorders>
            <w:shd w:val="clear" w:color="auto" w:fill="E2EFD9" w:themeFill="accent6" w:themeFillTint="33"/>
          </w:tcPr>
          <w:p w14:paraId="20C95A1F" w14:textId="6AAB6142" w:rsidR="00CB7E16" w:rsidRPr="00D2397A" w:rsidRDefault="003502EE" w:rsidP="003502EE">
            <w:pPr>
              <w:jc w:val="right"/>
              <w:rPr>
                <w:sz w:val="18"/>
                <w:szCs w:val="18"/>
              </w:rPr>
            </w:pPr>
            <w:r w:rsidRPr="00D2397A">
              <w:rPr>
                <w:sz w:val="18"/>
                <w:szCs w:val="18"/>
              </w:rPr>
              <w:t>1</w:t>
            </w:r>
            <w:r w:rsidR="00C13197">
              <w:rPr>
                <w:sz w:val="18"/>
                <w:szCs w:val="18"/>
              </w:rPr>
              <w:t>1</w:t>
            </w:r>
            <w:r w:rsidRPr="00D2397A">
              <w:rPr>
                <w:sz w:val="18"/>
                <w:szCs w:val="18"/>
              </w:rPr>
              <w:t>.573</w:t>
            </w:r>
          </w:p>
        </w:tc>
      </w:tr>
    </w:tbl>
    <w:p w14:paraId="5007838D" w14:textId="71CB86A0" w:rsidR="005D1BD6" w:rsidRDefault="001A0B20" w:rsidP="001A0B20">
      <w:pPr>
        <w:pStyle w:val="Caption"/>
        <w:jc w:val="center"/>
      </w:pPr>
      <w:r>
        <w:t xml:space="preserve">Table </w:t>
      </w:r>
      <w:fldSimple w:instr=" SEQ Table \* ARABIC ">
        <w:r>
          <w:rPr>
            <w:noProof/>
          </w:rPr>
          <w:t>1</w:t>
        </w:r>
      </w:fldSimple>
      <w:r>
        <w:t xml:space="preserve"> - Time and Space analysis</w:t>
      </w:r>
      <w:r w:rsidR="003B0116">
        <w:t xml:space="preserve"> of individualized models</w:t>
      </w:r>
    </w:p>
    <w:p w14:paraId="68C1B0D0" w14:textId="77777777" w:rsidR="001A0B20" w:rsidRDefault="001A0B20" w:rsidP="008662EE"/>
    <w:p w14:paraId="710EEA6B" w14:textId="1FD4743C" w:rsidR="00B86992" w:rsidRDefault="00B86992" w:rsidP="00B86992">
      <w:pPr>
        <w:jc w:val="both"/>
      </w:pPr>
      <w:r>
        <w:tab/>
        <w:t xml:space="preserve">The starting point for a technical discussion is </w:t>
      </w:r>
      <w:r w:rsidR="00030C14">
        <w:t>comparing</w:t>
      </w:r>
      <w:r>
        <w:t xml:space="preserve"> candidate models and their applicability to the </w:t>
      </w:r>
      <w:r>
        <w:t xml:space="preserve">problem statement. Table 1 showcases the results of </w:t>
      </w:r>
      <w:r w:rsidR="00030C14">
        <w:t>all ANN architectures</w:t>
      </w:r>
      <w:r w:rsidR="0022072D">
        <w:t>’</w:t>
      </w:r>
      <w:r w:rsidR="00030C14">
        <w:t xml:space="preserve"> time and </w:t>
      </w:r>
      <w:r w:rsidR="007508F0">
        <w:t xml:space="preserve">space </w:t>
      </w:r>
      <w:r w:rsidR="00030C14">
        <w:t>complexity analysis</w:t>
      </w:r>
      <w:r>
        <w:t xml:space="preserve">. Most </w:t>
      </w:r>
      <w:r w:rsidR="00030C14">
        <w:t>research in machine learning models focuses</w:t>
      </w:r>
      <w:r w:rsidR="00701B54">
        <w:t xml:space="preserve"> on the residual analysis of a model’s error when discussing regressions. </w:t>
      </w:r>
      <w:r w:rsidR="007508F0">
        <w:t>For this research</w:t>
      </w:r>
      <w:r w:rsidR="00030C14">
        <w:t>,</w:t>
      </w:r>
      <w:r w:rsidR="00701B54">
        <w:t xml:space="preserve"> the hardware constraints imposed by embedded systems demand a </w:t>
      </w:r>
      <w:r w:rsidR="007508F0">
        <w:t xml:space="preserve">primary </w:t>
      </w:r>
      <w:r w:rsidR="00701B54">
        <w:t>focus on processing power.</w:t>
      </w:r>
    </w:p>
    <w:p w14:paraId="1DF67E81" w14:textId="51725A1B" w:rsidR="00203E44" w:rsidRDefault="00701B54" w:rsidP="00203E44">
      <w:pPr>
        <w:jc w:val="both"/>
      </w:pPr>
      <w:r>
        <w:tab/>
        <w:t xml:space="preserve">For example, trained </w:t>
      </w:r>
      <w:proofErr w:type="spellStart"/>
      <w:r>
        <w:t>Tensorflow</w:t>
      </w:r>
      <w:proofErr w:type="spellEnd"/>
      <w:r>
        <w:t xml:space="preserve"> models can be shrink-wrapped to fit</w:t>
      </w:r>
      <w:r w:rsidR="00BC5456">
        <w:t xml:space="preserve"> this scenario </w:t>
      </w:r>
      <w:r w:rsidR="007508F0">
        <w:t>with</w:t>
      </w:r>
      <w:r w:rsidR="00BC5456">
        <w:t xml:space="preserve"> </w:t>
      </w:r>
      <w:proofErr w:type="spellStart"/>
      <w:r w:rsidR="00BC5456">
        <w:t>Tensorflow</w:t>
      </w:r>
      <w:proofErr w:type="spellEnd"/>
      <w:r w:rsidR="00BC5456">
        <w:t xml:space="preserve"> Lite. However, not all architectures are compatible with this transformation. GRUs and LSTMs rely on sophisticated </w:t>
      </w:r>
      <w:r w:rsidR="00030C14">
        <w:t>data structures</w:t>
      </w:r>
      <w:r w:rsidR="00BC5456">
        <w:t xml:space="preserve"> that cannot be trivially ported to an embeddable counterpart (Table 1, Size </w:t>
      </w:r>
      <w:r w:rsidR="00203E44">
        <w:t>c</w:t>
      </w:r>
      <w:r w:rsidR="00BC5456">
        <w:t>olumn). Even if the costs of sending a trained model over the network are disregarded, its size is directly correlated to its memory consumption. Using a</w:t>
      </w:r>
      <w:r w:rsidR="007D10D8">
        <w:t>n ANN</w:t>
      </w:r>
      <w:r w:rsidR="00BC5456">
        <w:t xml:space="preserve"> model to forecast energy demand is a</w:t>
      </w:r>
      <w:r w:rsidR="007D10D8">
        <w:t xml:space="preserve"> </w:t>
      </w:r>
      <w:r w:rsidR="00030C14">
        <w:t>CPU-intensive</w:t>
      </w:r>
      <w:r w:rsidR="007D10D8">
        <w:t xml:space="preserve"> process. The </w:t>
      </w:r>
      <w:r w:rsidR="0022072D">
        <w:t>options of using</w:t>
      </w:r>
      <w:r w:rsidR="007D10D8">
        <w:t xml:space="preserve"> bespoke hardware </w:t>
      </w:r>
      <w:proofErr w:type="spellStart"/>
      <w:r w:rsidR="0071364B">
        <w:t>optimisations</w:t>
      </w:r>
      <w:proofErr w:type="spellEnd"/>
      <w:r w:rsidR="007D10D8">
        <w:t xml:space="preserve"> in the form of GPUs and TPUs might not be readily available on </w:t>
      </w:r>
      <w:r w:rsidR="0022072D">
        <w:t>commodity chipsets</w:t>
      </w:r>
      <w:r w:rsidR="007D10D8">
        <w:t xml:space="preserve"> </w:t>
      </w:r>
      <w:r w:rsidR="0022072D">
        <w:t xml:space="preserve">normally used in consumer grade </w:t>
      </w:r>
      <w:proofErr w:type="spellStart"/>
      <w:r w:rsidR="0022072D">
        <w:t>etectronics</w:t>
      </w:r>
      <w:proofErr w:type="spellEnd"/>
      <w:r w:rsidR="007D10D8">
        <w:t xml:space="preserve">. </w:t>
      </w:r>
    </w:p>
    <w:p w14:paraId="71F10E2D" w14:textId="4BFE43CF" w:rsidR="007D10D8" w:rsidRDefault="00203E44" w:rsidP="00203E44">
      <w:pPr>
        <w:ind w:firstLine="720"/>
        <w:jc w:val="both"/>
      </w:pPr>
      <w:r>
        <w:t>According to the time and space criteria, the RNN-based models</w:t>
      </w:r>
      <w:r w:rsidR="0022072D">
        <w:t xml:space="preserve"> (GRUs, LSTMs)</w:t>
      </w:r>
      <w:r>
        <w:t xml:space="preserve"> should be discarded. Both </w:t>
      </w:r>
      <w:r w:rsidR="006C2C41">
        <w:t xml:space="preserve">had </w:t>
      </w:r>
      <w:r>
        <w:t>consumption scores at least one order of magnitude larger</w:t>
      </w:r>
      <w:r w:rsidR="006C2C41">
        <w:t xml:space="preserve"> than their simpler counterparts</w:t>
      </w:r>
      <w:r>
        <w:t xml:space="preserve">. </w:t>
      </w:r>
      <w:r w:rsidR="007D10D8">
        <w:t>The choice between FFNNs and CNN1Ds is less obvious</w:t>
      </w:r>
      <w:r w:rsidR="0071364B">
        <w:t>. However</w:t>
      </w:r>
      <w:r w:rsidR="00030C14">
        <w:t>,</w:t>
      </w:r>
      <w:r w:rsidR="007D10D8">
        <w:t xml:space="preserve"> the </w:t>
      </w:r>
      <w:r w:rsidR="00030C14">
        <w:t>latter</w:t>
      </w:r>
      <w:r w:rsidR="007D10D8">
        <w:t xml:space="preserve"> has a slight edge in terms of model size.</w:t>
      </w:r>
    </w:p>
    <w:p w14:paraId="5C100957" w14:textId="3A14256D" w:rsidR="007D10D8" w:rsidRDefault="007D10D8" w:rsidP="00B86992">
      <w:pPr>
        <w:jc w:val="both"/>
      </w:pPr>
      <w:r>
        <w:tab/>
      </w:r>
      <w:r w:rsidR="00283BC2">
        <w:t xml:space="preserve">The analysis of </w:t>
      </w:r>
      <w:r w:rsidR="00030C14">
        <w:t xml:space="preserve">the </w:t>
      </w:r>
      <w:r w:rsidR="00283BC2">
        <w:t>c</w:t>
      </w:r>
      <w:r>
        <w:t>andidate’s time complexity</w:t>
      </w:r>
      <w:r w:rsidR="00283BC2">
        <w:t xml:space="preserve"> followed the same pattern. Given the </w:t>
      </w:r>
      <w:r w:rsidR="00030C14">
        <w:t>CPU-intensive</w:t>
      </w:r>
      <w:r w:rsidR="00283BC2">
        <w:t xml:space="preserve"> nature of these computations, </w:t>
      </w:r>
      <w:r w:rsidR="0022072D">
        <w:t>a model’s</w:t>
      </w:r>
      <w:r w:rsidR="00283BC2">
        <w:t xml:space="preserve"> </w:t>
      </w:r>
      <w:r w:rsidR="0022072D">
        <w:t>complexity</w:t>
      </w:r>
      <w:r w:rsidR="00283BC2">
        <w:t xml:space="preserve"> </w:t>
      </w:r>
      <w:r w:rsidR="00030C14">
        <w:t xml:space="preserve">is </w:t>
      </w:r>
      <w:r w:rsidR="00283BC2">
        <w:t xml:space="preserve">reflected </w:t>
      </w:r>
      <w:r w:rsidR="00030C14">
        <w:t>in</w:t>
      </w:r>
      <w:r w:rsidR="00283BC2">
        <w:t xml:space="preserve"> both training and prediction times. The CNN1D was the clear winner in all criteria. </w:t>
      </w:r>
      <w:r w:rsidR="0022072D">
        <w:t xml:space="preserve">Please note that, </w:t>
      </w:r>
      <w:r w:rsidR="00283BC2">
        <w:t xml:space="preserve">Table 1 does not provide an accurate </w:t>
      </w:r>
      <w:r w:rsidR="000E56E2">
        <w:t>picture of the prediction times (Pred. T. column) since a candidate hardware platform was not used. However, training times (Train. T. column) provide a much more accurate simulation. In this case, we can speculate how long would it take to generate individual predictions for a large population. Table 2 presents these figures assuming a target audience of 1</w:t>
      </w:r>
      <w:r w:rsidR="00FC02CF">
        <w:t>00</w:t>
      </w:r>
      <w:r w:rsidR="000E56E2">
        <w:t xml:space="preserve"> </w:t>
      </w:r>
      <w:r w:rsidR="00FC02CF">
        <w:t>thousand</w:t>
      </w:r>
      <w:r w:rsidR="000E56E2">
        <w:t xml:space="preserve"> households and parallelism of 4.</w:t>
      </w:r>
      <w:r w:rsidR="002737B3">
        <w:t xml:space="preserve"> The choice between roughly 500 days (LSTM) versus </w:t>
      </w:r>
      <w:r w:rsidR="0071364B">
        <w:t>five</w:t>
      </w:r>
      <w:r w:rsidR="002737B3">
        <w:t xml:space="preserve"> days (CNN1D) </w:t>
      </w:r>
      <w:r w:rsidR="00583B6A">
        <w:t>frames</w:t>
      </w:r>
      <w:r w:rsidR="002737B3">
        <w:t xml:space="preserve"> </w:t>
      </w:r>
      <w:r w:rsidR="0071364B">
        <w:t>options</w:t>
      </w:r>
      <w:r w:rsidR="002737B3">
        <w:t xml:space="preserve"> in more concrete terms.</w:t>
      </w:r>
    </w:p>
    <w:p w14:paraId="7D6696B8" w14:textId="63B10FD8" w:rsidR="00FC02CF" w:rsidRDefault="00FC02CF" w:rsidP="00B86992">
      <w:pPr>
        <w:jc w:val="both"/>
      </w:pPr>
    </w:p>
    <w:tbl>
      <w:tblPr>
        <w:tblStyle w:val="TableGrid"/>
        <w:tblW w:w="0" w:type="auto"/>
        <w:jc w:val="center"/>
        <w:tblLook w:val="04A0" w:firstRow="1" w:lastRow="0" w:firstColumn="1" w:lastColumn="0" w:noHBand="0" w:noVBand="1"/>
      </w:tblPr>
      <w:tblGrid>
        <w:gridCol w:w="988"/>
        <w:gridCol w:w="1275"/>
        <w:gridCol w:w="1347"/>
        <w:gridCol w:w="1204"/>
      </w:tblGrid>
      <w:tr w:rsidR="00FC02CF" w:rsidRPr="00D2397A" w14:paraId="484DB2DA" w14:textId="77777777" w:rsidTr="007B309B">
        <w:trPr>
          <w:jc w:val="center"/>
        </w:trPr>
        <w:tc>
          <w:tcPr>
            <w:tcW w:w="988" w:type="dxa"/>
            <w:tcBorders>
              <w:bottom w:val="single" w:sz="4" w:space="0" w:color="auto"/>
            </w:tcBorders>
          </w:tcPr>
          <w:p w14:paraId="65010CEA" w14:textId="77777777" w:rsidR="00FC02CF" w:rsidRPr="00D2397A" w:rsidRDefault="00FC02CF" w:rsidP="007B309B">
            <w:pPr>
              <w:rPr>
                <w:b/>
                <w:bCs/>
                <w:sz w:val="18"/>
                <w:szCs w:val="18"/>
              </w:rPr>
            </w:pPr>
            <w:r w:rsidRPr="00D2397A">
              <w:rPr>
                <w:b/>
                <w:bCs/>
                <w:sz w:val="18"/>
                <w:szCs w:val="18"/>
              </w:rPr>
              <w:t>Structure</w:t>
            </w:r>
          </w:p>
        </w:tc>
        <w:tc>
          <w:tcPr>
            <w:tcW w:w="1275" w:type="dxa"/>
            <w:tcBorders>
              <w:bottom w:val="single" w:sz="4" w:space="0" w:color="auto"/>
              <w:right w:val="nil"/>
            </w:tcBorders>
          </w:tcPr>
          <w:p w14:paraId="7459577A" w14:textId="3D071399" w:rsidR="00FC02CF" w:rsidRPr="00D2397A" w:rsidRDefault="00D44157" w:rsidP="007B309B">
            <w:pPr>
              <w:rPr>
                <w:b/>
                <w:bCs/>
                <w:sz w:val="18"/>
                <w:szCs w:val="18"/>
              </w:rPr>
            </w:pPr>
            <w:r>
              <w:rPr>
                <w:b/>
                <w:bCs/>
                <w:sz w:val="18"/>
                <w:szCs w:val="18"/>
              </w:rPr>
              <w:t xml:space="preserve">Ind. </w:t>
            </w:r>
            <w:r w:rsidR="00FC02CF" w:rsidRPr="00D2397A">
              <w:rPr>
                <w:b/>
                <w:bCs/>
                <w:sz w:val="18"/>
                <w:szCs w:val="18"/>
              </w:rPr>
              <w:t>T</w:t>
            </w:r>
            <w:r>
              <w:rPr>
                <w:b/>
                <w:bCs/>
                <w:sz w:val="18"/>
                <w:szCs w:val="18"/>
              </w:rPr>
              <w:t>.</w:t>
            </w:r>
            <w:r w:rsidR="00FC02CF" w:rsidRPr="00D2397A">
              <w:rPr>
                <w:b/>
                <w:bCs/>
                <w:sz w:val="18"/>
                <w:szCs w:val="18"/>
              </w:rPr>
              <w:t xml:space="preserve"> T. (s)</w:t>
            </w:r>
          </w:p>
        </w:tc>
        <w:tc>
          <w:tcPr>
            <w:tcW w:w="1347" w:type="dxa"/>
            <w:tcBorders>
              <w:left w:val="nil"/>
              <w:bottom w:val="single" w:sz="4" w:space="0" w:color="auto"/>
              <w:right w:val="nil"/>
            </w:tcBorders>
          </w:tcPr>
          <w:p w14:paraId="227DE7CC" w14:textId="6AD9A0A3" w:rsidR="00FC02CF" w:rsidRPr="00D2397A" w:rsidRDefault="00FC02CF" w:rsidP="007B309B">
            <w:pPr>
              <w:rPr>
                <w:b/>
                <w:bCs/>
                <w:sz w:val="18"/>
                <w:szCs w:val="18"/>
              </w:rPr>
            </w:pPr>
            <w:r>
              <w:rPr>
                <w:b/>
                <w:bCs/>
                <w:sz w:val="18"/>
                <w:szCs w:val="18"/>
              </w:rPr>
              <w:t>Serial (</w:t>
            </w:r>
            <w:r w:rsidR="00C62DA2">
              <w:rPr>
                <w:b/>
                <w:bCs/>
                <w:sz w:val="18"/>
                <w:szCs w:val="18"/>
              </w:rPr>
              <w:t>d</w:t>
            </w:r>
            <w:r>
              <w:rPr>
                <w:b/>
                <w:bCs/>
                <w:sz w:val="18"/>
                <w:szCs w:val="18"/>
              </w:rPr>
              <w:t>)</w:t>
            </w:r>
          </w:p>
        </w:tc>
        <w:tc>
          <w:tcPr>
            <w:tcW w:w="1204" w:type="dxa"/>
            <w:tcBorders>
              <w:left w:val="nil"/>
              <w:bottom w:val="single" w:sz="4" w:space="0" w:color="auto"/>
            </w:tcBorders>
          </w:tcPr>
          <w:p w14:paraId="533235FB" w14:textId="0160EFE7" w:rsidR="00FC02CF" w:rsidRPr="00D2397A" w:rsidRDefault="00FC02CF" w:rsidP="007B309B">
            <w:pPr>
              <w:rPr>
                <w:b/>
                <w:bCs/>
                <w:sz w:val="18"/>
                <w:szCs w:val="18"/>
              </w:rPr>
            </w:pPr>
            <w:r>
              <w:rPr>
                <w:b/>
                <w:bCs/>
                <w:sz w:val="18"/>
                <w:szCs w:val="18"/>
              </w:rPr>
              <w:t>Par</w:t>
            </w:r>
            <w:r w:rsidR="00684339">
              <w:rPr>
                <w:b/>
                <w:bCs/>
                <w:sz w:val="18"/>
                <w:szCs w:val="18"/>
              </w:rPr>
              <w:t>.</w:t>
            </w:r>
            <w:r w:rsidR="00D44157">
              <w:rPr>
                <w:b/>
                <w:bCs/>
                <w:sz w:val="18"/>
                <w:szCs w:val="18"/>
              </w:rPr>
              <w:t xml:space="preserve"> [</w:t>
            </w:r>
            <w:r w:rsidR="00684339">
              <w:rPr>
                <w:b/>
                <w:bCs/>
                <w:sz w:val="18"/>
                <w:szCs w:val="18"/>
              </w:rPr>
              <w:t>4</w:t>
            </w:r>
            <w:r w:rsidR="00D44157">
              <w:rPr>
                <w:b/>
                <w:bCs/>
                <w:sz w:val="18"/>
                <w:szCs w:val="18"/>
              </w:rPr>
              <w:t>]</w:t>
            </w:r>
            <w:r w:rsidRPr="00D2397A">
              <w:rPr>
                <w:b/>
                <w:bCs/>
                <w:sz w:val="18"/>
                <w:szCs w:val="18"/>
              </w:rPr>
              <w:t xml:space="preserve"> (</w:t>
            </w:r>
            <w:r w:rsidR="00C62DA2">
              <w:rPr>
                <w:b/>
                <w:bCs/>
                <w:sz w:val="18"/>
                <w:szCs w:val="18"/>
              </w:rPr>
              <w:t>d</w:t>
            </w:r>
            <w:r w:rsidRPr="00D2397A">
              <w:rPr>
                <w:b/>
                <w:bCs/>
                <w:sz w:val="18"/>
                <w:szCs w:val="18"/>
              </w:rPr>
              <w:t>)</w:t>
            </w:r>
          </w:p>
        </w:tc>
      </w:tr>
      <w:tr w:rsidR="00FC02CF" w:rsidRPr="00D2397A" w14:paraId="76F7B203" w14:textId="77777777" w:rsidTr="00684339">
        <w:trPr>
          <w:jc w:val="center"/>
        </w:trPr>
        <w:tc>
          <w:tcPr>
            <w:tcW w:w="988" w:type="dxa"/>
            <w:tcBorders>
              <w:bottom w:val="nil"/>
            </w:tcBorders>
          </w:tcPr>
          <w:p w14:paraId="67D338C6" w14:textId="77777777" w:rsidR="00FC02CF" w:rsidRPr="00D2397A" w:rsidRDefault="00FC02CF" w:rsidP="007B309B">
            <w:pPr>
              <w:rPr>
                <w:sz w:val="18"/>
                <w:szCs w:val="18"/>
              </w:rPr>
            </w:pPr>
            <w:r w:rsidRPr="00D2397A">
              <w:rPr>
                <w:sz w:val="18"/>
                <w:szCs w:val="18"/>
              </w:rPr>
              <w:t>FFNN</w:t>
            </w:r>
          </w:p>
        </w:tc>
        <w:tc>
          <w:tcPr>
            <w:tcW w:w="1275" w:type="dxa"/>
            <w:tcBorders>
              <w:bottom w:val="nil"/>
              <w:right w:val="nil"/>
            </w:tcBorders>
          </w:tcPr>
          <w:p w14:paraId="2D35ED21" w14:textId="77777777" w:rsidR="00FC02CF" w:rsidRPr="00D2397A" w:rsidRDefault="00FC02CF" w:rsidP="007B309B">
            <w:pPr>
              <w:jc w:val="right"/>
              <w:rPr>
                <w:sz w:val="18"/>
                <w:szCs w:val="18"/>
              </w:rPr>
            </w:pPr>
            <w:r w:rsidRPr="00D2397A">
              <w:rPr>
                <w:sz w:val="18"/>
                <w:szCs w:val="18"/>
              </w:rPr>
              <w:t>28.500</w:t>
            </w:r>
          </w:p>
        </w:tc>
        <w:tc>
          <w:tcPr>
            <w:tcW w:w="1347" w:type="dxa"/>
            <w:tcBorders>
              <w:left w:val="nil"/>
              <w:bottom w:val="nil"/>
              <w:right w:val="nil"/>
            </w:tcBorders>
          </w:tcPr>
          <w:p w14:paraId="08D6E5BB" w14:textId="40AF72C0" w:rsidR="00FC02CF" w:rsidRPr="00D2397A" w:rsidRDefault="00C62DA2" w:rsidP="007B309B">
            <w:pPr>
              <w:jc w:val="right"/>
              <w:rPr>
                <w:sz w:val="18"/>
                <w:szCs w:val="18"/>
              </w:rPr>
            </w:pPr>
            <w:r>
              <w:rPr>
                <w:sz w:val="18"/>
                <w:szCs w:val="18"/>
              </w:rPr>
              <w:t>32</w:t>
            </w:r>
            <w:r w:rsidR="00684339">
              <w:rPr>
                <w:sz w:val="18"/>
                <w:szCs w:val="18"/>
              </w:rPr>
              <w:t>.</w:t>
            </w:r>
            <w:r>
              <w:rPr>
                <w:sz w:val="18"/>
                <w:szCs w:val="18"/>
              </w:rPr>
              <w:t>958</w:t>
            </w:r>
          </w:p>
        </w:tc>
        <w:tc>
          <w:tcPr>
            <w:tcW w:w="1204" w:type="dxa"/>
            <w:tcBorders>
              <w:left w:val="nil"/>
              <w:bottom w:val="nil"/>
            </w:tcBorders>
          </w:tcPr>
          <w:p w14:paraId="3737E923" w14:textId="2876B1DB" w:rsidR="00FC02CF" w:rsidRPr="00D2397A" w:rsidRDefault="00C62DA2" w:rsidP="007B309B">
            <w:pPr>
              <w:jc w:val="right"/>
              <w:rPr>
                <w:sz w:val="18"/>
                <w:szCs w:val="18"/>
              </w:rPr>
            </w:pPr>
            <w:r>
              <w:rPr>
                <w:sz w:val="18"/>
                <w:szCs w:val="18"/>
              </w:rPr>
              <w:t>8.239</w:t>
            </w:r>
          </w:p>
        </w:tc>
      </w:tr>
      <w:tr w:rsidR="00FC02CF" w:rsidRPr="00D2397A" w14:paraId="46EA90E0" w14:textId="77777777" w:rsidTr="00684339">
        <w:trPr>
          <w:jc w:val="center"/>
        </w:trPr>
        <w:tc>
          <w:tcPr>
            <w:tcW w:w="988" w:type="dxa"/>
            <w:tcBorders>
              <w:top w:val="nil"/>
              <w:bottom w:val="nil"/>
            </w:tcBorders>
          </w:tcPr>
          <w:p w14:paraId="1775162D" w14:textId="77777777" w:rsidR="00FC02CF" w:rsidRPr="00D2397A" w:rsidRDefault="00FC02CF" w:rsidP="007B309B">
            <w:pPr>
              <w:rPr>
                <w:sz w:val="18"/>
                <w:szCs w:val="18"/>
              </w:rPr>
            </w:pPr>
            <w:r w:rsidRPr="00D2397A">
              <w:rPr>
                <w:sz w:val="18"/>
                <w:szCs w:val="18"/>
              </w:rPr>
              <w:t>GRU</w:t>
            </w:r>
          </w:p>
        </w:tc>
        <w:tc>
          <w:tcPr>
            <w:tcW w:w="1275" w:type="dxa"/>
            <w:tcBorders>
              <w:top w:val="nil"/>
              <w:bottom w:val="nil"/>
              <w:right w:val="nil"/>
            </w:tcBorders>
          </w:tcPr>
          <w:p w14:paraId="01E08435" w14:textId="77777777" w:rsidR="00FC02CF" w:rsidRPr="00D2397A" w:rsidRDefault="00FC02CF" w:rsidP="007B309B">
            <w:pPr>
              <w:jc w:val="right"/>
              <w:rPr>
                <w:sz w:val="18"/>
                <w:szCs w:val="18"/>
              </w:rPr>
            </w:pPr>
            <w:r w:rsidRPr="00D2397A">
              <w:rPr>
                <w:sz w:val="18"/>
                <w:szCs w:val="18"/>
              </w:rPr>
              <w:t>1174.000</w:t>
            </w:r>
          </w:p>
        </w:tc>
        <w:tc>
          <w:tcPr>
            <w:tcW w:w="1347" w:type="dxa"/>
            <w:tcBorders>
              <w:top w:val="nil"/>
              <w:left w:val="nil"/>
              <w:bottom w:val="nil"/>
              <w:right w:val="nil"/>
            </w:tcBorders>
            <w:shd w:val="clear" w:color="auto" w:fill="auto"/>
          </w:tcPr>
          <w:p w14:paraId="1D3CA026" w14:textId="7C308415" w:rsidR="00FC02CF" w:rsidRPr="00D2397A" w:rsidRDefault="00C62DA2" w:rsidP="007B309B">
            <w:pPr>
              <w:jc w:val="right"/>
              <w:rPr>
                <w:sz w:val="18"/>
                <w:szCs w:val="18"/>
              </w:rPr>
            </w:pPr>
            <w:r>
              <w:rPr>
                <w:sz w:val="18"/>
                <w:szCs w:val="18"/>
              </w:rPr>
              <w:t>1358.796</w:t>
            </w:r>
          </w:p>
        </w:tc>
        <w:tc>
          <w:tcPr>
            <w:tcW w:w="1204" w:type="dxa"/>
            <w:tcBorders>
              <w:top w:val="nil"/>
              <w:left w:val="nil"/>
              <w:bottom w:val="nil"/>
            </w:tcBorders>
            <w:shd w:val="clear" w:color="auto" w:fill="FFFFFF" w:themeFill="background1"/>
          </w:tcPr>
          <w:p w14:paraId="39D8A2CE" w14:textId="3F02008E" w:rsidR="00FC02CF" w:rsidRPr="00D2397A" w:rsidRDefault="00C62DA2" w:rsidP="007B309B">
            <w:pPr>
              <w:jc w:val="right"/>
              <w:rPr>
                <w:sz w:val="18"/>
                <w:szCs w:val="18"/>
              </w:rPr>
            </w:pPr>
            <w:r>
              <w:rPr>
                <w:sz w:val="18"/>
                <w:szCs w:val="18"/>
              </w:rPr>
              <w:t>339.699</w:t>
            </w:r>
          </w:p>
        </w:tc>
      </w:tr>
      <w:tr w:rsidR="00FC02CF" w:rsidRPr="00D2397A" w14:paraId="1D3C856A" w14:textId="77777777" w:rsidTr="00684339">
        <w:trPr>
          <w:jc w:val="center"/>
        </w:trPr>
        <w:tc>
          <w:tcPr>
            <w:tcW w:w="988" w:type="dxa"/>
            <w:tcBorders>
              <w:top w:val="nil"/>
              <w:bottom w:val="nil"/>
            </w:tcBorders>
          </w:tcPr>
          <w:p w14:paraId="2FC4CBA0" w14:textId="77777777" w:rsidR="00FC02CF" w:rsidRPr="00D2397A" w:rsidRDefault="00FC02CF" w:rsidP="007B309B">
            <w:pPr>
              <w:rPr>
                <w:sz w:val="18"/>
                <w:szCs w:val="18"/>
              </w:rPr>
            </w:pPr>
            <w:r w:rsidRPr="00D2397A">
              <w:rPr>
                <w:sz w:val="18"/>
                <w:szCs w:val="18"/>
              </w:rPr>
              <w:t>LSTM</w:t>
            </w:r>
          </w:p>
        </w:tc>
        <w:tc>
          <w:tcPr>
            <w:tcW w:w="1275" w:type="dxa"/>
            <w:tcBorders>
              <w:top w:val="nil"/>
              <w:bottom w:val="nil"/>
              <w:right w:val="nil"/>
            </w:tcBorders>
            <w:shd w:val="clear" w:color="auto" w:fill="FBE4D5" w:themeFill="accent2" w:themeFillTint="33"/>
          </w:tcPr>
          <w:p w14:paraId="2BC48255" w14:textId="77777777" w:rsidR="00FC02CF" w:rsidRPr="00D2397A" w:rsidRDefault="00FC02CF" w:rsidP="007B309B">
            <w:pPr>
              <w:jc w:val="right"/>
              <w:rPr>
                <w:sz w:val="18"/>
                <w:szCs w:val="18"/>
              </w:rPr>
            </w:pPr>
            <w:r w:rsidRPr="00D2397A">
              <w:rPr>
                <w:sz w:val="18"/>
                <w:szCs w:val="18"/>
              </w:rPr>
              <w:t>1731.000</w:t>
            </w:r>
          </w:p>
        </w:tc>
        <w:tc>
          <w:tcPr>
            <w:tcW w:w="1347" w:type="dxa"/>
            <w:tcBorders>
              <w:top w:val="nil"/>
              <w:left w:val="nil"/>
              <w:bottom w:val="nil"/>
              <w:right w:val="nil"/>
            </w:tcBorders>
            <w:shd w:val="clear" w:color="auto" w:fill="FBE4D5" w:themeFill="accent2" w:themeFillTint="33"/>
          </w:tcPr>
          <w:p w14:paraId="2CC8BC1D" w14:textId="12DCCCEB" w:rsidR="00FC02CF" w:rsidRPr="00D2397A" w:rsidRDefault="00C62DA2" w:rsidP="007B309B">
            <w:pPr>
              <w:jc w:val="right"/>
              <w:rPr>
                <w:sz w:val="18"/>
                <w:szCs w:val="18"/>
              </w:rPr>
            </w:pPr>
            <w:r>
              <w:rPr>
                <w:sz w:val="18"/>
                <w:szCs w:val="18"/>
              </w:rPr>
              <w:t>2003.472</w:t>
            </w:r>
          </w:p>
        </w:tc>
        <w:tc>
          <w:tcPr>
            <w:tcW w:w="1204" w:type="dxa"/>
            <w:tcBorders>
              <w:top w:val="nil"/>
              <w:left w:val="nil"/>
              <w:bottom w:val="nil"/>
            </w:tcBorders>
            <w:shd w:val="clear" w:color="auto" w:fill="FBE4D5" w:themeFill="accent2" w:themeFillTint="33"/>
          </w:tcPr>
          <w:p w14:paraId="2BE57815" w14:textId="63ABE77A" w:rsidR="00FC02CF" w:rsidRPr="00D2397A" w:rsidRDefault="00C62DA2" w:rsidP="007B309B">
            <w:pPr>
              <w:jc w:val="right"/>
              <w:rPr>
                <w:sz w:val="18"/>
                <w:szCs w:val="18"/>
              </w:rPr>
            </w:pPr>
            <w:r>
              <w:rPr>
                <w:sz w:val="18"/>
                <w:szCs w:val="18"/>
              </w:rPr>
              <w:t>500</w:t>
            </w:r>
            <w:r w:rsidR="00684339">
              <w:rPr>
                <w:sz w:val="18"/>
                <w:szCs w:val="18"/>
              </w:rPr>
              <w:t>.8</w:t>
            </w:r>
            <w:r>
              <w:rPr>
                <w:sz w:val="18"/>
                <w:szCs w:val="18"/>
              </w:rPr>
              <w:t>68</w:t>
            </w:r>
          </w:p>
        </w:tc>
      </w:tr>
      <w:tr w:rsidR="00FC02CF" w:rsidRPr="00D2397A" w14:paraId="30FB52A6" w14:textId="77777777" w:rsidTr="007B309B">
        <w:trPr>
          <w:jc w:val="center"/>
        </w:trPr>
        <w:tc>
          <w:tcPr>
            <w:tcW w:w="988" w:type="dxa"/>
            <w:tcBorders>
              <w:top w:val="nil"/>
            </w:tcBorders>
          </w:tcPr>
          <w:p w14:paraId="35D6E76F" w14:textId="77777777" w:rsidR="00FC02CF" w:rsidRPr="00D2397A" w:rsidRDefault="00FC02CF" w:rsidP="007B309B">
            <w:pPr>
              <w:rPr>
                <w:sz w:val="18"/>
                <w:szCs w:val="18"/>
              </w:rPr>
            </w:pPr>
            <w:r w:rsidRPr="00D2397A">
              <w:rPr>
                <w:sz w:val="18"/>
                <w:szCs w:val="18"/>
              </w:rPr>
              <w:t>C</w:t>
            </w:r>
            <w:r>
              <w:rPr>
                <w:sz w:val="18"/>
                <w:szCs w:val="18"/>
              </w:rPr>
              <w:t>NN</w:t>
            </w:r>
            <w:r w:rsidRPr="00D2397A">
              <w:rPr>
                <w:sz w:val="18"/>
                <w:szCs w:val="18"/>
              </w:rPr>
              <w:t>1D</w:t>
            </w:r>
          </w:p>
        </w:tc>
        <w:tc>
          <w:tcPr>
            <w:tcW w:w="1275" w:type="dxa"/>
            <w:tcBorders>
              <w:top w:val="nil"/>
              <w:right w:val="nil"/>
            </w:tcBorders>
            <w:shd w:val="clear" w:color="auto" w:fill="E2EFD9" w:themeFill="accent6" w:themeFillTint="33"/>
          </w:tcPr>
          <w:p w14:paraId="10796272" w14:textId="77777777" w:rsidR="00FC02CF" w:rsidRPr="00D2397A" w:rsidRDefault="00FC02CF" w:rsidP="007B309B">
            <w:pPr>
              <w:jc w:val="right"/>
              <w:rPr>
                <w:sz w:val="18"/>
                <w:szCs w:val="18"/>
              </w:rPr>
            </w:pPr>
            <w:r w:rsidRPr="00D2397A">
              <w:rPr>
                <w:sz w:val="18"/>
                <w:szCs w:val="18"/>
              </w:rPr>
              <w:t>17.500</w:t>
            </w:r>
          </w:p>
        </w:tc>
        <w:tc>
          <w:tcPr>
            <w:tcW w:w="1347" w:type="dxa"/>
            <w:tcBorders>
              <w:top w:val="nil"/>
              <w:left w:val="nil"/>
              <w:right w:val="nil"/>
            </w:tcBorders>
            <w:shd w:val="clear" w:color="auto" w:fill="E2EFD9" w:themeFill="accent6" w:themeFillTint="33"/>
          </w:tcPr>
          <w:p w14:paraId="1BC27014" w14:textId="36AD72BF" w:rsidR="00FC02CF" w:rsidRPr="00D2397A" w:rsidRDefault="00C62DA2" w:rsidP="007B309B">
            <w:pPr>
              <w:jc w:val="right"/>
              <w:rPr>
                <w:sz w:val="18"/>
                <w:szCs w:val="18"/>
              </w:rPr>
            </w:pPr>
            <w:r>
              <w:rPr>
                <w:sz w:val="18"/>
                <w:szCs w:val="18"/>
              </w:rPr>
              <w:t>20.254</w:t>
            </w:r>
          </w:p>
        </w:tc>
        <w:tc>
          <w:tcPr>
            <w:tcW w:w="1204" w:type="dxa"/>
            <w:tcBorders>
              <w:top w:val="nil"/>
              <w:left w:val="nil"/>
            </w:tcBorders>
            <w:shd w:val="clear" w:color="auto" w:fill="E2EFD9" w:themeFill="accent6" w:themeFillTint="33"/>
          </w:tcPr>
          <w:p w14:paraId="0D527FBE" w14:textId="5ED8E194" w:rsidR="00FC02CF" w:rsidRPr="00D2397A" w:rsidRDefault="00C62DA2" w:rsidP="007B309B">
            <w:pPr>
              <w:jc w:val="right"/>
              <w:rPr>
                <w:sz w:val="18"/>
                <w:szCs w:val="18"/>
              </w:rPr>
            </w:pPr>
            <w:r>
              <w:rPr>
                <w:sz w:val="18"/>
                <w:szCs w:val="18"/>
              </w:rPr>
              <w:t>5</w:t>
            </w:r>
            <w:r w:rsidR="00FC02CF">
              <w:rPr>
                <w:sz w:val="18"/>
                <w:szCs w:val="18"/>
              </w:rPr>
              <w:t>.</w:t>
            </w:r>
            <w:r>
              <w:rPr>
                <w:sz w:val="18"/>
                <w:szCs w:val="18"/>
              </w:rPr>
              <w:t>063</w:t>
            </w:r>
          </w:p>
        </w:tc>
      </w:tr>
    </w:tbl>
    <w:p w14:paraId="1AB9CD2E" w14:textId="1F747A70" w:rsidR="00FC02CF" w:rsidRDefault="001A0B20" w:rsidP="001A0B20">
      <w:pPr>
        <w:pStyle w:val="Caption"/>
        <w:jc w:val="center"/>
      </w:pPr>
      <w:r>
        <w:t xml:space="preserve">Table </w:t>
      </w:r>
      <w:fldSimple w:instr=" SEQ Table \* ARABIC ">
        <w:r>
          <w:rPr>
            <w:noProof/>
          </w:rPr>
          <w:t>2</w:t>
        </w:r>
      </w:fldSimple>
      <w:r>
        <w:t xml:space="preserve"> - Training times</w:t>
      </w:r>
      <w:r w:rsidR="00D44157">
        <w:t xml:space="preserve"> </w:t>
      </w:r>
      <w:r w:rsidR="003B0116">
        <w:t xml:space="preserve">required </w:t>
      </w:r>
      <w:r w:rsidR="00D44157">
        <w:t>for</w:t>
      </w:r>
      <w:r w:rsidR="003B0116">
        <w:t xml:space="preserve"> serving</w:t>
      </w:r>
      <w:r w:rsidR="00D44157">
        <w:t xml:space="preserve"> 100 thousand consumers</w:t>
      </w:r>
    </w:p>
    <w:p w14:paraId="33F0C57D" w14:textId="77777777" w:rsidR="00D6175F" w:rsidRDefault="00D6175F" w:rsidP="00B86992">
      <w:pPr>
        <w:jc w:val="both"/>
      </w:pPr>
    </w:p>
    <w:p w14:paraId="653724DD" w14:textId="6C5ECA70" w:rsidR="00484A05" w:rsidRDefault="002737B3" w:rsidP="00D6175F">
      <w:pPr>
        <w:jc w:val="both"/>
      </w:pPr>
      <w:r>
        <w:tab/>
        <w:t xml:space="preserve">Once discussions about </w:t>
      </w:r>
      <w:r w:rsidR="00D6175F">
        <w:t xml:space="preserve">resource requirements are finished, the analysis must focus on the </w:t>
      </w:r>
      <w:r w:rsidR="0071364B">
        <w:t>common</w:t>
      </w:r>
      <w:r w:rsidR="00D6175F">
        <w:t xml:space="preserve"> concerns of machine learning systems. Figure 7 charts the CNN1D’s predictions across the whole data set.</w:t>
      </w:r>
      <w:r w:rsidR="00E059C5">
        <w:t xml:space="preserve"> Since the chosen structure is a forecasting model that takes a sequence of 48 5-minute intervals and maps it into a </w:t>
      </w:r>
      <w:r w:rsidR="0071364B">
        <w:t>series</w:t>
      </w:r>
      <w:r w:rsidR="00E059C5">
        <w:t xml:space="preserve"> of 13 5-minute intervals, each point </w:t>
      </w:r>
      <w:r w:rsidR="001C39E3">
        <w:t>represents</w:t>
      </w:r>
      <w:r w:rsidR="00E059C5">
        <w:t xml:space="preserve"> the </w:t>
      </w:r>
      <w:r w:rsidR="0071364B">
        <w:t xml:space="preserve">expected and predicted </w:t>
      </w:r>
      <w:r w:rsidR="006C2C41">
        <w:t xml:space="preserve">output </w:t>
      </w:r>
      <w:r w:rsidR="0071364B">
        <w:t>sequence averages</w:t>
      </w:r>
      <w:r w:rsidR="00E059C5">
        <w:t>.</w:t>
      </w:r>
    </w:p>
    <w:p w14:paraId="35638947" w14:textId="1ECA8F49" w:rsidR="00484A05" w:rsidRDefault="00484A05" w:rsidP="00484A05">
      <w:pPr>
        <w:jc w:val="center"/>
      </w:pPr>
      <w:r>
        <w:rPr>
          <w:noProof/>
        </w:rPr>
        <w:lastRenderedPageBreak/>
        <w:drawing>
          <wp:inline distT="0" distB="0" distL="0" distR="0" wp14:anchorId="4562908C" wp14:editId="7D1CED7F">
            <wp:extent cx="3322320" cy="221488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9504" cy="2219669"/>
                    </a:xfrm>
                    <a:prstGeom prst="rect">
                      <a:avLst/>
                    </a:prstGeom>
                  </pic:spPr>
                </pic:pic>
              </a:graphicData>
            </a:graphic>
          </wp:inline>
        </w:drawing>
      </w:r>
    </w:p>
    <w:p w14:paraId="5BE7A7DA" w14:textId="46D2E31A" w:rsidR="001A0B20" w:rsidRDefault="001A0B20" w:rsidP="001A0B20">
      <w:pPr>
        <w:pStyle w:val="Caption"/>
        <w:jc w:val="center"/>
      </w:pPr>
      <w:r>
        <w:t xml:space="preserve">Figure </w:t>
      </w:r>
      <w:fldSimple w:instr=" SEQ Figure \* ARABIC ">
        <w:r w:rsidR="0082140E">
          <w:rPr>
            <w:noProof/>
          </w:rPr>
          <w:t>7</w:t>
        </w:r>
      </w:fldSimple>
      <w:r>
        <w:t xml:space="preserve"> - Consumption forecasting</w:t>
      </w:r>
      <w:r w:rsidR="003B0116">
        <w:t>, 4-year span of 3-month windows</w:t>
      </w:r>
    </w:p>
    <w:p w14:paraId="59488437" w14:textId="7C7B124D" w:rsidR="00484A05" w:rsidRDefault="001C39E3" w:rsidP="003A71B6">
      <w:pPr>
        <w:jc w:val="both"/>
      </w:pPr>
      <w:r>
        <w:tab/>
      </w:r>
      <w:r w:rsidR="003A71B6">
        <w:t>Figure 8 presents a</w:t>
      </w:r>
      <w:r>
        <w:t xml:space="preserve"> more fine-grained view of the </w:t>
      </w:r>
      <w:r w:rsidR="003A71B6">
        <w:t>whole experiment. In this case, we see the consolidation of the R</w:t>
      </w:r>
      <w:r w:rsidR="003A71B6" w:rsidRPr="003A71B6">
        <w:rPr>
          <w:vertAlign w:val="superscript"/>
        </w:rPr>
        <w:t>2</w:t>
      </w:r>
      <w:r w:rsidR="003A71B6">
        <w:t xml:space="preserve"> metric of each training window (3 months). This </w:t>
      </w:r>
      <w:proofErr w:type="spellStart"/>
      <w:r w:rsidR="0071364B">
        <w:t>visualisation</w:t>
      </w:r>
      <w:proofErr w:type="spellEnd"/>
      <w:r w:rsidR="003A71B6">
        <w:t xml:space="preserve"> attempts to answer two questions. First, what are the gains of using a machine learning model (blue and orange </w:t>
      </w:r>
      <w:r w:rsidR="006C2C41">
        <w:t>lines</w:t>
      </w:r>
      <w:r w:rsidR="003A71B6">
        <w:t>)</w:t>
      </w:r>
      <w:r w:rsidR="0093045E">
        <w:t xml:space="preserve"> instead of just using the last consumption measurement during the forecasted period (red dashed line</w:t>
      </w:r>
      <w:r w:rsidR="006C2C41">
        <w:t>, the baseline</w:t>
      </w:r>
      <w:r w:rsidR="0093045E">
        <w:t>)</w:t>
      </w:r>
      <w:r w:rsidR="00030C14">
        <w:t>?</w:t>
      </w:r>
      <w:r w:rsidR="0093045E">
        <w:t xml:space="preserve"> Afterwards, which training strategy is the most effective: creating a new model from scratch on each training window (batch learning, blue line) or updating the existing model with the </w:t>
      </w:r>
      <w:r w:rsidR="00D4786B">
        <w:t>latest</w:t>
      </w:r>
      <w:r w:rsidR="0093045E">
        <w:t xml:space="preserve"> measurements (online learning, orange line)</w:t>
      </w:r>
      <w:r w:rsidR="006C2C41">
        <w:t>?</w:t>
      </w:r>
    </w:p>
    <w:p w14:paraId="187A008C" w14:textId="1D3C66E0" w:rsidR="00B83DF8" w:rsidRDefault="00B83DF8" w:rsidP="003A71B6">
      <w:pPr>
        <w:jc w:val="both"/>
      </w:pPr>
      <w:r>
        <w:rPr>
          <w:sz w:val="18"/>
          <w:szCs w:val="18"/>
        </w:rPr>
        <w:tab/>
      </w:r>
      <w:r w:rsidRPr="003B55B8">
        <w:t>The results showcase an average gain of 22% on the R</w:t>
      </w:r>
      <w:r w:rsidRPr="003B55B8">
        <w:rPr>
          <w:vertAlign w:val="superscript"/>
        </w:rPr>
        <w:t xml:space="preserve">2 </w:t>
      </w:r>
      <w:r w:rsidRPr="003B55B8">
        <w:t>metric</w:t>
      </w:r>
      <w:r w:rsidR="00583B6A">
        <w:t xml:space="preserve"> for both training strategies</w:t>
      </w:r>
      <w:r w:rsidRPr="003B55B8">
        <w:t xml:space="preserve">. Moreover, the reported level </w:t>
      </w:r>
      <w:r>
        <w:t xml:space="preserve">of accuracy is aligned with current findings in the literature. The low mean-variance across the residual error is another fortunate finding since it </w:t>
      </w:r>
      <w:r w:rsidR="00583B6A">
        <w:t>attests</w:t>
      </w:r>
      <w:r>
        <w:t xml:space="preserve"> that the models are not converging to these scores on average but make individual predictions that are </w:t>
      </w:r>
      <w:r w:rsidR="00583B6A">
        <w:t xml:space="preserve">not </w:t>
      </w:r>
      <w:r>
        <w:t xml:space="preserve">significantly off the </w:t>
      </w:r>
      <w:r w:rsidR="00583B6A">
        <w:t>expected target</w:t>
      </w:r>
      <w:r>
        <w:t>.</w:t>
      </w:r>
      <w:r w:rsidR="002E5812">
        <w:t xml:space="preserve"> Most importantly, and average R</w:t>
      </w:r>
      <w:r w:rsidR="002E5812" w:rsidRPr="002E5812">
        <w:rPr>
          <w:vertAlign w:val="superscript"/>
        </w:rPr>
        <w:t>2</w:t>
      </w:r>
      <w:r w:rsidR="002E5812">
        <w:t xml:space="preserve"> score of 0.85 is in line with much more complex propositions in the current literature (</w:t>
      </w:r>
      <w:proofErr w:type="spellStart"/>
      <w:r w:rsidR="002E5812" w:rsidRPr="00C46A1E">
        <w:rPr>
          <w:color w:val="222222"/>
          <w:shd w:val="clear" w:color="auto" w:fill="FFFFFF"/>
          <w:lang w:val="en-IE" w:eastAsia="en-GB"/>
        </w:rPr>
        <w:t>Kontogiannis</w:t>
      </w:r>
      <w:proofErr w:type="spellEnd"/>
      <w:r w:rsidR="002E5812" w:rsidRPr="00C46A1E">
        <w:rPr>
          <w:color w:val="222222"/>
          <w:shd w:val="clear" w:color="auto" w:fill="FFFFFF"/>
          <w:lang w:val="en-IE" w:eastAsia="en-GB"/>
        </w:rPr>
        <w:t>, D.,</w:t>
      </w:r>
      <w:r w:rsidR="002E5812">
        <w:rPr>
          <w:color w:val="222222"/>
          <w:shd w:val="clear" w:color="auto" w:fill="FFFFFF"/>
          <w:lang w:val="en-IE" w:eastAsia="en-GB"/>
        </w:rPr>
        <w:t xml:space="preserve"> et al., 2020</w:t>
      </w:r>
      <w:r w:rsidR="002E5812">
        <w:t>).</w:t>
      </w:r>
    </w:p>
    <w:p w14:paraId="7D848CD8" w14:textId="3FC55627" w:rsidR="00346165" w:rsidRDefault="001442A0" w:rsidP="008662EE">
      <w:r>
        <w:rPr>
          <w:noProof/>
        </w:rPr>
        <w:drawing>
          <wp:inline distT="0" distB="0" distL="0" distR="0" wp14:anchorId="015BBEC8" wp14:editId="4D7BBB8C">
            <wp:extent cx="3063240" cy="2042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77AEBD82" w14:textId="0FAEE274" w:rsidR="00A750AC" w:rsidRPr="00A750AC" w:rsidRDefault="001442A0" w:rsidP="00A750AC">
      <w:pPr>
        <w:ind w:left="720"/>
        <w:rPr>
          <w:sz w:val="18"/>
          <w:szCs w:val="18"/>
        </w:rPr>
      </w:pPr>
      <w:r w:rsidRPr="00A750AC">
        <w:rPr>
          <w:b/>
          <w:bCs/>
          <w:sz w:val="18"/>
          <w:szCs w:val="18"/>
        </w:rPr>
        <w:t>Online:</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0.85</w:t>
      </w:r>
      <w:r w:rsidR="004A2924">
        <w:rPr>
          <w:sz w:val="18"/>
          <w:szCs w:val="18"/>
        </w:rPr>
        <w:t>60</w:t>
      </w:r>
      <w:r w:rsidRPr="00A750AC">
        <w:rPr>
          <w:sz w:val="18"/>
          <w:szCs w:val="18"/>
        </w:rPr>
        <w:t>), gain(0.2</w:t>
      </w:r>
      <w:r w:rsidR="004A2924">
        <w:rPr>
          <w:sz w:val="18"/>
          <w:szCs w:val="18"/>
        </w:rPr>
        <w:t>208</w:t>
      </w:r>
      <w:r w:rsidRPr="00A750AC">
        <w:rPr>
          <w:sz w:val="18"/>
          <w:szCs w:val="18"/>
        </w:rPr>
        <w:t>), var(0.0022)</w:t>
      </w:r>
    </w:p>
    <w:p w14:paraId="1086FC73" w14:textId="04660BBA" w:rsidR="001442A0" w:rsidRDefault="001442A0" w:rsidP="00A750AC">
      <w:pPr>
        <w:ind w:left="720"/>
        <w:rPr>
          <w:sz w:val="18"/>
          <w:szCs w:val="18"/>
        </w:rPr>
      </w:pPr>
      <w:r w:rsidRPr="00A750AC">
        <w:rPr>
          <w:b/>
          <w:bCs/>
          <w:sz w:val="18"/>
          <w:szCs w:val="18"/>
        </w:rPr>
        <w:t>Batch:</w:t>
      </w:r>
      <w:r w:rsidRPr="00A750AC">
        <w:rPr>
          <w:sz w:val="18"/>
          <w:szCs w:val="18"/>
        </w:rPr>
        <w:t xml:space="preserve"> </w:t>
      </w:r>
      <w:r w:rsidR="00A750AC">
        <w:rPr>
          <w:sz w:val="18"/>
          <w:szCs w:val="18"/>
        </w:rPr>
        <w:tab/>
      </w:r>
      <w:proofErr w:type="gramStart"/>
      <w:r w:rsidRPr="00A750AC">
        <w:rPr>
          <w:sz w:val="18"/>
          <w:szCs w:val="18"/>
        </w:rPr>
        <w:t>mean(</w:t>
      </w:r>
      <w:proofErr w:type="gramEnd"/>
      <w:r w:rsidRPr="00A750AC">
        <w:rPr>
          <w:sz w:val="18"/>
          <w:szCs w:val="18"/>
        </w:rPr>
        <w:t>0.8</w:t>
      </w:r>
      <w:r w:rsidR="004A2924">
        <w:rPr>
          <w:sz w:val="18"/>
          <w:szCs w:val="18"/>
        </w:rPr>
        <w:t>583</w:t>
      </w:r>
      <w:r w:rsidRPr="00A750AC">
        <w:rPr>
          <w:sz w:val="18"/>
          <w:szCs w:val="18"/>
        </w:rPr>
        <w:t>), gain(0.22</w:t>
      </w:r>
      <w:r w:rsidR="004A2924">
        <w:rPr>
          <w:sz w:val="18"/>
          <w:szCs w:val="18"/>
        </w:rPr>
        <w:t>32</w:t>
      </w:r>
      <w:r w:rsidRPr="00A750AC">
        <w:rPr>
          <w:sz w:val="18"/>
          <w:szCs w:val="18"/>
        </w:rPr>
        <w:t>), var(0.00</w:t>
      </w:r>
      <w:r w:rsidR="004A2924">
        <w:rPr>
          <w:sz w:val="18"/>
          <w:szCs w:val="18"/>
        </w:rPr>
        <w:t>23</w:t>
      </w:r>
      <w:r w:rsidRPr="00A750AC">
        <w:rPr>
          <w:sz w:val="18"/>
          <w:szCs w:val="18"/>
        </w:rPr>
        <w:t>)</w:t>
      </w:r>
    </w:p>
    <w:p w14:paraId="59DCA095" w14:textId="35745F23" w:rsidR="00126B88" w:rsidRDefault="00126B88" w:rsidP="00126B88">
      <w:pPr>
        <w:pStyle w:val="Caption"/>
        <w:jc w:val="center"/>
      </w:pPr>
      <w:r>
        <w:t xml:space="preserve">Figure </w:t>
      </w:r>
      <w:fldSimple w:instr=" SEQ Figure \* ARABIC ">
        <w:r w:rsidR="0082140E">
          <w:rPr>
            <w:noProof/>
          </w:rPr>
          <w:t>8</w:t>
        </w:r>
      </w:fldSimple>
      <w:r>
        <w:t xml:space="preserve"> - Model gains over Baseline</w:t>
      </w:r>
      <w:r w:rsidR="003B0116">
        <w:t>, R</w:t>
      </w:r>
      <w:r w:rsidR="003B0116" w:rsidRPr="00B046AE">
        <w:rPr>
          <w:vertAlign w:val="superscript"/>
        </w:rPr>
        <w:t>2</w:t>
      </w:r>
      <w:r w:rsidR="003B0116">
        <w:t xml:space="preserve"> scores</w:t>
      </w:r>
    </w:p>
    <w:p w14:paraId="1A904DD9" w14:textId="2D072B04" w:rsidR="0093045E" w:rsidRDefault="0093045E" w:rsidP="0093045E">
      <w:pPr>
        <w:rPr>
          <w:b/>
          <w:bCs/>
          <w:sz w:val="18"/>
          <w:szCs w:val="18"/>
        </w:rPr>
      </w:pPr>
    </w:p>
    <w:p w14:paraId="25A615A3" w14:textId="78C63E4C" w:rsidR="00D21D88" w:rsidRPr="003B55B8" w:rsidRDefault="00D21D88" w:rsidP="0093045E">
      <w:pPr>
        <w:jc w:val="both"/>
      </w:pPr>
      <w:r>
        <w:tab/>
      </w:r>
      <w:r w:rsidR="000D547C">
        <w:t>The next</w:t>
      </w:r>
      <w:r>
        <w:t xml:space="preserve"> step is validating the hypothesis that the proposed model is structurally different from the baseline</w:t>
      </w:r>
      <w:r w:rsidR="005122AC">
        <w:t xml:space="preserve">. The chosen process compared each prediction’s mean and variance </w:t>
      </w:r>
      <w:r w:rsidR="005122AC">
        <w:t xml:space="preserve">using the z-score. </w:t>
      </w:r>
      <w:r w:rsidR="000D547C">
        <w:t>A</w:t>
      </w:r>
      <w:r w:rsidR="00452325">
        <w:t xml:space="preserve"> test data</w:t>
      </w:r>
      <w:r w:rsidR="000D547C">
        <w:t xml:space="preserve"> split of 10%</w:t>
      </w:r>
      <w:r w:rsidR="00452325">
        <w:t xml:space="preserve"> was used at each training window </w:t>
      </w:r>
      <w:r w:rsidR="0017230F">
        <w:t xml:space="preserve">to compute this work unit’s </w:t>
      </w:r>
      <w:r w:rsidR="000D547C">
        <w:t>residual losses</w:t>
      </w:r>
      <w:r w:rsidR="0017230F">
        <w:t xml:space="preserve">. The </w:t>
      </w:r>
      <w:r w:rsidR="005122AC">
        <w:t>repeated last measurement</w:t>
      </w:r>
      <w:r w:rsidR="0017230F">
        <w:t xml:space="preserve"> stood for the </w:t>
      </w:r>
      <w:r w:rsidR="00B55945">
        <w:t>baseline forecasts</w:t>
      </w:r>
      <w:r w:rsidR="000D547C">
        <w:t xml:space="preserve"> for the same test cases</w:t>
      </w:r>
      <w:r w:rsidR="0017230F">
        <w:t>. Both samples’ scores supplied the raw material for generating the p-value. The median value of this metric for all training windows could finally be compared to the gold standard of 0.05.</w:t>
      </w:r>
    </w:p>
    <w:p w14:paraId="7AB0CC6F" w14:textId="3DA3F1E8" w:rsidR="001442A0" w:rsidRDefault="001442A0" w:rsidP="001442A0">
      <w:pPr>
        <w:jc w:val="center"/>
      </w:pPr>
      <w:r>
        <w:rPr>
          <w:noProof/>
        </w:rPr>
        <w:drawing>
          <wp:inline distT="0" distB="0" distL="0" distR="0" wp14:anchorId="55842653" wp14:editId="3D27F595">
            <wp:extent cx="306324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64149B29" w14:textId="20F68197" w:rsidR="00E021DB" w:rsidRDefault="00A750AC" w:rsidP="00445C58">
      <w:pPr>
        <w:ind w:left="720"/>
        <w:rPr>
          <w:sz w:val="18"/>
          <w:szCs w:val="18"/>
        </w:rPr>
      </w:pPr>
      <w:r w:rsidRPr="00A750AC">
        <w:rPr>
          <w:b/>
          <w:bCs/>
          <w:sz w:val="18"/>
          <w:szCs w:val="18"/>
        </w:rPr>
        <w:t>Batch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45C58">
        <w:rPr>
          <w:sz w:val="18"/>
          <w:szCs w:val="18"/>
        </w:rPr>
        <w:t>0085)</w:t>
      </w:r>
    </w:p>
    <w:p w14:paraId="2BD63CB9" w14:textId="33F14707" w:rsidR="0082140E" w:rsidRDefault="0082140E" w:rsidP="0082140E">
      <w:pPr>
        <w:pStyle w:val="Caption"/>
        <w:jc w:val="center"/>
      </w:pPr>
      <w:r>
        <w:t xml:space="preserve">Figure </w:t>
      </w:r>
      <w:fldSimple w:instr=" SEQ Figure \* ARABIC ">
        <w:r>
          <w:rPr>
            <w:noProof/>
          </w:rPr>
          <w:t>9</w:t>
        </w:r>
      </w:fldSimple>
      <w:r>
        <w:t xml:space="preserve"> - Hypothesis testing: Batch x Baseline</w:t>
      </w:r>
    </w:p>
    <w:p w14:paraId="24036A61" w14:textId="3214DA97" w:rsidR="000C2FE6" w:rsidRDefault="000C2FE6" w:rsidP="000C2FE6">
      <w:pPr>
        <w:rPr>
          <w:sz w:val="18"/>
          <w:szCs w:val="18"/>
        </w:rPr>
      </w:pPr>
    </w:p>
    <w:p w14:paraId="6512940B" w14:textId="01A73DD0" w:rsidR="000C2FE6" w:rsidRDefault="000C2FE6" w:rsidP="000C2FE6">
      <w:pPr>
        <w:jc w:val="both"/>
        <w:rPr>
          <w:sz w:val="18"/>
          <w:szCs w:val="18"/>
        </w:rPr>
      </w:pPr>
      <w:r>
        <w:rPr>
          <w:sz w:val="18"/>
          <w:szCs w:val="18"/>
        </w:rPr>
        <w:tab/>
        <w:t xml:space="preserve">Figure 9 </w:t>
      </w:r>
      <w:proofErr w:type="spellStart"/>
      <w:r w:rsidR="00B55945">
        <w:rPr>
          <w:sz w:val="18"/>
          <w:szCs w:val="18"/>
        </w:rPr>
        <w:t>summarises</w:t>
      </w:r>
      <w:proofErr w:type="spellEnd"/>
      <w:r>
        <w:rPr>
          <w:sz w:val="18"/>
          <w:szCs w:val="18"/>
        </w:rPr>
        <w:t xml:space="preserve"> the evolution of </w:t>
      </w:r>
      <w:r w:rsidR="00030C14">
        <w:rPr>
          <w:sz w:val="18"/>
          <w:szCs w:val="18"/>
        </w:rPr>
        <w:t xml:space="preserve">the </w:t>
      </w:r>
      <w:r>
        <w:rPr>
          <w:sz w:val="18"/>
          <w:szCs w:val="18"/>
        </w:rPr>
        <w:t>p-value across the training windows</w:t>
      </w:r>
      <w:r w:rsidR="000D547C">
        <w:rPr>
          <w:sz w:val="18"/>
          <w:szCs w:val="18"/>
        </w:rPr>
        <w:t xml:space="preserve"> for the Batch training strategy</w:t>
      </w:r>
      <w:r>
        <w:rPr>
          <w:sz w:val="18"/>
          <w:szCs w:val="18"/>
        </w:rPr>
        <w:t xml:space="preserve">. On the positive side, the median score points to a high likelihood of rejecting the hypothesis that both the baseline model and a CNN1D trained in batches are structurally similar. The dashed </w:t>
      </w:r>
      <w:r w:rsidR="00E13FFB">
        <w:rPr>
          <w:sz w:val="18"/>
          <w:szCs w:val="18"/>
        </w:rPr>
        <w:t xml:space="preserve">red line marks </w:t>
      </w:r>
      <w:r w:rsidR="00452325">
        <w:rPr>
          <w:sz w:val="18"/>
          <w:szCs w:val="18"/>
        </w:rPr>
        <w:t>this test's 0.05 threshold, the gold standard</w:t>
      </w:r>
      <w:r w:rsidR="00E13FFB">
        <w:rPr>
          <w:sz w:val="18"/>
          <w:szCs w:val="18"/>
        </w:rPr>
        <w:t>. Still, on several training windows</w:t>
      </w:r>
      <w:r w:rsidR="00030C14">
        <w:rPr>
          <w:sz w:val="18"/>
          <w:szCs w:val="18"/>
        </w:rPr>
        <w:t>,</w:t>
      </w:r>
      <w:r w:rsidR="00E13FFB">
        <w:rPr>
          <w:sz w:val="18"/>
          <w:szCs w:val="18"/>
        </w:rPr>
        <w:t xml:space="preserve"> we encounter </w:t>
      </w:r>
      <w:r w:rsidR="000D547C">
        <w:rPr>
          <w:sz w:val="18"/>
          <w:szCs w:val="18"/>
        </w:rPr>
        <w:t>unclear</w:t>
      </w:r>
      <w:r w:rsidR="00E13FFB">
        <w:rPr>
          <w:sz w:val="18"/>
          <w:szCs w:val="18"/>
        </w:rPr>
        <w:t xml:space="preserve"> </w:t>
      </w:r>
      <w:proofErr w:type="spellStart"/>
      <w:r w:rsidR="00E13FFB">
        <w:rPr>
          <w:sz w:val="18"/>
          <w:szCs w:val="18"/>
        </w:rPr>
        <w:t>behaviour</w:t>
      </w:r>
      <w:r w:rsidR="000D547C">
        <w:rPr>
          <w:sz w:val="18"/>
          <w:szCs w:val="18"/>
        </w:rPr>
        <w:t>s</w:t>
      </w:r>
      <w:proofErr w:type="spellEnd"/>
      <w:r w:rsidR="000D547C">
        <w:rPr>
          <w:sz w:val="18"/>
          <w:szCs w:val="18"/>
        </w:rPr>
        <w:t xml:space="preserve"> with much higher p-values</w:t>
      </w:r>
      <w:r w:rsidR="00E13FFB">
        <w:rPr>
          <w:sz w:val="18"/>
          <w:szCs w:val="18"/>
        </w:rPr>
        <w:t>.</w:t>
      </w:r>
    </w:p>
    <w:p w14:paraId="32AAB39B" w14:textId="2621C79F" w:rsidR="00E021DB" w:rsidRDefault="00E021DB" w:rsidP="00E021DB">
      <w:pPr>
        <w:rPr>
          <w:sz w:val="18"/>
          <w:szCs w:val="18"/>
        </w:rPr>
      </w:pPr>
      <w:r>
        <w:rPr>
          <w:noProof/>
          <w:sz w:val="18"/>
          <w:szCs w:val="18"/>
        </w:rPr>
        <w:drawing>
          <wp:inline distT="0" distB="0" distL="0" distR="0" wp14:anchorId="78F3E39E" wp14:editId="6B35A62D">
            <wp:extent cx="3063240" cy="204216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0F4E956A" w14:textId="074836E0" w:rsidR="00E021DB" w:rsidRDefault="00207C3B" w:rsidP="00E021DB">
      <w:pPr>
        <w:rPr>
          <w:sz w:val="18"/>
          <w:szCs w:val="18"/>
        </w:rPr>
      </w:pPr>
      <w:proofErr w:type="gramStart"/>
      <w:r>
        <w:rPr>
          <w:b/>
          <w:bCs/>
          <w:sz w:val="18"/>
          <w:szCs w:val="18"/>
        </w:rPr>
        <w:t>W(</w:t>
      </w:r>
      <w:proofErr w:type="gramEnd"/>
      <w:r>
        <w:rPr>
          <w:b/>
          <w:bCs/>
          <w:sz w:val="18"/>
          <w:szCs w:val="18"/>
        </w:rPr>
        <w:t xml:space="preserve">1) </w:t>
      </w:r>
      <w:r w:rsidR="00E021DB" w:rsidRPr="00E021DB">
        <w:rPr>
          <w:b/>
          <w:bCs/>
          <w:sz w:val="18"/>
          <w:szCs w:val="18"/>
        </w:rPr>
        <w:t>P(930):</w:t>
      </w:r>
      <w:r w:rsidR="00E021DB">
        <w:rPr>
          <w:sz w:val="18"/>
          <w:szCs w:val="18"/>
        </w:rPr>
        <w:tab/>
      </w:r>
      <w:r w:rsidR="00E021DB" w:rsidRPr="00E021DB">
        <w:rPr>
          <w:sz w:val="18"/>
          <w:szCs w:val="18"/>
        </w:rPr>
        <w:t>MSE (baseline)</w:t>
      </w:r>
      <w:r w:rsidR="00E021DB">
        <w:rPr>
          <w:sz w:val="18"/>
          <w:szCs w:val="18"/>
        </w:rPr>
        <w:tab/>
      </w:r>
      <w:r w:rsidR="00E021DB">
        <w:rPr>
          <w:sz w:val="18"/>
          <w:szCs w:val="18"/>
        </w:rPr>
        <w:tab/>
      </w:r>
      <w:r w:rsidR="00E021DB" w:rsidRPr="00E021DB">
        <w:rPr>
          <w:sz w:val="18"/>
          <w:szCs w:val="18"/>
        </w:rPr>
        <w:t>0.00029548</w:t>
      </w:r>
    </w:p>
    <w:p w14:paraId="50F646A4" w14:textId="372EF685" w:rsidR="00E021DB" w:rsidRPr="00E021DB" w:rsidRDefault="00E021DB" w:rsidP="00E021DB">
      <w:pPr>
        <w:ind w:left="720" w:firstLine="720"/>
        <w:rPr>
          <w:sz w:val="18"/>
          <w:szCs w:val="18"/>
        </w:rPr>
      </w:pPr>
      <w:r w:rsidRPr="00E021DB">
        <w:rPr>
          <w:sz w:val="18"/>
          <w:szCs w:val="18"/>
        </w:rPr>
        <w:t xml:space="preserve">MSE (cnn1d) </w:t>
      </w:r>
      <w:r>
        <w:rPr>
          <w:sz w:val="18"/>
          <w:szCs w:val="18"/>
        </w:rPr>
        <w:tab/>
      </w:r>
      <w:r>
        <w:rPr>
          <w:sz w:val="18"/>
          <w:szCs w:val="18"/>
        </w:rPr>
        <w:tab/>
      </w:r>
      <w:r w:rsidRPr="00E021DB">
        <w:rPr>
          <w:sz w:val="18"/>
          <w:szCs w:val="18"/>
        </w:rPr>
        <w:t>0.00025535</w:t>
      </w:r>
    </w:p>
    <w:p w14:paraId="5D7B917A" w14:textId="5EA7C3EE" w:rsidR="00E13FFB" w:rsidRDefault="00231856" w:rsidP="00E13FFB">
      <w:pPr>
        <w:ind w:left="720" w:firstLine="720"/>
        <w:rPr>
          <w:sz w:val="18"/>
          <w:szCs w:val="18"/>
        </w:rPr>
      </w:pPr>
      <w:r>
        <w:rPr>
          <w:sz w:val="18"/>
          <w:szCs w:val="18"/>
        </w:rPr>
        <w:t>p</w:t>
      </w:r>
      <w:r w:rsidR="00E12220">
        <w:rPr>
          <w:sz w:val="18"/>
          <w:szCs w:val="18"/>
        </w:rPr>
        <w:t>-</w:t>
      </w:r>
      <w:r>
        <w:rPr>
          <w:sz w:val="18"/>
          <w:szCs w:val="18"/>
        </w:rPr>
        <w:t>v</w:t>
      </w:r>
      <w:r w:rsidR="00E021DB" w:rsidRPr="00E021DB">
        <w:rPr>
          <w:sz w:val="18"/>
          <w:szCs w:val="18"/>
        </w:rPr>
        <w:t>alue (</w:t>
      </w:r>
      <w:r>
        <w:rPr>
          <w:sz w:val="18"/>
          <w:szCs w:val="18"/>
        </w:rPr>
        <w:t>s</w:t>
      </w:r>
      <w:r w:rsidR="00E12220">
        <w:rPr>
          <w:sz w:val="18"/>
          <w:szCs w:val="18"/>
        </w:rPr>
        <w:t>tudent</w:t>
      </w:r>
      <w:r>
        <w:rPr>
          <w:sz w:val="18"/>
          <w:szCs w:val="18"/>
        </w:rPr>
        <w:t xml:space="preserve"> </w:t>
      </w:r>
      <w:r w:rsidR="00E12220">
        <w:rPr>
          <w:sz w:val="18"/>
          <w:szCs w:val="18"/>
        </w:rPr>
        <w:t>T</w:t>
      </w:r>
      <w:r w:rsidR="00E021DB" w:rsidRPr="00E021DB">
        <w:rPr>
          <w:sz w:val="18"/>
          <w:szCs w:val="18"/>
        </w:rPr>
        <w:t xml:space="preserve">): </w:t>
      </w:r>
      <w:r w:rsidR="00E021DB">
        <w:rPr>
          <w:sz w:val="18"/>
          <w:szCs w:val="18"/>
        </w:rPr>
        <w:tab/>
      </w:r>
      <w:r w:rsidR="00E021DB" w:rsidRPr="00E021DB">
        <w:rPr>
          <w:sz w:val="18"/>
          <w:szCs w:val="18"/>
        </w:rPr>
        <w:t>0.01607697</w:t>
      </w:r>
    </w:p>
    <w:p w14:paraId="65146A95" w14:textId="071CC1BA" w:rsidR="0082140E" w:rsidRDefault="0082140E" w:rsidP="0082140E">
      <w:pPr>
        <w:pStyle w:val="Caption"/>
        <w:jc w:val="center"/>
      </w:pPr>
      <w:r>
        <w:t xml:space="preserve">Figure </w:t>
      </w:r>
      <w:fldSimple w:instr=" SEQ Figure \* ARABIC ">
        <w:r>
          <w:rPr>
            <w:noProof/>
          </w:rPr>
          <w:t>10</w:t>
        </w:r>
      </w:fldSimple>
      <w:r>
        <w:t xml:space="preserve"> - Model and Baseline similarities</w:t>
      </w:r>
    </w:p>
    <w:p w14:paraId="0982B20F" w14:textId="75F59787" w:rsidR="00E13FFB" w:rsidRDefault="00E13FFB" w:rsidP="00E13FFB">
      <w:pPr>
        <w:rPr>
          <w:sz w:val="18"/>
          <w:szCs w:val="18"/>
        </w:rPr>
      </w:pPr>
    </w:p>
    <w:p w14:paraId="119C60C4" w14:textId="4005D3AD" w:rsidR="00D2397A" w:rsidRPr="00F46E8A" w:rsidRDefault="00E13FFB" w:rsidP="00F46E8A">
      <w:pPr>
        <w:jc w:val="both"/>
        <w:rPr>
          <w:sz w:val="18"/>
          <w:szCs w:val="18"/>
        </w:rPr>
      </w:pPr>
      <w:r>
        <w:rPr>
          <w:sz w:val="18"/>
          <w:szCs w:val="18"/>
        </w:rPr>
        <w:tab/>
        <w:t xml:space="preserve">One explanation for these discrepancies can be found </w:t>
      </w:r>
      <w:r w:rsidR="00467CB5">
        <w:rPr>
          <w:sz w:val="18"/>
          <w:szCs w:val="18"/>
        </w:rPr>
        <w:t>in</w:t>
      </w:r>
      <w:r>
        <w:rPr>
          <w:sz w:val="18"/>
          <w:szCs w:val="18"/>
        </w:rPr>
        <w:t xml:space="preserve"> Figure 10. It showcases a period of low variation </w:t>
      </w:r>
      <w:r w:rsidR="00467CB5">
        <w:rPr>
          <w:sz w:val="18"/>
          <w:szCs w:val="18"/>
        </w:rPr>
        <w:t>in</w:t>
      </w:r>
      <w:r>
        <w:rPr>
          <w:sz w:val="18"/>
          <w:szCs w:val="18"/>
        </w:rPr>
        <w:t xml:space="preserve"> consumption. In this case</w:t>
      </w:r>
      <w:r w:rsidR="00467CB5">
        <w:rPr>
          <w:sz w:val="18"/>
          <w:szCs w:val="18"/>
        </w:rPr>
        <w:t>,</w:t>
      </w:r>
      <w:r>
        <w:rPr>
          <w:sz w:val="18"/>
          <w:szCs w:val="18"/>
        </w:rPr>
        <w:t xml:space="preserve"> </w:t>
      </w:r>
      <w:r w:rsidR="00B55945">
        <w:rPr>
          <w:sz w:val="18"/>
          <w:szCs w:val="18"/>
        </w:rPr>
        <w:t xml:space="preserve">the mean squared error reported by baseline and CNN1D is expected to be </w:t>
      </w:r>
      <w:r w:rsidR="00F46E8A">
        <w:rPr>
          <w:sz w:val="18"/>
          <w:szCs w:val="18"/>
        </w:rPr>
        <w:t>drawn from</w:t>
      </w:r>
      <w:r w:rsidR="00F61DB4">
        <w:rPr>
          <w:sz w:val="18"/>
          <w:szCs w:val="18"/>
        </w:rPr>
        <w:t xml:space="preserve"> the same</w:t>
      </w:r>
      <w:r w:rsidR="00583B6A">
        <w:rPr>
          <w:sz w:val="18"/>
          <w:szCs w:val="18"/>
        </w:rPr>
        <w:t xml:space="preserve"> value</w:t>
      </w:r>
      <w:r w:rsidR="00F61DB4">
        <w:rPr>
          <w:sz w:val="18"/>
          <w:szCs w:val="18"/>
        </w:rPr>
        <w:t xml:space="preserve"> </w:t>
      </w:r>
      <w:proofErr w:type="spellStart"/>
      <w:r w:rsidR="00467CB5">
        <w:rPr>
          <w:sz w:val="18"/>
          <w:szCs w:val="18"/>
        </w:rPr>
        <w:t>neighbourhoods</w:t>
      </w:r>
      <w:proofErr w:type="spellEnd"/>
      <w:r w:rsidR="00F61DB4">
        <w:rPr>
          <w:sz w:val="18"/>
          <w:szCs w:val="18"/>
        </w:rPr>
        <w:t xml:space="preserve">. Consequently, both models will </w:t>
      </w:r>
      <w:r w:rsidR="00F12ACB">
        <w:rPr>
          <w:sz w:val="18"/>
          <w:szCs w:val="18"/>
        </w:rPr>
        <w:t xml:space="preserve">tend to </w:t>
      </w:r>
      <w:r w:rsidR="00F61DB4">
        <w:rPr>
          <w:sz w:val="18"/>
          <w:szCs w:val="18"/>
        </w:rPr>
        <w:t xml:space="preserve">be structurally similar. It is a key finding about the </w:t>
      </w:r>
      <w:proofErr w:type="spellStart"/>
      <w:r w:rsidR="00F61DB4">
        <w:rPr>
          <w:sz w:val="18"/>
          <w:szCs w:val="18"/>
        </w:rPr>
        <w:t>behaviour</w:t>
      </w:r>
      <w:proofErr w:type="spellEnd"/>
      <w:r w:rsidR="00F61DB4">
        <w:rPr>
          <w:sz w:val="18"/>
          <w:szCs w:val="18"/>
        </w:rPr>
        <w:t xml:space="preserve"> of the forecasting model</w:t>
      </w:r>
      <w:r w:rsidR="00F46E8A">
        <w:rPr>
          <w:sz w:val="18"/>
          <w:szCs w:val="18"/>
        </w:rPr>
        <w:t xml:space="preserve"> as a whole</w:t>
      </w:r>
      <w:r w:rsidR="00F61DB4">
        <w:rPr>
          <w:sz w:val="18"/>
          <w:szCs w:val="18"/>
        </w:rPr>
        <w:t xml:space="preserve">: its gains </w:t>
      </w:r>
      <w:r w:rsidR="001A0B20">
        <w:rPr>
          <w:sz w:val="18"/>
          <w:szCs w:val="18"/>
        </w:rPr>
        <w:t xml:space="preserve">in </w:t>
      </w:r>
      <w:proofErr w:type="spellStart"/>
      <w:r w:rsidR="00452325">
        <w:rPr>
          <w:sz w:val="18"/>
          <w:szCs w:val="18"/>
        </w:rPr>
        <w:t>minimising</w:t>
      </w:r>
      <w:proofErr w:type="spellEnd"/>
      <w:r w:rsidR="001A0B20">
        <w:rPr>
          <w:sz w:val="18"/>
          <w:szCs w:val="18"/>
        </w:rPr>
        <w:t xml:space="preserve"> residual errors </w:t>
      </w:r>
      <w:r w:rsidR="00F61DB4">
        <w:rPr>
          <w:sz w:val="18"/>
          <w:szCs w:val="18"/>
        </w:rPr>
        <w:t xml:space="preserve">are linked to periods of high variance in </w:t>
      </w:r>
      <w:r w:rsidR="001A0B20">
        <w:rPr>
          <w:sz w:val="18"/>
          <w:szCs w:val="18"/>
        </w:rPr>
        <w:t>metering</w:t>
      </w:r>
      <w:r w:rsidR="00F61DB4">
        <w:rPr>
          <w:sz w:val="18"/>
          <w:szCs w:val="18"/>
        </w:rPr>
        <w:t xml:space="preserve">. </w:t>
      </w:r>
      <w:r w:rsidR="001A0B20">
        <w:rPr>
          <w:sz w:val="18"/>
          <w:szCs w:val="18"/>
        </w:rPr>
        <w:t xml:space="preserve">In scenarios where consumption remains stable, we can expect degradation in overall predictive </w:t>
      </w:r>
      <w:r w:rsidR="006B1079">
        <w:rPr>
          <w:sz w:val="18"/>
          <w:szCs w:val="18"/>
        </w:rPr>
        <w:t>gains</w:t>
      </w:r>
      <w:r w:rsidR="001A0B20">
        <w:rPr>
          <w:sz w:val="18"/>
          <w:szCs w:val="18"/>
        </w:rPr>
        <w:t>.</w:t>
      </w:r>
    </w:p>
    <w:p w14:paraId="41B444C2" w14:textId="1A7DDC15" w:rsidR="001442A0" w:rsidRDefault="001442A0" w:rsidP="001442A0">
      <w:pPr>
        <w:jc w:val="center"/>
      </w:pPr>
      <w:r>
        <w:rPr>
          <w:noProof/>
        </w:rPr>
        <w:lastRenderedPageBreak/>
        <w:drawing>
          <wp:inline distT="0" distB="0" distL="0" distR="0" wp14:anchorId="6970E360" wp14:editId="1132FE12">
            <wp:extent cx="3063240" cy="2042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042160"/>
                    </a:xfrm>
                    <a:prstGeom prst="rect">
                      <a:avLst/>
                    </a:prstGeom>
                  </pic:spPr>
                </pic:pic>
              </a:graphicData>
            </a:graphic>
          </wp:inline>
        </w:drawing>
      </w:r>
    </w:p>
    <w:p w14:paraId="59041AF5" w14:textId="3D49F3DD" w:rsidR="00A750AC" w:rsidRDefault="00A750AC" w:rsidP="00A750AC">
      <w:pPr>
        <w:ind w:left="720"/>
        <w:rPr>
          <w:sz w:val="18"/>
          <w:szCs w:val="18"/>
        </w:rPr>
      </w:pPr>
      <w:r w:rsidRPr="00A750AC">
        <w:rPr>
          <w:b/>
          <w:bCs/>
          <w:sz w:val="18"/>
          <w:szCs w:val="18"/>
        </w:rPr>
        <w:t>Cross Model:</w:t>
      </w:r>
      <w:r w:rsidRPr="00A750AC">
        <w:rPr>
          <w:sz w:val="18"/>
          <w:szCs w:val="18"/>
        </w:rPr>
        <w:t xml:space="preserve"> </w:t>
      </w:r>
      <w:r w:rsidRPr="00A750AC">
        <w:rPr>
          <w:sz w:val="18"/>
          <w:szCs w:val="18"/>
        </w:rPr>
        <w:tab/>
      </w:r>
      <w:r w:rsidR="00255326">
        <w:rPr>
          <w:sz w:val="18"/>
          <w:szCs w:val="18"/>
        </w:rPr>
        <w:t xml:space="preserve">median </w:t>
      </w:r>
      <w:r w:rsidR="00231856">
        <w:rPr>
          <w:sz w:val="18"/>
          <w:szCs w:val="18"/>
        </w:rPr>
        <w:t>p</w:t>
      </w:r>
      <w:r w:rsidRPr="00A750AC">
        <w:rPr>
          <w:sz w:val="18"/>
          <w:szCs w:val="18"/>
        </w:rPr>
        <w:t>-</w:t>
      </w:r>
      <w:proofErr w:type="gramStart"/>
      <w:r w:rsidR="00231856">
        <w:rPr>
          <w:sz w:val="18"/>
          <w:szCs w:val="18"/>
        </w:rPr>
        <w:t>v</w:t>
      </w:r>
      <w:r w:rsidRPr="00A750AC">
        <w:rPr>
          <w:sz w:val="18"/>
          <w:szCs w:val="18"/>
        </w:rPr>
        <w:t>alue(</w:t>
      </w:r>
      <w:proofErr w:type="gramEnd"/>
      <w:r w:rsidRPr="00A750AC">
        <w:rPr>
          <w:sz w:val="18"/>
          <w:szCs w:val="18"/>
        </w:rPr>
        <w:t>0.</w:t>
      </w:r>
      <w:r w:rsidR="004A2924">
        <w:rPr>
          <w:sz w:val="18"/>
          <w:szCs w:val="18"/>
        </w:rPr>
        <w:t>3508</w:t>
      </w:r>
      <w:r w:rsidRPr="00A750AC">
        <w:rPr>
          <w:sz w:val="18"/>
          <w:szCs w:val="18"/>
        </w:rPr>
        <w:t>)</w:t>
      </w:r>
    </w:p>
    <w:p w14:paraId="591D36F5" w14:textId="6988621E" w:rsidR="0082140E" w:rsidRPr="00A750AC" w:rsidRDefault="0082140E" w:rsidP="0082140E">
      <w:pPr>
        <w:pStyle w:val="Caption"/>
        <w:jc w:val="center"/>
      </w:pPr>
      <w:r>
        <w:t xml:space="preserve">Figure </w:t>
      </w:r>
      <w:fldSimple w:instr=" SEQ Figure \* ARABIC ">
        <w:r>
          <w:rPr>
            <w:noProof/>
          </w:rPr>
          <w:t>12</w:t>
        </w:r>
      </w:fldSimple>
      <w:r>
        <w:t xml:space="preserve"> - </w:t>
      </w:r>
      <w:r w:rsidRPr="00F653A7">
        <w:t xml:space="preserve">Hypothesis testing: Batch x </w:t>
      </w:r>
      <w:r>
        <w:t>Online</w:t>
      </w:r>
    </w:p>
    <w:p w14:paraId="57F176C2" w14:textId="751CFCFC" w:rsidR="001442A0" w:rsidRDefault="001442A0" w:rsidP="008662EE"/>
    <w:p w14:paraId="0D67EFA0" w14:textId="31FF0267" w:rsidR="009D3407" w:rsidRDefault="00EC2EDC" w:rsidP="00EC2EDC">
      <w:pPr>
        <w:jc w:val="both"/>
      </w:pPr>
      <w:r>
        <w:tab/>
        <w:t xml:space="preserve">Finally, we perform the structural comparison between the Batch and Online training strategies. Figure 12 supplies an inconclusive picture. The hypothesis of both models being significantly different has much less consistent </w:t>
      </w:r>
      <w:proofErr w:type="spellStart"/>
      <w:r>
        <w:t>behaviour</w:t>
      </w:r>
      <w:proofErr w:type="spellEnd"/>
      <w:r>
        <w:t xml:space="preserve"> across training windows. </w:t>
      </w:r>
      <w:r w:rsidR="009D3407">
        <w:t>There is no evidence that the choice in training strategy will have significant impact in this type of short-term forecasting model training.</w:t>
      </w:r>
    </w:p>
    <w:p w14:paraId="742242DC" w14:textId="2558D3DE" w:rsidR="00EC2EDC" w:rsidRDefault="009D3407" w:rsidP="009D3407">
      <w:pPr>
        <w:ind w:firstLine="720"/>
        <w:jc w:val="both"/>
      </w:pPr>
      <w:r>
        <w:t>For the dataset used in the experiment</w:t>
      </w:r>
      <w:r w:rsidR="00EC2EDC">
        <w:t>, the Batch training strategy has a slight edge</w:t>
      </w:r>
      <w:r>
        <w:t>. Nonetheless, there are practical concerns that might push judgement in favor of this strategy.</w:t>
      </w:r>
      <w:r w:rsidR="00411256">
        <w:t xml:space="preserve"> </w:t>
      </w:r>
      <w:r>
        <w:t>I</w:t>
      </w:r>
      <w:r w:rsidR="00411256">
        <w:t>t does not require sophisticated state keeping</w:t>
      </w:r>
      <w:r>
        <w:t xml:space="preserve"> of previous iterations of a consumer’s model</w:t>
      </w:r>
      <w:r w:rsidR="00411256">
        <w:t xml:space="preserve"> and can be generated ad-hoc</w:t>
      </w:r>
      <w:r w:rsidR="008B6792">
        <w:t xml:space="preserve"> even though</w:t>
      </w:r>
      <w:r w:rsidR="00B55945">
        <w:t>, it</w:t>
      </w:r>
      <w:r w:rsidR="00F46E8A">
        <w:t xml:space="preserve"> provides roughly the same p-value score as Online </w:t>
      </w:r>
      <w:r w:rsidR="00835F64">
        <w:t xml:space="preserve">when </w:t>
      </w:r>
      <w:r w:rsidR="00F46E8A">
        <w:t>compared to the baseline</w:t>
      </w:r>
      <w:r w:rsidR="00411256">
        <w:t>.</w:t>
      </w:r>
    </w:p>
    <w:p w14:paraId="0299A561" w14:textId="77777777" w:rsidR="00EC2EDC" w:rsidRPr="008662EE" w:rsidRDefault="00EC2EDC" w:rsidP="008662EE"/>
    <w:p w14:paraId="34DD075D" w14:textId="2AA80940" w:rsidR="00732E46" w:rsidRDefault="00DB3364" w:rsidP="003F56E3">
      <w:pPr>
        <w:pStyle w:val="Heading1"/>
      </w:pPr>
      <w:r w:rsidRPr="00CD4E53">
        <w:t>V</w:t>
      </w:r>
      <w:r w:rsidR="00C23B5E">
        <w:t>I</w:t>
      </w:r>
      <w:r w:rsidR="000E39D5">
        <w:t>I</w:t>
      </w:r>
      <w:r w:rsidRPr="00CD4E53">
        <w:t xml:space="preserve">. </w:t>
      </w:r>
      <w:r w:rsidR="000F2C11" w:rsidRPr="00CD4E53">
        <w:t>Conclusion</w:t>
      </w:r>
    </w:p>
    <w:p w14:paraId="497AF0F0" w14:textId="77777777" w:rsidR="00622DB1" w:rsidRPr="00622DB1" w:rsidRDefault="00622DB1" w:rsidP="00622DB1"/>
    <w:p w14:paraId="508F29C6" w14:textId="28C924C1" w:rsidR="00EB6DE4" w:rsidRDefault="00622DB1" w:rsidP="00622DB1">
      <w:pPr>
        <w:jc w:val="both"/>
      </w:pPr>
      <w:r>
        <w:tab/>
        <w:t>This document outlined a possible strategy for enabling demand-side response in the context of smart electrical grids. It builds on two foundational aspects of a broader technological landscape. First</w:t>
      </w:r>
      <w:r w:rsidR="00711178">
        <w:t xml:space="preserve"> is the move from a </w:t>
      </w:r>
      <w:r>
        <w:t xml:space="preserve">central control system that relies mainly on information broadcast to manage consumption </w:t>
      </w:r>
      <w:r w:rsidR="00711178">
        <w:t>toward</w:t>
      </w:r>
      <w:r>
        <w:t xml:space="preserve"> a distributed, fully connected</w:t>
      </w:r>
      <w:r w:rsidR="00EB6DE4">
        <w:t xml:space="preserve"> platform. Second, the opportunities for engaging with residential consumers directly, borrowing successful applications of machine learning systems on state-of-the-art marketing solutions.</w:t>
      </w:r>
    </w:p>
    <w:p w14:paraId="5940CCCD" w14:textId="2337A7EF" w:rsidR="008662EE" w:rsidRDefault="00EB6DE4" w:rsidP="00622DB1">
      <w:pPr>
        <w:jc w:val="both"/>
      </w:pPr>
      <w:r>
        <w:tab/>
      </w:r>
      <w:r w:rsidR="00622DB1">
        <w:t xml:space="preserve"> </w:t>
      </w:r>
      <w:r>
        <w:t xml:space="preserve">The discussion surveyed the applicability of this toolkit </w:t>
      </w:r>
      <w:r w:rsidR="00711178">
        <w:t>to</w:t>
      </w:r>
      <w:r>
        <w:t xml:space="preserve"> current IoT applications and, most importantly, </w:t>
      </w:r>
      <w:r w:rsidR="00711178">
        <w:t>smart residential</w:t>
      </w:r>
      <w:r>
        <w:t xml:space="preserve"> meters. To that effect, the research focused on finding the most cost-effective </w:t>
      </w:r>
      <w:r w:rsidR="00A8590F">
        <w:t>algorithm in terms of both size (</w:t>
      </w:r>
      <w:r w:rsidR="00711178">
        <w:t xml:space="preserve">lightweight and distributable over the network) and processing times (to reduce resource consumption on the </w:t>
      </w:r>
      <w:r w:rsidR="00A8590F">
        <w:t>embedded</w:t>
      </w:r>
      <w:r w:rsidR="006C6F04">
        <w:t xml:space="preserve"> side of the</w:t>
      </w:r>
      <w:r w:rsidR="00A8590F">
        <w:t xml:space="preserve"> solution). ANNs provide a comfortable level of </w:t>
      </w:r>
      <w:proofErr w:type="spellStart"/>
      <w:r w:rsidR="00711178">
        <w:t>modularisation</w:t>
      </w:r>
      <w:proofErr w:type="spellEnd"/>
      <w:r w:rsidR="00A8590F">
        <w:t xml:space="preserve"> to enable solution interchangeability without affecting data preprocessing or output formatting. Out of all candidate architectures, CNN1D was the </w:t>
      </w:r>
      <w:r w:rsidR="006C6F04">
        <w:t>best choice in both criteria.</w:t>
      </w:r>
    </w:p>
    <w:p w14:paraId="4EED1AAB" w14:textId="39474D37" w:rsidR="006C6F04" w:rsidRDefault="006C6F04" w:rsidP="00622DB1">
      <w:pPr>
        <w:jc w:val="both"/>
      </w:pPr>
      <w:r>
        <w:tab/>
        <w:t xml:space="preserve">Next, the document compared the residual errors of the estimator against the persistence model. This baseline stood in </w:t>
      </w:r>
      <w:r>
        <w:t xml:space="preserve">as metering systems that </w:t>
      </w:r>
      <w:r w:rsidR="008B6792">
        <w:t xml:space="preserve">only </w:t>
      </w:r>
      <w:r>
        <w:t xml:space="preserve">report </w:t>
      </w:r>
      <w:r w:rsidR="00711178">
        <w:t xml:space="preserve">the </w:t>
      </w:r>
      <w:r>
        <w:t xml:space="preserve">current consumption profile. The results </w:t>
      </w:r>
      <w:r w:rsidR="00711178">
        <w:t>indicated an overall gain of 0.2</w:t>
      </w:r>
      <w:r w:rsidR="00776B2D">
        <w:t>2</w:t>
      </w:r>
      <w:r w:rsidR="00711178">
        <w:t xml:space="preserve"> points in the R</w:t>
      </w:r>
      <w:r w:rsidR="00711178" w:rsidRPr="00776B2D">
        <w:rPr>
          <w:vertAlign w:val="superscript"/>
        </w:rPr>
        <w:t>2</w:t>
      </w:r>
      <w:r w:rsidR="00711178">
        <w:t xml:space="preserve"> statistic, reaching a mean value of 0.85 on a test dataset spanning</w:t>
      </w:r>
      <w:r w:rsidR="001F4213">
        <w:t xml:space="preserve"> </w:t>
      </w:r>
      <w:r w:rsidR="00711178">
        <w:t>four</w:t>
      </w:r>
      <w:r w:rsidR="001F4213">
        <w:t xml:space="preserve"> years.</w:t>
      </w:r>
    </w:p>
    <w:p w14:paraId="427FF2E2" w14:textId="75DD334A" w:rsidR="001F4213" w:rsidRDefault="001F4213" w:rsidP="00622DB1">
      <w:pPr>
        <w:jc w:val="both"/>
      </w:pPr>
      <w:r>
        <w:tab/>
        <w:t>A more rigorous appraisal of the hypothesis present</w:t>
      </w:r>
      <w:r w:rsidR="00290F31">
        <w:t>ed</w:t>
      </w:r>
      <w:r>
        <w:t xml:space="preserve"> some challenges. A stationary baseline</w:t>
      </w:r>
      <w:r w:rsidR="00050EA5">
        <w:t xml:space="preserve"> provides meaningful insights </w:t>
      </w:r>
      <w:r w:rsidR="00711178">
        <w:t>into</w:t>
      </w:r>
      <w:r w:rsidR="00050EA5">
        <w:t xml:space="preserve"> scenarios whe</w:t>
      </w:r>
      <w:r w:rsidR="00290F31">
        <w:t>n</w:t>
      </w:r>
      <w:r w:rsidR="00050EA5">
        <w:t xml:space="preserve"> constant consumption variation is the norm but </w:t>
      </w:r>
      <w:r w:rsidR="00711178">
        <w:t>acts</w:t>
      </w:r>
      <w:r w:rsidR="00050EA5">
        <w:t xml:space="preserve"> as a confounding factor when consumption </w:t>
      </w:r>
      <w:proofErr w:type="spellStart"/>
      <w:r w:rsidR="00711178">
        <w:t>stabilises</w:t>
      </w:r>
      <w:proofErr w:type="spellEnd"/>
      <w:r w:rsidR="00050EA5">
        <w:t xml:space="preserve">. This is an intractable problem since we need an estimator that </w:t>
      </w:r>
      <w:r w:rsidR="00711178">
        <w:t>captures signal shifts and</w:t>
      </w:r>
      <w:r w:rsidR="00050EA5">
        <w:t xml:space="preserve"> </w:t>
      </w:r>
      <w:proofErr w:type="spellStart"/>
      <w:r w:rsidR="00711178">
        <w:t>stabilisation</w:t>
      </w:r>
      <w:proofErr w:type="spellEnd"/>
      <w:r w:rsidR="00050EA5">
        <w:t xml:space="preserve">. Nonetheless, the experiment detected enough difference </w:t>
      </w:r>
      <w:r w:rsidR="005F2982">
        <w:t xml:space="preserve">using this imperfect approach to highlight that the model did not perform like the baseline </w:t>
      </w:r>
      <w:r w:rsidR="008B6792">
        <w:t>as a norm</w:t>
      </w:r>
      <w:r w:rsidR="005F2982">
        <w:t>.</w:t>
      </w:r>
    </w:p>
    <w:p w14:paraId="5400EE22" w14:textId="75214398" w:rsidR="005F2982" w:rsidRDefault="005F2982" w:rsidP="00622DB1">
      <w:pPr>
        <w:jc w:val="both"/>
      </w:pPr>
      <w:r>
        <w:tab/>
        <w:t xml:space="preserve">Another research question was </w:t>
      </w:r>
      <w:r w:rsidR="00711178">
        <w:t xml:space="preserve">about </w:t>
      </w:r>
      <w:r>
        <w:t>possible operational gains enabled by different training strategies</w:t>
      </w:r>
      <w:r w:rsidR="00711178">
        <w:t xml:space="preserve">: </w:t>
      </w:r>
      <w:r>
        <w:t xml:space="preserve">batch and online training options </w:t>
      </w:r>
      <w:r w:rsidR="00021F94">
        <w:t>performed at</w:t>
      </w:r>
      <w:r w:rsidR="0062379A">
        <w:t xml:space="preserve"> roughly</w:t>
      </w:r>
      <w:r w:rsidR="00021F94">
        <w:t xml:space="preserve"> the same level of accuracy. Moreover, the z-statistic test showed no </w:t>
      </w:r>
      <w:r w:rsidR="00711178">
        <w:t>apparent</w:t>
      </w:r>
      <w:r w:rsidR="00021F94">
        <w:t xml:space="preserve"> structural differences between </w:t>
      </w:r>
      <w:r w:rsidR="003D19BA">
        <w:t xml:space="preserve">these </w:t>
      </w:r>
      <w:r w:rsidR="00021F94">
        <w:t>candidates.</w:t>
      </w:r>
      <w:r w:rsidR="008B6792">
        <w:t xml:space="preserve"> In this case, the batch strategy has the edge since it is the simpler training process.</w:t>
      </w:r>
    </w:p>
    <w:p w14:paraId="79CAEB8B" w14:textId="4FEE753C" w:rsidR="00021F94" w:rsidRPr="008662EE" w:rsidRDefault="00021F94" w:rsidP="00622DB1">
      <w:pPr>
        <w:jc w:val="both"/>
      </w:pPr>
      <w:r>
        <w:tab/>
        <w:t xml:space="preserve">This experiment was not an exhaustive exploration of the proposed scenario. One possible next step is to validate findings in candidate hardware platforms. Another issue that remains untouched is the </w:t>
      </w:r>
      <w:r w:rsidRPr="00021F94">
        <w:rPr>
          <w:i/>
          <w:iCs/>
        </w:rPr>
        <w:t>“cold-start problem”</w:t>
      </w:r>
      <w:r>
        <w:t>. Th</w:t>
      </w:r>
      <w:r w:rsidR="00023955">
        <w:t>e reported scores used 3-month intervals for training</w:t>
      </w:r>
      <w:r w:rsidR="00711178">
        <w:t>,</w:t>
      </w:r>
      <w:r w:rsidR="00023955">
        <w:t xml:space="preserve"> and the model uses the last 4-hour metering data to generate a 1-hour prediction. Newly installed meters </w:t>
      </w:r>
      <w:r w:rsidR="00290F31">
        <w:t xml:space="preserve">will not have any historical data to work with. </w:t>
      </w:r>
      <w:r w:rsidR="00711178">
        <w:t xml:space="preserve">To cover these shortcomings, they </w:t>
      </w:r>
      <w:r w:rsidR="00090533">
        <w:t>might</w:t>
      </w:r>
      <w:r w:rsidR="00711178">
        <w:t xml:space="preserve"> rely on </w:t>
      </w:r>
      <w:r w:rsidR="00090533">
        <w:t>collaborative</w:t>
      </w:r>
      <w:r w:rsidR="00711178">
        <w:t xml:space="preserve"> strategies, such as swarm intelligence</w:t>
      </w:r>
      <w:r w:rsidR="00090533">
        <w:t>, where pretrained models could be assigned according to consumer profile</w:t>
      </w:r>
      <w:r w:rsidR="00023955">
        <w:t>. A</w:t>
      </w:r>
      <w:r w:rsidR="00207C3B">
        <w:t>s it stands now, little has been covered by the literature in this respect.</w:t>
      </w:r>
    </w:p>
    <w:p w14:paraId="49678B33" w14:textId="77777777" w:rsidR="00732E46" w:rsidRPr="006F3156" w:rsidRDefault="000F2C11">
      <w:pPr>
        <w:keepNext/>
        <w:pBdr>
          <w:top w:val="nil"/>
          <w:left w:val="nil"/>
          <w:bottom w:val="nil"/>
          <w:right w:val="nil"/>
          <w:between w:val="nil"/>
        </w:pBdr>
        <w:spacing w:before="240" w:after="80"/>
        <w:jc w:val="center"/>
        <w:rPr>
          <w:color w:val="000000" w:themeColor="text1"/>
          <w:sz w:val="16"/>
          <w:szCs w:val="16"/>
        </w:rPr>
      </w:pPr>
      <w:r w:rsidRPr="006F3156">
        <w:rPr>
          <w:smallCaps/>
          <w:color w:val="000000" w:themeColor="text1"/>
        </w:rPr>
        <w:t>References</w:t>
      </w:r>
    </w:p>
    <w:p w14:paraId="5755111C" w14:textId="77777777" w:rsidR="00C77710" w:rsidRPr="00CE537E" w:rsidRDefault="00C77710" w:rsidP="00C77710">
      <w:pPr>
        <w:jc w:val="both"/>
        <w:rPr>
          <w:color w:val="000000" w:themeColor="text1"/>
          <w:sz w:val="16"/>
          <w:szCs w:val="16"/>
          <w:shd w:val="clear" w:color="auto" w:fill="FFFFFF"/>
          <w:lang w:val="en-IE" w:eastAsia="en-GB"/>
        </w:rPr>
      </w:pPr>
    </w:p>
    <w:p w14:paraId="757E4047" w14:textId="77777777" w:rsidR="00C77710" w:rsidRPr="00D56E53" w:rsidRDefault="00C77710" w:rsidP="00C77710">
      <w:pPr>
        <w:rPr>
          <w:sz w:val="16"/>
          <w:szCs w:val="16"/>
          <w:lang w:val="en-IE" w:eastAsia="en-GB"/>
        </w:rPr>
      </w:pPr>
      <w:r w:rsidRPr="00D56E53">
        <w:rPr>
          <w:color w:val="222222"/>
          <w:sz w:val="16"/>
          <w:szCs w:val="16"/>
          <w:shd w:val="clear" w:color="auto" w:fill="FFFFFF"/>
          <w:lang w:val="en-IE" w:eastAsia="en-GB"/>
        </w:rPr>
        <w:t xml:space="preserve">Agrawal, V.A.N.I.T.A., Goswami, P.K. and </w:t>
      </w:r>
      <w:proofErr w:type="spellStart"/>
      <w:r w:rsidRPr="00D56E53">
        <w:rPr>
          <w:color w:val="222222"/>
          <w:sz w:val="16"/>
          <w:szCs w:val="16"/>
          <w:shd w:val="clear" w:color="auto" w:fill="FFFFFF"/>
          <w:lang w:val="en-IE" w:eastAsia="en-GB"/>
        </w:rPr>
        <w:t>Sarma</w:t>
      </w:r>
      <w:proofErr w:type="spellEnd"/>
      <w:r w:rsidRPr="00D56E53">
        <w:rPr>
          <w:color w:val="222222"/>
          <w:sz w:val="16"/>
          <w:szCs w:val="16"/>
          <w:shd w:val="clear" w:color="auto" w:fill="FFFFFF"/>
          <w:lang w:val="en-IE" w:eastAsia="en-GB"/>
        </w:rPr>
        <w:t>, K.K., 2021. Week-ahead Forecasting of Household Energy Consumption Using CNN and Multivariate Data. </w:t>
      </w:r>
      <w:r w:rsidRPr="00D56E53">
        <w:rPr>
          <w:i/>
          <w:iCs/>
          <w:color w:val="222222"/>
          <w:sz w:val="16"/>
          <w:szCs w:val="16"/>
          <w:shd w:val="clear" w:color="auto" w:fill="FFFFFF"/>
          <w:lang w:val="en-IE" w:eastAsia="en-GB"/>
        </w:rPr>
        <w:t xml:space="preserve">WSEAS Trans. </w:t>
      </w:r>
      <w:proofErr w:type="spellStart"/>
      <w:r w:rsidRPr="00D56E53">
        <w:rPr>
          <w:i/>
          <w:iCs/>
          <w:color w:val="222222"/>
          <w:sz w:val="16"/>
          <w:szCs w:val="16"/>
          <w:shd w:val="clear" w:color="auto" w:fill="FFFFFF"/>
          <w:lang w:val="en-IE" w:eastAsia="en-GB"/>
        </w:rPr>
        <w:t>Comput</w:t>
      </w:r>
      <w:proofErr w:type="spellEnd"/>
      <w:r w:rsidRPr="00D56E53">
        <w:rPr>
          <w:color w:val="222222"/>
          <w:sz w:val="16"/>
          <w:szCs w:val="16"/>
          <w:shd w:val="clear" w:color="auto" w:fill="FFFFFF"/>
          <w:lang w:val="en-IE" w:eastAsia="en-GB"/>
        </w:rPr>
        <w:t>, </w:t>
      </w:r>
      <w:r w:rsidRPr="00D56E53">
        <w:rPr>
          <w:i/>
          <w:iCs/>
          <w:color w:val="222222"/>
          <w:sz w:val="16"/>
          <w:szCs w:val="16"/>
          <w:shd w:val="clear" w:color="auto" w:fill="FFFFFF"/>
          <w:lang w:val="en-IE" w:eastAsia="en-GB"/>
        </w:rPr>
        <w:t>20</w:t>
      </w:r>
      <w:r w:rsidRPr="00D56E53">
        <w:rPr>
          <w:color w:val="222222"/>
          <w:sz w:val="16"/>
          <w:szCs w:val="16"/>
          <w:shd w:val="clear" w:color="auto" w:fill="FFFFFF"/>
          <w:lang w:val="en-IE" w:eastAsia="en-GB"/>
        </w:rPr>
        <w:t>, pp.182-188.</w:t>
      </w:r>
    </w:p>
    <w:p w14:paraId="47385657" w14:textId="77777777" w:rsidR="00C77710" w:rsidRDefault="00C77710" w:rsidP="00207794">
      <w:pPr>
        <w:jc w:val="both"/>
        <w:rPr>
          <w:color w:val="000000" w:themeColor="text1"/>
          <w:sz w:val="16"/>
          <w:szCs w:val="16"/>
          <w:shd w:val="clear" w:color="auto" w:fill="FFFFFF"/>
          <w:lang w:val="en-IE" w:eastAsia="en-GB"/>
        </w:rPr>
      </w:pPr>
    </w:p>
    <w:p w14:paraId="191691B8" w14:textId="072AB6CE" w:rsidR="00221C46" w:rsidRDefault="00221C46" w:rsidP="00207794">
      <w:pPr>
        <w:jc w:val="both"/>
        <w:rPr>
          <w:color w:val="000000" w:themeColor="text1"/>
          <w:sz w:val="16"/>
          <w:szCs w:val="16"/>
          <w:shd w:val="clear" w:color="auto" w:fill="FFFFFF"/>
          <w:lang w:val="en-IE" w:eastAsia="en-GB"/>
        </w:rPr>
      </w:pPr>
      <w:r w:rsidRPr="006F3156">
        <w:rPr>
          <w:color w:val="000000" w:themeColor="text1"/>
          <w:sz w:val="16"/>
          <w:szCs w:val="16"/>
          <w:shd w:val="clear" w:color="auto" w:fill="FFFFFF"/>
          <w:lang w:val="en-IE" w:eastAsia="en-GB"/>
        </w:rPr>
        <w:t xml:space="preserve">B. </w:t>
      </w:r>
      <w:proofErr w:type="spellStart"/>
      <w:r w:rsidRPr="006F3156">
        <w:rPr>
          <w:color w:val="000000" w:themeColor="text1"/>
          <w:sz w:val="16"/>
          <w:szCs w:val="16"/>
          <w:shd w:val="clear" w:color="auto" w:fill="FFFFFF"/>
          <w:lang w:val="en-IE" w:eastAsia="en-GB"/>
        </w:rPr>
        <w:t>Sudharsan</w:t>
      </w:r>
      <w:proofErr w:type="spellEnd"/>
      <w:r w:rsidRPr="006F3156">
        <w:rPr>
          <w:color w:val="000000" w:themeColor="text1"/>
          <w:sz w:val="16"/>
          <w:szCs w:val="16"/>
          <w:shd w:val="clear" w:color="auto" w:fill="FFFFFF"/>
          <w:lang w:val="en-IE" w:eastAsia="en-GB"/>
        </w:rPr>
        <w:t xml:space="preserve"> et al., "</w:t>
      </w:r>
      <w:proofErr w:type="spellStart"/>
      <w:r w:rsidRPr="006F3156">
        <w:rPr>
          <w:color w:val="000000" w:themeColor="text1"/>
          <w:sz w:val="16"/>
          <w:szCs w:val="16"/>
          <w:shd w:val="clear" w:color="auto" w:fill="FFFFFF"/>
          <w:lang w:val="en-IE" w:eastAsia="en-GB"/>
        </w:rPr>
        <w:t>TinyML</w:t>
      </w:r>
      <w:proofErr w:type="spellEnd"/>
      <w:r w:rsidRPr="006F3156">
        <w:rPr>
          <w:color w:val="000000" w:themeColor="text1"/>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6F3156">
        <w:rPr>
          <w:color w:val="000000" w:themeColor="text1"/>
          <w:sz w:val="16"/>
          <w:szCs w:val="16"/>
          <w:shd w:val="clear" w:color="auto" w:fill="FFFFFF"/>
          <w:lang w:val="en-IE" w:eastAsia="en-GB"/>
        </w:rPr>
        <w:t>doi</w:t>
      </w:r>
      <w:proofErr w:type="spellEnd"/>
      <w:r w:rsidRPr="006F3156">
        <w:rPr>
          <w:color w:val="000000" w:themeColor="text1"/>
          <w:sz w:val="16"/>
          <w:szCs w:val="16"/>
          <w:shd w:val="clear" w:color="auto" w:fill="FFFFFF"/>
          <w:lang w:val="en-IE" w:eastAsia="en-GB"/>
        </w:rPr>
        <w:t>: 10.1109/WF-IoT51360.2021.9595024.</w:t>
      </w:r>
    </w:p>
    <w:p w14:paraId="0CB3C332" w14:textId="67541E24" w:rsidR="00C77710" w:rsidRDefault="00C77710" w:rsidP="00207794">
      <w:pPr>
        <w:jc w:val="both"/>
        <w:rPr>
          <w:color w:val="000000" w:themeColor="text1"/>
          <w:sz w:val="16"/>
          <w:szCs w:val="16"/>
          <w:shd w:val="clear" w:color="auto" w:fill="FFFFFF"/>
          <w:lang w:val="en-IE" w:eastAsia="en-GB"/>
        </w:rPr>
      </w:pPr>
    </w:p>
    <w:p w14:paraId="487D2042" w14:textId="77777777" w:rsidR="00C77710" w:rsidRDefault="00C77710" w:rsidP="00C77710">
      <w:pPr>
        <w:rPr>
          <w:color w:val="222222"/>
          <w:sz w:val="16"/>
          <w:szCs w:val="16"/>
          <w:shd w:val="clear" w:color="auto" w:fill="FFFFFF"/>
          <w:lang w:val="en-IE" w:eastAsia="en-GB"/>
        </w:rPr>
      </w:pPr>
      <w:proofErr w:type="spellStart"/>
      <w:r w:rsidRPr="00C46A1E">
        <w:rPr>
          <w:color w:val="222222"/>
          <w:sz w:val="16"/>
          <w:szCs w:val="16"/>
          <w:shd w:val="clear" w:color="auto" w:fill="FFFFFF"/>
          <w:lang w:val="en-IE" w:eastAsia="en-GB"/>
        </w:rPr>
        <w:t>Kontogiannis</w:t>
      </w:r>
      <w:proofErr w:type="spellEnd"/>
      <w:r w:rsidRPr="00C46A1E">
        <w:rPr>
          <w:color w:val="222222"/>
          <w:sz w:val="16"/>
          <w:szCs w:val="16"/>
          <w:shd w:val="clear" w:color="auto" w:fill="FFFFFF"/>
          <w:lang w:val="en-IE" w:eastAsia="en-GB"/>
        </w:rPr>
        <w:t xml:space="preserve">, D., </w:t>
      </w:r>
      <w:proofErr w:type="spellStart"/>
      <w:r w:rsidRPr="00C46A1E">
        <w:rPr>
          <w:color w:val="222222"/>
          <w:sz w:val="16"/>
          <w:szCs w:val="16"/>
          <w:shd w:val="clear" w:color="auto" w:fill="FFFFFF"/>
          <w:lang w:val="en-IE" w:eastAsia="en-GB"/>
        </w:rPr>
        <w:t>Bargiotas</w:t>
      </w:r>
      <w:proofErr w:type="spellEnd"/>
      <w:r w:rsidRPr="00C46A1E">
        <w:rPr>
          <w:color w:val="222222"/>
          <w:sz w:val="16"/>
          <w:szCs w:val="16"/>
          <w:shd w:val="clear" w:color="auto" w:fill="FFFFFF"/>
          <w:lang w:val="en-IE" w:eastAsia="en-GB"/>
        </w:rPr>
        <w:t xml:space="preserve">, D. and </w:t>
      </w:r>
      <w:proofErr w:type="spellStart"/>
      <w:r w:rsidRPr="00C46A1E">
        <w:rPr>
          <w:color w:val="222222"/>
          <w:sz w:val="16"/>
          <w:szCs w:val="16"/>
          <w:shd w:val="clear" w:color="auto" w:fill="FFFFFF"/>
          <w:lang w:val="en-IE" w:eastAsia="en-GB"/>
        </w:rPr>
        <w:t>Daskalopulu</w:t>
      </w:r>
      <w:proofErr w:type="spellEnd"/>
      <w:r w:rsidRPr="00C46A1E">
        <w:rPr>
          <w:color w:val="222222"/>
          <w:sz w:val="16"/>
          <w:szCs w:val="16"/>
          <w:shd w:val="clear" w:color="auto" w:fill="FFFFFF"/>
          <w:lang w:val="en-IE" w:eastAsia="en-GB"/>
        </w:rPr>
        <w:t>, A., 2020. Minutely active power forecasting models using neural networks. </w:t>
      </w:r>
      <w:r w:rsidRPr="00C46A1E">
        <w:rPr>
          <w:i/>
          <w:iCs/>
          <w:color w:val="222222"/>
          <w:sz w:val="16"/>
          <w:szCs w:val="16"/>
          <w:shd w:val="clear" w:color="auto" w:fill="FFFFFF"/>
          <w:lang w:val="en-IE" w:eastAsia="en-GB"/>
        </w:rPr>
        <w:t>Sustainability</w:t>
      </w:r>
      <w:r w:rsidRPr="00C46A1E">
        <w:rPr>
          <w:color w:val="222222"/>
          <w:sz w:val="16"/>
          <w:szCs w:val="16"/>
          <w:shd w:val="clear" w:color="auto" w:fill="FFFFFF"/>
          <w:lang w:val="en-IE" w:eastAsia="en-GB"/>
        </w:rPr>
        <w:t>, </w:t>
      </w:r>
      <w:r w:rsidRPr="00C46A1E">
        <w:rPr>
          <w:i/>
          <w:iCs/>
          <w:color w:val="222222"/>
          <w:sz w:val="16"/>
          <w:szCs w:val="16"/>
          <w:shd w:val="clear" w:color="auto" w:fill="FFFFFF"/>
          <w:lang w:val="en-IE" w:eastAsia="en-GB"/>
        </w:rPr>
        <w:t>12</w:t>
      </w:r>
      <w:r w:rsidRPr="00C46A1E">
        <w:rPr>
          <w:color w:val="222222"/>
          <w:sz w:val="16"/>
          <w:szCs w:val="16"/>
          <w:shd w:val="clear" w:color="auto" w:fill="FFFFFF"/>
          <w:lang w:val="en-IE" w:eastAsia="en-GB"/>
        </w:rPr>
        <w:t>(8), p.3177.</w:t>
      </w:r>
    </w:p>
    <w:p w14:paraId="17668B2A" w14:textId="77777777" w:rsidR="00C77710" w:rsidRPr="00CE537E" w:rsidRDefault="00C77710" w:rsidP="00C77710">
      <w:pPr>
        <w:jc w:val="both"/>
        <w:rPr>
          <w:color w:val="000000" w:themeColor="text1"/>
          <w:sz w:val="16"/>
          <w:szCs w:val="16"/>
          <w:shd w:val="clear" w:color="auto" w:fill="FFFFFF"/>
          <w:lang w:val="en-IE" w:eastAsia="en-GB"/>
        </w:rPr>
      </w:pPr>
    </w:p>
    <w:p w14:paraId="53F596C2" w14:textId="77777777" w:rsidR="00C77710" w:rsidRPr="00D56E53" w:rsidRDefault="00C77710" w:rsidP="00C77710">
      <w:pPr>
        <w:rPr>
          <w:sz w:val="16"/>
          <w:szCs w:val="16"/>
          <w:lang w:val="en-IE" w:eastAsia="en-GB"/>
        </w:rPr>
      </w:pPr>
      <w:proofErr w:type="spellStart"/>
      <w:r w:rsidRPr="00D56E53">
        <w:rPr>
          <w:color w:val="222222"/>
          <w:sz w:val="16"/>
          <w:szCs w:val="16"/>
          <w:shd w:val="clear" w:color="auto" w:fill="FFFFFF"/>
          <w:lang w:val="en-IE" w:eastAsia="en-GB"/>
        </w:rPr>
        <w:t>Markovics</w:t>
      </w:r>
      <w:proofErr w:type="spellEnd"/>
      <w:r w:rsidRPr="00D56E53">
        <w:rPr>
          <w:color w:val="222222"/>
          <w:sz w:val="16"/>
          <w:szCs w:val="16"/>
          <w:shd w:val="clear" w:color="auto" w:fill="FFFFFF"/>
          <w:lang w:val="en-IE" w:eastAsia="en-GB"/>
        </w:rPr>
        <w:t>, D. and Mayer, M.J., 2022. Comparison of machine learning methods for photovoltaic power forecasting based on numerical weather prediction. </w:t>
      </w:r>
      <w:r w:rsidRPr="00D56E53">
        <w:rPr>
          <w:i/>
          <w:iCs/>
          <w:color w:val="222222"/>
          <w:sz w:val="16"/>
          <w:szCs w:val="16"/>
          <w:shd w:val="clear" w:color="auto" w:fill="FFFFFF"/>
          <w:lang w:val="en-IE" w:eastAsia="en-GB"/>
        </w:rPr>
        <w:t>Renewable and Sustainable Energy Reviews</w:t>
      </w:r>
      <w:r w:rsidRPr="00D56E53">
        <w:rPr>
          <w:color w:val="222222"/>
          <w:sz w:val="16"/>
          <w:szCs w:val="16"/>
          <w:shd w:val="clear" w:color="auto" w:fill="FFFFFF"/>
          <w:lang w:val="en-IE" w:eastAsia="en-GB"/>
        </w:rPr>
        <w:t>, </w:t>
      </w:r>
      <w:r w:rsidRPr="00D56E53">
        <w:rPr>
          <w:i/>
          <w:iCs/>
          <w:color w:val="222222"/>
          <w:sz w:val="16"/>
          <w:szCs w:val="16"/>
          <w:shd w:val="clear" w:color="auto" w:fill="FFFFFF"/>
          <w:lang w:val="en-IE" w:eastAsia="en-GB"/>
        </w:rPr>
        <w:t>161</w:t>
      </w:r>
      <w:r w:rsidRPr="00D56E53">
        <w:rPr>
          <w:color w:val="222222"/>
          <w:sz w:val="16"/>
          <w:szCs w:val="16"/>
          <w:shd w:val="clear" w:color="auto" w:fill="FFFFFF"/>
          <w:lang w:val="en-IE" w:eastAsia="en-GB"/>
        </w:rPr>
        <w:t>, p.112364.</w:t>
      </w:r>
    </w:p>
    <w:p w14:paraId="67076659" w14:textId="21EE5EFE" w:rsidR="001C4110" w:rsidRPr="006F3156" w:rsidRDefault="001C4110" w:rsidP="00207794">
      <w:pPr>
        <w:jc w:val="both"/>
        <w:rPr>
          <w:color w:val="000000" w:themeColor="text1"/>
          <w:sz w:val="16"/>
          <w:szCs w:val="16"/>
          <w:shd w:val="clear" w:color="auto" w:fill="FFFFFF"/>
          <w:lang w:val="en-IE" w:eastAsia="en-GB"/>
        </w:rPr>
      </w:pPr>
    </w:p>
    <w:p w14:paraId="3C3C35FE" w14:textId="0772FA2C" w:rsidR="008A586A" w:rsidRDefault="008A586A" w:rsidP="00207794">
      <w:pPr>
        <w:jc w:val="both"/>
        <w:rPr>
          <w:color w:val="000000" w:themeColor="text1"/>
          <w:sz w:val="16"/>
          <w:szCs w:val="16"/>
          <w:shd w:val="clear" w:color="auto" w:fill="FFFFFF"/>
          <w:lang w:val="en-IE" w:eastAsia="en-GB"/>
        </w:rPr>
      </w:pPr>
      <w:r w:rsidRPr="008A586A">
        <w:rPr>
          <w:color w:val="000000" w:themeColor="text1"/>
          <w:sz w:val="16"/>
          <w:szCs w:val="16"/>
          <w:shd w:val="clear" w:color="auto" w:fill="FFFFFF"/>
          <w:lang w:val="en-IE" w:eastAsia="en-GB"/>
        </w:rPr>
        <w:t xml:space="preserve">Martín Abadi, Ashish Agarwal, Paul Barham, Eugene </w:t>
      </w:r>
      <w:proofErr w:type="spellStart"/>
      <w:r w:rsidRPr="008A586A">
        <w:rPr>
          <w:color w:val="000000" w:themeColor="text1"/>
          <w:sz w:val="16"/>
          <w:szCs w:val="16"/>
          <w:shd w:val="clear" w:color="auto" w:fill="FFFFFF"/>
          <w:lang w:val="en-IE" w:eastAsia="en-GB"/>
        </w:rPr>
        <w:t>Brevdo</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Zhifeng</w:t>
      </w:r>
      <w:proofErr w:type="spellEnd"/>
      <w:r w:rsidRPr="008A586A">
        <w:rPr>
          <w:color w:val="000000" w:themeColor="text1"/>
          <w:sz w:val="16"/>
          <w:szCs w:val="16"/>
          <w:shd w:val="clear" w:color="auto" w:fill="FFFFFF"/>
          <w:lang w:val="en-IE" w:eastAsia="en-GB"/>
        </w:rPr>
        <w:t xml:space="preserve"> Chen, Craig </w:t>
      </w:r>
      <w:proofErr w:type="spellStart"/>
      <w:r w:rsidRPr="008A586A">
        <w:rPr>
          <w:color w:val="000000" w:themeColor="text1"/>
          <w:sz w:val="16"/>
          <w:szCs w:val="16"/>
          <w:shd w:val="clear" w:color="auto" w:fill="FFFFFF"/>
          <w:lang w:val="en-IE" w:eastAsia="en-GB"/>
        </w:rPr>
        <w:t>Citro</w:t>
      </w:r>
      <w:proofErr w:type="spellEnd"/>
      <w:r w:rsidRPr="008A586A">
        <w:rPr>
          <w:color w:val="000000" w:themeColor="text1"/>
          <w:sz w:val="16"/>
          <w:szCs w:val="16"/>
          <w:shd w:val="clear" w:color="auto" w:fill="FFFFFF"/>
          <w:lang w:val="en-IE" w:eastAsia="en-GB"/>
        </w:rPr>
        <w:t xml:space="preserve">, Greg S. </w:t>
      </w:r>
      <w:proofErr w:type="spellStart"/>
      <w:r w:rsidRPr="008A586A">
        <w:rPr>
          <w:color w:val="000000" w:themeColor="text1"/>
          <w:sz w:val="16"/>
          <w:szCs w:val="16"/>
          <w:shd w:val="clear" w:color="auto" w:fill="FFFFFF"/>
          <w:lang w:val="en-IE" w:eastAsia="en-GB"/>
        </w:rPr>
        <w:t>Corrado</w:t>
      </w:r>
      <w:proofErr w:type="spellEnd"/>
      <w:r w:rsidRPr="008A586A">
        <w:rPr>
          <w:color w:val="000000" w:themeColor="text1"/>
          <w:sz w:val="16"/>
          <w:szCs w:val="16"/>
          <w:shd w:val="clear" w:color="auto" w:fill="FFFFFF"/>
          <w:lang w:val="en-IE" w:eastAsia="en-GB"/>
        </w:rPr>
        <w:t xml:space="preserve">, Andy Davis, Jeffrey Dean, Matthieu Devin, Sanjay Ghemawat, Ian Goodfellow, Andrew Harp, Geoffrey Irving, Michael </w:t>
      </w:r>
      <w:proofErr w:type="spellStart"/>
      <w:r w:rsidRPr="008A586A">
        <w:rPr>
          <w:color w:val="000000" w:themeColor="text1"/>
          <w:sz w:val="16"/>
          <w:szCs w:val="16"/>
          <w:shd w:val="clear" w:color="auto" w:fill="FFFFFF"/>
          <w:lang w:val="en-IE" w:eastAsia="en-GB"/>
        </w:rPr>
        <w:t>Isard</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Rafal</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Jozefowicz</w:t>
      </w:r>
      <w:proofErr w:type="spellEnd"/>
      <w:r w:rsidRPr="008A586A">
        <w:rPr>
          <w:color w:val="000000" w:themeColor="text1"/>
          <w:sz w:val="16"/>
          <w:szCs w:val="16"/>
          <w:shd w:val="clear" w:color="auto" w:fill="FFFFFF"/>
          <w:lang w:val="en-IE" w:eastAsia="en-GB"/>
        </w:rPr>
        <w:t xml:space="preserve">, </w:t>
      </w:r>
      <w:proofErr w:type="spellStart"/>
      <w:r w:rsidRPr="008A586A">
        <w:rPr>
          <w:color w:val="000000" w:themeColor="text1"/>
          <w:sz w:val="16"/>
          <w:szCs w:val="16"/>
          <w:shd w:val="clear" w:color="auto" w:fill="FFFFFF"/>
          <w:lang w:val="en-IE" w:eastAsia="en-GB"/>
        </w:rPr>
        <w:t>Yangqing</w:t>
      </w:r>
      <w:proofErr w:type="spellEnd"/>
      <w:r w:rsidRPr="008A586A">
        <w:rPr>
          <w:color w:val="000000" w:themeColor="text1"/>
          <w:sz w:val="16"/>
          <w:szCs w:val="16"/>
          <w:shd w:val="clear" w:color="auto" w:fill="FFFFFF"/>
          <w:lang w:val="en-IE" w:eastAsia="en-GB"/>
        </w:rPr>
        <w:t xml:space="preserve"> Jia, Lukasz Kaiser, Manjunath </w:t>
      </w:r>
      <w:proofErr w:type="spellStart"/>
      <w:r w:rsidRPr="008A586A">
        <w:rPr>
          <w:color w:val="000000" w:themeColor="text1"/>
          <w:sz w:val="16"/>
          <w:szCs w:val="16"/>
          <w:shd w:val="clear" w:color="auto" w:fill="FFFFFF"/>
          <w:lang w:val="en-IE" w:eastAsia="en-GB"/>
        </w:rPr>
        <w:t>Kudlur</w:t>
      </w:r>
      <w:proofErr w:type="spellEnd"/>
      <w:r w:rsidRPr="008A586A">
        <w:rPr>
          <w:color w:val="000000" w:themeColor="text1"/>
          <w:sz w:val="16"/>
          <w:szCs w:val="16"/>
          <w:shd w:val="clear" w:color="auto" w:fill="FFFFFF"/>
          <w:lang w:val="en-IE" w:eastAsia="en-GB"/>
        </w:rPr>
        <w:t xml:space="preserve">, Josh Levenberg, Dan </w:t>
      </w:r>
      <w:proofErr w:type="spellStart"/>
      <w:r w:rsidRPr="008A586A">
        <w:rPr>
          <w:color w:val="000000" w:themeColor="text1"/>
          <w:sz w:val="16"/>
          <w:szCs w:val="16"/>
          <w:shd w:val="clear" w:color="auto" w:fill="FFFFFF"/>
          <w:lang w:val="en-IE" w:eastAsia="en-GB"/>
        </w:rPr>
        <w:t>Mané</w:t>
      </w:r>
      <w:proofErr w:type="spellEnd"/>
      <w:r w:rsidRPr="008A586A">
        <w:rPr>
          <w:color w:val="000000" w:themeColor="text1"/>
          <w:sz w:val="16"/>
          <w:szCs w:val="16"/>
          <w:shd w:val="clear" w:color="auto" w:fill="FFFFFF"/>
          <w:lang w:val="en-IE" w:eastAsia="en-GB"/>
        </w:rPr>
        <w:t xml:space="preserve">, Mike Schuster, Rajat Monga, Sherry Moore, Derek Murray, Chris </w:t>
      </w:r>
      <w:proofErr w:type="spellStart"/>
      <w:r w:rsidRPr="008A586A">
        <w:rPr>
          <w:color w:val="000000" w:themeColor="text1"/>
          <w:sz w:val="16"/>
          <w:szCs w:val="16"/>
          <w:shd w:val="clear" w:color="auto" w:fill="FFFFFF"/>
          <w:lang w:val="en-IE" w:eastAsia="en-GB"/>
        </w:rPr>
        <w:t>Olah</w:t>
      </w:r>
      <w:proofErr w:type="spellEnd"/>
      <w:r w:rsidRPr="008A586A">
        <w:rPr>
          <w:color w:val="000000" w:themeColor="text1"/>
          <w:sz w:val="16"/>
          <w:szCs w:val="16"/>
          <w:shd w:val="clear" w:color="auto" w:fill="FFFFFF"/>
          <w:lang w:val="en-IE" w:eastAsia="en-GB"/>
        </w:rPr>
        <w:t xml:space="preserve">, Jonathon </w:t>
      </w:r>
      <w:proofErr w:type="spellStart"/>
      <w:r w:rsidRPr="008A586A">
        <w:rPr>
          <w:color w:val="000000" w:themeColor="text1"/>
          <w:sz w:val="16"/>
          <w:szCs w:val="16"/>
          <w:shd w:val="clear" w:color="auto" w:fill="FFFFFF"/>
          <w:lang w:val="en-IE" w:eastAsia="en-GB"/>
        </w:rPr>
        <w:t>Shlens</w:t>
      </w:r>
      <w:proofErr w:type="spellEnd"/>
      <w:r w:rsidRPr="008A586A">
        <w:rPr>
          <w:color w:val="000000" w:themeColor="text1"/>
          <w:sz w:val="16"/>
          <w:szCs w:val="16"/>
          <w:shd w:val="clear" w:color="auto" w:fill="FFFFFF"/>
          <w:lang w:val="en-IE" w:eastAsia="en-GB"/>
        </w:rPr>
        <w:t xml:space="preserve">, Benoit Steiner, Ilya </w:t>
      </w:r>
      <w:proofErr w:type="spellStart"/>
      <w:r w:rsidRPr="008A586A">
        <w:rPr>
          <w:color w:val="000000" w:themeColor="text1"/>
          <w:sz w:val="16"/>
          <w:szCs w:val="16"/>
          <w:shd w:val="clear" w:color="auto" w:fill="FFFFFF"/>
          <w:lang w:val="en-IE" w:eastAsia="en-GB"/>
        </w:rPr>
        <w:t>Sutskever</w:t>
      </w:r>
      <w:proofErr w:type="spellEnd"/>
      <w:r w:rsidRPr="008A586A">
        <w:rPr>
          <w:color w:val="000000" w:themeColor="text1"/>
          <w:sz w:val="16"/>
          <w:szCs w:val="16"/>
          <w:shd w:val="clear" w:color="auto" w:fill="FFFFFF"/>
          <w:lang w:val="en-IE" w:eastAsia="en-GB"/>
        </w:rPr>
        <w:t xml:space="preserve">, Kunal Talwar, Paul Tucker, Vincent </w:t>
      </w:r>
      <w:proofErr w:type="spellStart"/>
      <w:r w:rsidRPr="008A586A">
        <w:rPr>
          <w:color w:val="000000" w:themeColor="text1"/>
          <w:sz w:val="16"/>
          <w:szCs w:val="16"/>
          <w:shd w:val="clear" w:color="auto" w:fill="FFFFFF"/>
          <w:lang w:val="en-IE" w:eastAsia="en-GB"/>
        </w:rPr>
        <w:t>Vanhoucke</w:t>
      </w:r>
      <w:proofErr w:type="spellEnd"/>
      <w:r w:rsidRPr="008A586A">
        <w:rPr>
          <w:color w:val="000000" w:themeColor="text1"/>
          <w:sz w:val="16"/>
          <w:szCs w:val="16"/>
          <w:shd w:val="clear" w:color="auto" w:fill="FFFFFF"/>
          <w:lang w:val="en-IE" w:eastAsia="en-GB"/>
        </w:rPr>
        <w:t xml:space="preserve">, Vijay Vasudevan, Fernanda </w:t>
      </w:r>
      <w:proofErr w:type="spellStart"/>
      <w:r w:rsidRPr="008A586A">
        <w:rPr>
          <w:color w:val="000000" w:themeColor="text1"/>
          <w:sz w:val="16"/>
          <w:szCs w:val="16"/>
          <w:shd w:val="clear" w:color="auto" w:fill="FFFFFF"/>
          <w:lang w:val="en-IE" w:eastAsia="en-GB"/>
        </w:rPr>
        <w:t>Viégas</w:t>
      </w:r>
      <w:proofErr w:type="spellEnd"/>
      <w:r w:rsidRPr="008A586A">
        <w:rPr>
          <w:color w:val="000000" w:themeColor="text1"/>
          <w:sz w:val="16"/>
          <w:szCs w:val="16"/>
          <w:shd w:val="clear" w:color="auto" w:fill="FFFFFF"/>
          <w:lang w:val="en-IE" w:eastAsia="en-GB"/>
        </w:rPr>
        <w:t xml:space="preserve">, Oriol </w:t>
      </w:r>
      <w:proofErr w:type="spellStart"/>
      <w:r w:rsidRPr="008A586A">
        <w:rPr>
          <w:color w:val="000000" w:themeColor="text1"/>
          <w:sz w:val="16"/>
          <w:szCs w:val="16"/>
          <w:shd w:val="clear" w:color="auto" w:fill="FFFFFF"/>
          <w:lang w:val="en-IE" w:eastAsia="en-GB"/>
        </w:rPr>
        <w:t>Vinyals</w:t>
      </w:r>
      <w:proofErr w:type="spellEnd"/>
      <w:r w:rsidRPr="008A586A">
        <w:rPr>
          <w:color w:val="000000" w:themeColor="text1"/>
          <w:sz w:val="16"/>
          <w:szCs w:val="16"/>
          <w:shd w:val="clear" w:color="auto" w:fill="FFFFFF"/>
          <w:lang w:val="en-IE" w:eastAsia="en-GB"/>
        </w:rPr>
        <w:t xml:space="preserve">, Pete Warden, Martin Wattenberg, Martin </w:t>
      </w:r>
      <w:proofErr w:type="spellStart"/>
      <w:r w:rsidRPr="008A586A">
        <w:rPr>
          <w:color w:val="000000" w:themeColor="text1"/>
          <w:sz w:val="16"/>
          <w:szCs w:val="16"/>
          <w:shd w:val="clear" w:color="auto" w:fill="FFFFFF"/>
          <w:lang w:val="en-IE" w:eastAsia="en-GB"/>
        </w:rPr>
        <w:t>Wicke</w:t>
      </w:r>
      <w:proofErr w:type="spellEnd"/>
      <w:r w:rsidRPr="008A586A">
        <w:rPr>
          <w:color w:val="000000" w:themeColor="text1"/>
          <w:sz w:val="16"/>
          <w:szCs w:val="16"/>
          <w:shd w:val="clear" w:color="auto" w:fill="FFFFFF"/>
          <w:lang w:val="en-IE" w:eastAsia="en-GB"/>
        </w:rPr>
        <w:t xml:space="preserve">, Yuan Yu, and </w:t>
      </w:r>
      <w:proofErr w:type="spellStart"/>
      <w:r w:rsidRPr="008A586A">
        <w:rPr>
          <w:color w:val="000000" w:themeColor="text1"/>
          <w:sz w:val="16"/>
          <w:szCs w:val="16"/>
          <w:shd w:val="clear" w:color="auto" w:fill="FFFFFF"/>
          <w:lang w:val="en-IE" w:eastAsia="en-GB"/>
        </w:rPr>
        <w:t>Xiaoqiang</w:t>
      </w:r>
      <w:proofErr w:type="spellEnd"/>
      <w:r w:rsidRPr="008A586A">
        <w:rPr>
          <w:color w:val="000000" w:themeColor="text1"/>
          <w:sz w:val="16"/>
          <w:szCs w:val="16"/>
          <w:shd w:val="clear" w:color="auto" w:fill="FFFFFF"/>
          <w:lang w:val="en-IE" w:eastAsia="en-GB"/>
        </w:rPr>
        <w:t xml:space="preserve"> Zheng. TensorFlow: Large-scale machine learning on heterogeneous systems, 2015. Software</w:t>
      </w:r>
      <w:r w:rsidR="00531EF4">
        <w:rPr>
          <w:color w:val="000000" w:themeColor="text1"/>
          <w:sz w:val="16"/>
          <w:szCs w:val="16"/>
          <w:shd w:val="clear" w:color="auto" w:fill="FFFFFF"/>
          <w:lang w:val="en-IE" w:eastAsia="en-GB"/>
        </w:rPr>
        <w:t xml:space="preserve"> is</w:t>
      </w:r>
      <w:r w:rsidRPr="008A586A">
        <w:rPr>
          <w:color w:val="000000" w:themeColor="text1"/>
          <w:sz w:val="16"/>
          <w:szCs w:val="16"/>
          <w:shd w:val="clear" w:color="auto" w:fill="FFFFFF"/>
          <w:lang w:val="en-IE" w:eastAsia="en-GB"/>
        </w:rPr>
        <w:t xml:space="preserve"> available from tensorflow.org.</w:t>
      </w:r>
    </w:p>
    <w:p w14:paraId="57362E8D" w14:textId="54A4AFB6" w:rsidR="00001C09" w:rsidRDefault="00001C09" w:rsidP="00207794">
      <w:pPr>
        <w:jc w:val="both"/>
        <w:rPr>
          <w:color w:val="000000" w:themeColor="text1"/>
          <w:sz w:val="16"/>
          <w:szCs w:val="16"/>
          <w:shd w:val="clear" w:color="auto" w:fill="FFFFFF"/>
          <w:lang w:val="en-IE" w:eastAsia="en-GB"/>
        </w:rPr>
      </w:pPr>
    </w:p>
    <w:p w14:paraId="3387C563" w14:textId="03B83400" w:rsidR="00C77710" w:rsidRDefault="00001C09" w:rsidP="00C77710">
      <w:pPr>
        <w:rPr>
          <w:sz w:val="16"/>
          <w:szCs w:val="16"/>
          <w:lang w:val="en-IE" w:eastAsia="en-GB"/>
        </w:rPr>
      </w:pPr>
      <w:r w:rsidRPr="00001C09">
        <w:rPr>
          <w:color w:val="222222"/>
          <w:sz w:val="16"/>
          <w:szCs w:val="16"/>
          <w:shd w:val="clear" w:color="auto" w:fill="FFFFFF"/>
          <w:lang w:val="en-IE" w:eastAsia="en-GB"/>
        </w:rPr>
        <w:lastRenderedPageBreak/>
        <w:t xml:space="preserve">Mellit, A., Pavan, A.M. and </w:t>
      </w:r>
      <w:proofErr w:type="spellStart"/>
      <w:r w:rsidRPr="00001C09">
        <w:rPr>
          <w:color w:val="222222"/>
          <w:sz w:val="16"/>
          <w:szCs w:val="16"/>
          <w:shd w:val="clear" w:color="auto" w:fill="FFFFFF"/>
          <w:lang w:val="en-IE" w:eastAsia="en-GB"/>
        </w:rPr>
        <w:t>Lughi</w:t>
      </w:r>
      <w:proofErr w:type="spellEnd"/>
      <w:r w:rsidRPr="00001C09">
        <w:rPr>
          <w:color w:val="222222"/>
          <w:sz w:val="16"/>
          <w:szCs w:val="16"/>
          <w:shd w:val="clear" w:color="auto" w:fill="FFFFFF"/>
          <w:lang w:val="en-IE" w:eastAsia="en-GB"/>
        </w:rPr>
        <w:t>, V., 2021. Deep learning neural networks for short-term photovoltaic power forecasting. </w:t>
      </w:r>
      <w:r w:rsidRPr="00001C09">
        <w:rPr>
          <w:i/>
          <w:iCs/>
          <w:color w:val="222222"/>
          <w:sz w:val="16"/>
          <w:szCs w:val="16"/>
          <w:shd w:val="clear" w:color="auto" w:fill="FFFFFF"/>
          <w:lang w:val="en-IE" w:eastAsia="en-GB"/>
        </w:rPr>
        <w:t>Renewable Energy</w:t>
      </w:r>
      <w:r w:rsidRPr="00001C09">
        <w:rPr>
          <w:color w:val="222222"/>
          <w:sz w:val="16"/>
          <w:szCs w:val="16"/>
          <w:shd w:val="clear" w:color="auto" w:fill="FFFFFF"/>
          <w:lang w:val="en-IE" w:eastAsia="en-GB"/>
        </w:rPr>
        <w:t>, </w:t>
      </w:r>
      <w:r w:rsidRPr="00001C09">
        <w:rPr>
          <w:i/>
          <w:iCs/>
          <w:color w:val="222222"/>
          <w:sz w:val="16"/>
          <w:szCs w:val="16"/>
          <w:shd w:val="clear" w:color="auto" w:fill="FFFFFF"/>
          <w:lang w:val="en-IE" w:eastAsia="en-GB"/>
        </w:rPr>
        <w:t>172</w:t>
      </w:r>
      <w:r w:rsidRPr="00001C09">
        <w:rPr>
          <w:color w:val="222222"/>
          <w:sz w:val="16"/>
          <w:szCs w:val="16"/>
          <w:shd w:val="clear" w:color="auto" w:fill="FFFFFF"/>
          <w:lang w:val="en-IE" w:eastAsia="en-GB"/>
        </w:rPr>
        <w:t>, pp.276-288.</w:t>
      </w:r>
    </w:p>
    <w:p w14:paraId="4CAF966D" w14:textId="77777777" w:rsidR="00C77710" w:rsidRPr="00C77710" w:rsidRDefault="00C77710" w:rsidP="00C77710">
      <w:pPr>
        <w:rPr>
          <w:sz w:val="16"/>
          <w:szCs w:val="16"/>
          <w:lang w:val="en-IE" w:eastAsia="en-GB"/>
        </w:rPr>
      </w:pPr>
    </w:p>
    <w:p w14:paraId="7AAC3F27" w14:textId="77777777" w:rsidR="00C77710" w:rsidRDefault="00C77710" w:rsidP="00C77710">
      <w:pPr>
        <w:jc w:val="both"/>
        <w:rPr>
          <w:color w:val="000000" w:themeColor="text1"/>
          <w:sz w:val="16"/>
          <w:szCs w:val="16"/>
          <w:shd w:val="clear" w:color="auto" w:fill="FFFFFF"/>
          <w:lang w:val="en-IE" w:eastAsia="en-GB"/>
        </w:rPr>
      </w:pPr>
      <w:r w:rsidRPr="009B68B3">
        <w:rPr>
          <w:color w:val="000000" w:themeColor="text1"/>
          <w:sz w:val="16"/>
          <w:szCs w:val="16"/>
          <w:shd w:val="clear" w:color="auto" w:fill="FFFFFF"/>
          <w:lang w:val="en-IE" w:eastAsia="en-GB"/>
        </w:rPr>
        <w:t xml:space="preserve">Srivastava, N., Hinton, G., </w:t>
      </w:r>
      <w:proofErr w:type="spellStart"/>
      <w:r w:rsidRPr="009B68B3">
        <w:rPr>
          <w:color w:val="000000" w:themeColor="text1"/>
          <w:sz w:val="16"/>
          <w:szCs w:val="16"/>
          <w:shd w:val="clear" w:color="auto" w:fill="FFFFFF"/>
          <w:lang w:val="en-IE" w:eastAsia="en-GB"/>
        </w:rPr>
        <w:t>Krizhevsky</w:t>
      </w:r>
      <w:proofErr w:type="spellEnd"/>
      <w:r w:rsidRPr="009B68B3">
        <w:rPr>
          <w:color w:val="000000" w:themeColor="text1"/>
          <w:sz w:val="16"/>
          <w:szCs w:val="16"/>
          <w:shd w:val="clear" w:color="auto" w:fill="FFFFFF"/>
          <w:lang w:val="en-IE" w:eastAsia="en-GB"/>
        </w:rPr>
        <w:t xml:space="preserve">, A., </w:t>
      </w:r>
      <w:proofErr w:type="spellStart"/>
      <w:r w:rsidRPr="009B68B3">
        <w:rPr>
          <w:color w:val="000000" w:themeColor="text1"/>
          <w:sz w:val="16"/>
          <w:szCs w:val="16"/>
          <w:shd w:val="clear" w:color="auto" w:fill="FFFFFF"/>
          <w:lang w:val="en-IE" w:eastAsia="en-GB"/>
        </w:rPr>
        <w:t>Sutskever</w:t>
      </w:r>
      <w:proofErr w:type="spellEnd"/>
      <w:r w:rsidRPr="009B68B3">
        <w:rPr>
          <w:color w:val="000000" w:themeColor="text1"/>
          <w:sz w:val="16"/>
          <w:szCs w:val="16"/>
          <w:shd w:val="clear" w:color="auto" w:fill="FFFFFF"/>
          <w:lang w:val="en-IE" w:eastAsia="en-GB"/>
        </w:rPr>
        <w:t xml:space="preserve">, I. and </w:t>
      </w:r>
      <w:proofErr w:type="spellStart"/>
      <w:r w:rsidRPr="009B68B3">
        <w:rPr>
          <w:color w:val="000000" w:themeColor="text1"/>
          <w:sz w:val="16"/>
          <w:szCs w:val="16"/>
          <w:shd w:val="clear" w:color="auto" w:fill="FFFFFF"/>
          <w:lang w:val="en-IE" w:eastAsia="en-GB"/>
        </w:rPr>
        <w:t>Salakhutdinov</w:t>
      </w:r>
      <w:proofErr w:type="spellEnd"/>
      <w:r w:rsidRPr="009B68B3">
        <w:rPr>
          <w:color w:val="000000" w:themeColor="text1"/>
          <w:sz w:val="16"/>
          <w:szCs w:val="16"/>
          <w:shd w:val="clear" w:color="auto" w:fill="FFFFFF"/>
          <w:lang w:val="en-IE" w:eastAsia="en-GB"/>
        </w:rPr>
        <w:t>, R., 2014. Dropout: a simple way to prevent neural networks from overfitting. The journal of machine learning research, 15(1), pp.1929-1958.</w:t>
      </w:r>
    </w:p>
    <w:p w14:paraId="306913D5" w14:textId="4A2A9AE9" w:rsidR="00C77710" w:rsidRDefault="00C77710" w:rsidP="00C77710">
      <w:pPr>
        <w:rPr>
          <w:color w:val="222222"/>
          <w:sz w:val="16"/>
          <w:szCs w:val="16"/>
          <w:shd w:val="clear" w:color="auto" w:fill="FFFFFF"/>
          <w:lang w:val="en-IE" w:eastAsia="en-GB"/>
        </w:rPr>
      </w:pPr>
    </w:p>
    <w:p w14:paraId="26B9901A" w14:textId="77777777" w:rsidR="00C77710" w:rsidRDefault="00C77710" w:rsidP="00C77710">
      <w:pPr>
        <w:jc w:val="both"/>
        <w:rPr>
          <w:color w:val="000000" w:themeColor="text1"/>
          <w:sz w:val="16"/>
          <w:szCs w:val="16"/>
          <w:shd w:val="clear" w:color="auto" w:fill="FFFFFF"/>
          <w:lang w:val="en-IE" w:eastAsia="en-GB"/>
        </w:rPr>
      </w:pPr>
      <w:r w:rsidRPr="00CE537E">
        <w:rPr>
          <w:color w:val="000000" w:themeColor="text1"/>
          <w:sz w:val="16"/>
          <w:szCs w:val="16"/>
          <w:shd w:val="clear" w:color="auto" w:fill="FFFFFF"/>
          <w:lang w:val="en-IE" w:eastAsia="en-GB"/>
        </w:rPr>
        <w:t>UCI Machine Learning Repository: Individual Household Electric Power Consumption Data Set, Archive.ics.uci.edu. 202</w:t>
      </w:r>
      <w:r>
        <w:rPr>
          <w:color w:val="000000" w:themeColor="text1"/>
          <w:sz w:val="16"/>
          <w:szCs w:val="16"/>
          <w:shd w:val="clear" w:color="auto" w:fill="FFFFFF"/>
          <w:lang w:val="en-IE" w:eastAsia="en-GB"/>
        </w:rPr>
        <w:t>2</w:t>
      </w:r>
      <w:r w:rsidRPr="00CE537E">
        <w:rPr>
          <w:color w:val="000000" w:themeColor="text1"/>
          <w:sz w:val="16"/>
          <w:szCs w:val="16"/>
          <w:shd w:val="clear" w:color="auto" w:fill="FFFFFF"/>
          <w:lang w:val="en-IE" w:eastAsia="en-GB"/>
        </w:rPr>
        <w:t xml:space="preserve">. Available online: https://archive.ics.uci.edu/ml/datasets/individual+household+ </w:t>
      </w:r>
      <w:proofErr w:type="spellStart"/>
      <w:r w:rsidRPr="00CE537E">
        <w:rPr>
          <w:color w:val="000000" w:themeColor="text1"/>
          <w:sz w:val="16"/>
          <w:szCs w:val="16"/>
          <w:shd w:val="clear" w:color="auto" w:fill="FFFFFF"/>
          <w:lang w:val="en-IE" w:eastAsia="en-GB"/>
        </w:rPr>
        <w:t>electric+power+consumption</w:t>
      </w:r>
      <w:proofErr w:type="spellEnd"/>
      <w:r w:rsidRPr="00CE537E">
        <w:rPr>
          <w:color w:val="000000" w:themeColor="text1"/>
          <w:sz w:val="16"/>
          <w:szCs w:val="16"/>
          <w:shd w:val="clear" w:color="auto" w:fill="FFFFFF"/>
          <w:lang w:val="en-IE" w:eastAsia="en-GB"/>
        </w:rPr>
        <w:t xml:space="preserve"> (accessed on </w:t>
      </w:r>
      <w:r>
        <w:rPr>
          <w:color w:val="000000" w:themeColor="text1"/>
          <w:sz w:val="16"/>
          <w:szCs w:val="16"/>
          <w:shd w:val="clear" w:color="auto" w:fill="FFFFFF"/>
          <w:lang w:val="en-IE" w:eastAsia="en-GB"/>
        </w:rPr>
        <w:t>7</w:t>
      </w:r>
      <w:r w:rsidRPr="00CE537E">
        <w:rPr>
          <w:color w:val="000000" w:themeColor="text1"/>
          <w:sz w:val="16"/>
          <w:szCs w:val="16"/>
          <w:shd w:val="clear" w:color="auto" w:fill="FFFFFF"/>
          <w:lang w:val="en-IE" w:eastAsia="en-GB"/>
        </w:rPr>
        <w:t xml:space="preserve"> </w:t>
      </w:r>
      <w:r>
        <w:rPr>
          <w:color w:val="000000" w:themeColor="text1"/>
          <w:sz w:val="16"/>
          <w:szCs w:val="16"/>
          <w:shd w:val="clear" w:color="auto" w:fill="FFFFFF"/>
          <w:lang w:val="en-IE" w:eastAsia="en-GB"/>
        </w:rPr>
        <w:t>June</w:t>
      </w:r>
      <w:r w:rsidRPr="00CE537E">
        <w:rPr>
          <w:color w:val="000000" w:themeColor="text1"/>
          <w:sz w:val="16"/>
          <w:szCs w:val="16"/>
          <w:shd w:val="clear" w:color="auto" w:fill="FFFFFF"/>
          <w:lang w:val="en-IE" w:eastAsia="en-GB"/>
        </w:rPr>
        <w:t xml:space="preserve"> 202</w:t>
      </w:r>
      <w:r>
        <w:rPr>
          <w:color w:val="000000" w:themeColor="text1"/>
          <w:sz w:val="16"/>
          <w:szCs w:val="16"/>
          <w:shd w:val="clear" w:color="auto" w:fill="FFFFFF"/>
          <w:lang w:val="en-IE" w:eastAsia="en-GB"/>
        </w:rPr>
        <w:t>2</w:t>
      </w:r>
      <w:r w:rsidRPr="00CE537E">
        <w:rPr>
          <w:color w:val="000000" w:themeColor="text1"/>
          <w:sz w:val="16"/>
          <w:szCs w:val="16"/>
          <w:shd w:val="clear" w:color="auto" w:fill="FFFFFF"/>
          <w:lang w:val="en-IE" w:eastAsia="en-GB"/>
        </w:rPr>
        <w:t>).</w:t>
      </w:r>
    </w:p>
    <w:p w14:paraId="37D9F9DB" w14:textId="77777777" w:rsidR="00C77710" w:rsidRDefault="00C77710" w:rsidP="00C77710">
      <w:pPr>
        <w:jc w:val="both"/>
        <w:rPr>
          <w:color w:val="000000" w:themeColor="text1"/>
          <w:sz w:val="16"/>
          <w:szCs w:val="16"/>
          <w:shd w:val="clear" w:color="auto" w:fill="FFFFFF"/>
          <w:lang w:val="en-IE" w:eastAsia="en-GB"/>
        </w:rPr>
      </w:pPr>
    </w:p>
    <w:p w14:paraId="5F85AFE3" w14:textId="77777777" w:rsidR="00C77710" w:rsidRPr="00C77710" w:rsidRDefault="00C77710" w:rsidP="00C77710">
      <w:pPr>
        <w:rPr>
          <w:sz w:val="16"/>
          <w:szCs w:val="16"/>
          <w:lang w:val="en-IE" w:eastAsia="en-GB"/>
        </w:rPr>
      </w:pP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444E" w14:textId="77777777" w:rsidR="00A00EDC" w:rsidRDefault="00A00EDC">
      <w:r>
        <w:separator/>
      </w:r>
    </w:p>
  </w:endnote>
  <w:endnote w:type="continuationSeparator" w:id="0">
    <w:p w14:paraId="341D0FB3" w14:textId="77777777" w:rsidR="00A00EDC" w:rsidRDefault="00A0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5B1F" w14:textId="77777777" w:rsidR="00A00EDC" w:rsidRPr="009A0AA6" w:rsidRDefault="00A00EDC" w:rsidP="009A0AA6">
      <w:pPr>
        <w:pStyle w:val="Footer"/>
      </w:pPr>
    </w:p>
  </w:footnote>
  <w:footnote w:type="continuationSeparator" w:id="0">
    <w:p w14:paraId="57DDC020" w14:textId="77777777" w:rsidR="00A00EDC" w:rsidRDefault="00A00EDC">
      <w:r>
        <w:continuationSeparator/>
      </w:r>
    </w:p>
  </w:footnote>
  <w:footnote w:id="1">
    <w:p w14:paraId="5A7838ED" w14:textId="00B86FB6" w:rsidR="00286945" w:rsidRDefault="008662EE" w:rsidP="00286945">
      <w:pPr>
        <w:keepLines/>
        <w:pBdr>
          <w:top w:val="nil"/>
          <w:left w:val="nil"/>
          <w:bottom w:val="nil"/>
          <w:right w:val="nil"/>
          <w:between w:val="nil"/>
        </w:pBdr>
        <w:ind w:firstLine="202"/>
        <w:jc w:val="both"/>
        <w:rPr>
          <w:sz w:val="12"/>
          <w:szCs w:val="12"/>
        </w:rPr>
      </w:pPr>
      <w:r>
        <w:rPr>
          <w:color w:val="000000"/>
          <w:sz w:val="16"/>
          <w:szCs w:val="16"/>
        </w:rPr>
        <w:t>Submitted as</w:t>
      </w:r>
      <w:r w:rsidR="00286945">
        <w:rPr>
          <w:color w:val="000000"/>
          <w:sz w:val="16"/>
          <w:szCs w:val="16"/>
        </w:rPr>
        <w:t xml:space="preserve"> part of the coursework required for the PPGET Pos-graduate course in Machine Learning, UFF-RJ. </w:t>
      </w:r>
      <w:r w:rsidR="000F2C11" w:rsidRPr="004063A4">
        <w:rPr>
          <w:rStyle w:val="FootnoteReference"/>
          <w:vanish/>
        </w:rPr>
        <w:footnoteRef/>
      </w:r>
      <w:r w:rsidR="00286945">
        <w:rPr>
          <w:vanish/>
        </w:rPr>
        <w:t>UFF</w:t>
      </w:r>
    </w:p>
    <w:p w14:paraId="4E35C723" w14:textId="7F7654B6"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0004FF"/>
    <w:multiLevelType w:val="hybridMultilevel"/>
    <w:tmpl w:val="CF463A28"/>
    <w:lvl w:ilvl="0" w:tplc="0809000F">
      <w:start w:val="1"/>
      <w:numFmt w:val="decimal"/>
      <w:lvlText w:val="%1."/>
      <w:lvlJc w:val="left"/>
      <w:pPr>
        <w:ind w:left="767" w:hanging="360"/>
      </w:pPr>
    </w:lvl>
    <w:lvl w:ilvl="1" w:tplc="08090019" w:tentative="1">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9F045DA"/>
    <w:multiLevelType w:val="hybridMultilevel"/>
    <w:tmpl w:val="F11A33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A00776C"/>
    <w:multiLevelType w:val="hybridMultilevel"/>
    <w:tmpl w:val="973A0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2182769">
    <w:abstractNumId w:val="11"/>
  </w:num>
  <w:num w:numId="2" w16cid:durableId="535629233">
    <w:abstractNumId w:val="2"/>
  </w:num>
  <w:num w:numId="3" w16cid:durableId="444007754">
    <w:abstractNumId w:val="1"/>
  </w:num>
  <w:num w:numId="4" w16cid:durableId="288317156">
    <w:abstractNumId w:val="10"/>
  </w:num>
  <w:num w:numId="5" w16cid:durableId="1451167547">
    <w:abstractNumId w:val="5"/>
  </w:num>
  <w:num w:numId="6" w16cid:durableId="882670135">
    <w:abstractNumId w:val="7"/>
  </w:num>
  <w:num w:numId="7" w16cid:durableId="21471594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8"/>
  </w:num>
  <w:num w:numId="11" w16cid:durableId="780413097">
    <w:abstractNumId w:val="0"/>
  </w:num>
  <w:num w:numId="12" w16cid:durableId="1021666762">
    <w:abstractNumId w:val="9"/>
  </w:num>
  <w:num w:numId="13" w16cid:durableId="963268398">
    <w:abstractNumId w:val="12"/>
  </w:num>
  <w:num w:numId="14" w16cid:durableId="582497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9"/>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1C09"/>
    <w:rsid w:val="00002FAF"/>
    <w:rsid w:val="00011D4A"/>
    <w:rsid w:val="00021F94"/>
    <w:rsid w:val="00023955"/>
    <w:rsid w:val="00030C14"/>
    <w:rsid w:val="000403AE"/>
    <w:rsid w:val="00047955"/>
    <w:rsid w:val="00050EA5"/>
    <w:rsid w:val="00053B2E"/>
    <w:rsid w:val="000650E5"/>
    <w:rsid w:val="00081747"/>
    <w:rsid w:val="00085D7A"/>
    <w:rsid w:val="00090533"/>
    <w:rsid w:val="000A06F3"/>
    <w:rsid w:val="000B1F4F"/>
    <w:rsid w:val="000B4B2A"/>
    <w:rsid w:val="000C2FE6"/>
    <w:rsid w:val="000D547C"/>
    <w:rsid w:val="000E39D5"/>
    <w:rsid w:val="000E56E2"/>
    <w:rsid w:val="000F2C11"/>
    <w:rsid w:val="00114406"/>
    <w:rsid w:val="00126B88"/>
    <w:rsid w:val="0013485E"/>
    <w:rsid w:val="001442A0"/>
    <w:rsid w:val="00152AB3"/>
    <w:rsid w:val="001531F0"/>
    <w:rsid w:val="00154205"/>
    <w:rsid w:val="00160852"/>
    <w:rsid w:val="00163F9F"/>
    <w:rsid w:val="0016542E"/>
    <w:rsid w:val="00170C54"/>
    <w:rsid w:val="0017230F"/>
    <w:rsid w:val="001743EC"/>
    <w:rsid w:val="001754D6"/>
    <w:rsid w:val="00194A86"/>
    <w:rsid w:val="001A0B20"/>
    <w:rsid w:val="001B0334"/>
    <w:rsid w:val="001B3CA5"/>
    <w:rsid w:val="001C39E3"/>
    <w:rsid w:val="001C4110"/>
    <w:rsid w:val="001C5ABE"/>
    <w:rsid w:val="001D7DE6"/>
    <w:rsid w:val="001E17C2"/>
    <w:rsid w:val="001E7EDB"/>
    <w:rsid w:val="001F273C"/>
    <w:rsid w:val="001F3514"/>
    <w:rsid w:val="001F4213"/>
    <w:rsid w:val="001F512A"/>
    <w:rsid w:val="00203E44"/>
    <w:rsid w:val="00204594"/>
    <w:rsid w:val="00207794"/>
    <w:rsid w:val="00207C3B"/>
    <w:rsid w:val="0021290C"/>
    <w:rsid w:val="0021764B"/>
    <w:rsid w:val="0022072D"/>
    <w:rsid w:val="00221C46"/>
    <w:rsid w:val="0022716D"/>
    <w:rsid w:val="00231856"/>
    <w:rsid w:val="00236B7D"/>
    <w:rsid w:val="00255326"/>
    <w:rsid w:val="00260F78"/>
    <w:rsid w:val="00265359"/>
    <w:rsid w:val="0027184E"/>
    <w:rsid w:val="00272940"/>
    <w:rsid w:val="002737B3"/>
    <w:rsid w:val="00280AF8"/>
    <w:rsid w:val="00283BC2"/>
    <w:rsid w:val="00284E8C"/>
    <w:rsid w:val="00285E41"/>
    <w:rsid w:val="00286945"/>
    <w:rsid w:val="00290F31"/>
    <w:rsid w:val="002A641D"/>
    <w:rsid w:val="002C1EE7"/>
    <w:rsid w:val="002C7857"/>
    <w:rsid w:val="002D725A"/>
    <w:rsid w:val="002E21DE"/>
    <w:rsid w:val="002E5812"/>
    <w:rsid w:val="002F16D4"/>
    <w:rsid w:val="002F6B59"/>
    <w:rsid w:val="003242E2"/>
    <w:rsid w:val="003319D6"/>
    <w:rsid w:val="00346165"/>
    <w:rsid w:val="003502EE"/>
    <w:rsid w:val="00357347"/>
    <w:rsid w:val="0036091A"/>
    <w:rsid w:val="00373C1B"/>
    <w:rsid w:val="003A0BC5"/>
    <w:rsid w:val="003A71B6"/>
    <w:rsid w:val="003B0116"/>
    <w:rsid w:val="003B1670"/>
    <w:rsid w:val="003B55B8"/>
    <w:rsid w:val="003C5E3E"/>
    <w:rsid w:val="003D19BA"/>
    <w:rsid w:val="003E26FE"/>
    <w:rsid w:val="003F56E3"/>
    <w:rsid w:val="0040329C"/>
    <w:rsid w:val="004063A4"/>
    <w:rsid w:val="00411256"/>
    <w:rsid w:val="00416D7C"/>
    <w:rsid w:val="00443DF5"/>
    <w:rsid w:val="00445C58"/>
    <w:rsid w:val="00450390"/>
    <w:rsid w:val="004511E3"/>
    <w:rsid w:val="00451C35"/>
    <w:rsid w:val="00452325"/>
    <w:rsid w:val="00455A60"/>
    <w:rsid w:val="00463C05"/>
    <w:rsid w:val="00467CB5"/>
    <w:rsid w:val="004734CD"/>
    <w:rsid w:val="00474613"/>
    <w:rsid w:val="00484A05"/>
    <w:rsid w:val="0048521A"/>
    <w:rsid w:val="004A2924"/>
    <w:rsid w:val="004C3C86"/>
    <w:rsid w:val="004D34FA"/>
    <w:rsid w:val="004E14A5"/>
    <w:rsid w:val="004E35A3"/>
    <w:rsid w:val="004E7AD7"/>
    <w:rsid w:val="004F50F2"/>
    <w:rsid w:val="00510CAE"/>
    <w:rsid w:val="00511D00"/>
    <w:rsid w:val="005122AC"/>
    <w:rsid w:val="00515C13"/>
    <w:rsid w:val="00531EF4"/>
    <w:rsid w:val="00583B6A"/>
    <w:rsid w:val="005A3C25"/>
    <w:rsid w:val="005A7D86"/>
    <w:rsid w:val="005B066E"/>
    <w:rsid w:val="005B43C2"/>
    <w:rsid w:val="005C3507"/>
    <w:rsid w:val="005C68BC"/>
    <w:rsid w:val="005D1BD6"/>
    <w:rsid w:val="005E2D10"/>
    <w:rsid w:val="005E3DBC"/>
    <w:rsid w:val="005E55E9"/>
    <w:rsid w:val="005E6A3B"/>
    <w:rsid w:val="005F2982"/>
    <w:rsid w:val="005F4497"/>
    <w:rsid w:val="00602AB4"/>
    <w:rsid w:val="00622DB1"/>
    <w:rsid w:val="0062379A"/>
    <w:rsid w:val="00640804"/>
    <w:rsid w:val="006514FE"/>
    <w:rsid w:val="006536B3"/>
    <w:rsid w:val="00660F88"/>
    <w:rsid w:val="006702CD"/>
    <w:rsid w:val="00682750"/>
    <w:rsid w:val="00684339"/>
    <w:rsid w:val="00686886"/>
    <w:rsid w:val="00694CAB"/>
    <w:rsid w:val="00694E0B"/>
    <w:rsid w:val="00696EAB"/>
    <w:rsid w:val="006A47C2"/>
    <w:rsid w:val="006A6919"/>
    <w:rsid w:val="006B1079"/>
    <w:rsid w:val="006C2C41"/>
    <w:rsid w:val="006C6F04"/>
    <w:rsid w:val="006E42E3"/>
    <w:rsid w:val="006F3156"/>
    <w:rsid w:val="00701B54"/>
    <w:rsid w:val="007054D1"/>
    <w:rsid w:val="00711178"/>
    <w:rsid w:val="00711772"/>
    <w:rsid w:val="0071364B"/>
    <w:rsid w:val="00725B05"/>
    <w:rsid w:val="00727CFE"/>
    <w:rsid w:val="00732E46"/>
    <w:rsid w:val="007508F0"/>
    <w:rsid w:val="00751C70"/>
    <w:rsid w:val="007603EB"/>
    <w:rsid w:val="00770633"/>
    <w:rsid w:val="00771AA2"/>
    <w:rsid w:val="00776B2D"/>
    <w:rsid w:val="007848BB"/>
    <w:rsid w:val="007A2728"/>
    <w:rsid w:val="007B08ED"/>
    <w:rsid w:val="007C2A55"/>
    <w:rsid w:val="007C650F"/>
    <w:rsid w:val="007D10D8"/>
    <w:rsid w:val="007D2A3B"/>
    <w:rsid w:val="007D4C10"/>
    <w:rsid w:val="007F0F83"/>
    <w:rsid w:val="007F4FB6"/>
    <w:rsid w:val="0080720F"/>
    <w:rsid w:val="008112C3"/>
    <w:rsid w:val="00811C6C"/>
    <w:rsid w:val="00815CC3"/>
    <w:rsid w:val="0082140E"/>
    <w:rsid w:val="0083025F"/>
    <w:rsid w:val="008322DE"/>
    <w:rsid w:val="00835F64"/>
    <w:rsid w:val="00843DE0"/>
    <w:rsid w:val="00852983"/>
    <w:rsid w:val="008662EE"/>
    <w:rsid w:val="00873A59"/>
    <w:rsid w:val="00874977"/>
    <w:rsid w:val="00887D8F"/>
    <w:rsid w:val="008A586A"/>
    <w:rsid w:val="008A5EE5"/>
    <w:rsid w:val="008B6792"/>
    <w:rsid w:val="008C3934"/>
    <w:rsid w:val="008E4F03"/>
    <w:rsid w:val="008F2699"/>
    <w:rsid w:val="008F6813"/>
    <w:rsid w:val="00902ADA"/>
    <w:rsid w:val="00903AD8"/>
    <w:rsid w:val="0093045E"/>
    <w:rsid w:val="00932FBA"/>
    <w:rsid w:val="00944400"/>
    <w:rsid w:val="00945481"/>
    <w:rsid w:val="0096199E"/>
    <w:rsid w:val="009805C8"/>
    <w:rsid w:val="0098210F"/>
    <w:rsid w:val="00983DF7"/>
    <w:rsid w:val="009A0AA6"/>
    <w:rsid w:val="009B0F1B"/>
    <w:rsid w:val="009B68B3"/>
    <w:rsid w:val="009D3407"/>
    <w:rsid w:val="009E0DD7"/>
    <w:rsid w:val="00A00EDC"/>
    <w:rsid w:val="00A029FC"/>
    <w:rsid w:val="00A152E1"/>
    <w:rsid w:val="00A24B38"/>
    <w:rsid w:val="00A41540"/>
    <w:rsid w:val="00A530D2"/>
    <w:rsid w:val="00A53C9D"/>
    <w:rsid w:val="00A5732C"/>
    <w:rsid w:val="00A6122B"/>
    <w:rsid w:val="00A750AC"/>
    <w:rsid w:val="00A80BDA"/>
    <w:rsid w:val="00A853F3"/>
    <w:rsid w:val="00A8590F"/>
    <w:rsid w:val="00A87153"/>
    <w:rsid w:val="00AB42A5"/>
    <w:rsid w:val="00AB4C22"/>
    <w:rsid w:val="00AC2399"/>
    <w:rsid w:val="00AC7C38"/>
    <w:rsid w:val="00AE5571"/>
    <w:rsid w:val="00B046AE"/>
    <w:rsid w:val="00B04702"/>
    <w:rsid w:val="00B07BB7"/>
    <w:rsid w:val="00B13BEF"/>
    <w:rsid w:val="00B15A39"/>
    <w:rsid w:val="00B53B72"/>
    <w:rsid w:val="00B55945"/>
    <w:rsid w:val="00B67925"/>
    <w:rsid w:val="00B83DF8"/>
    <w:rsid w:val="00B86992"/>
    <w:rsid w:val="00BA7468"/>
    <w:rsid w:val="00BB18DF"/>
    <w:rsid w:val="00BB3AEC"/>
    <w:rsid w:val="00BC045C"/>
    <w:rsid w:val="00BC5456"/>
    <w:rsid w:val="00BD462F"/>
    <w:rsid w:val="00BF1CF0"/>
    <w:rsid w:val="00C13197"/>
    <w:rsid w:val="00C23B5E"/>
    <w:rsid w:val="00C26B88"/>
    <w:rsid w:val="00C424E9"/>
    <w:rsid w:val="00C46A1E"/>
    <w:rsid w:val="00C56175"/>
    <w:rsid w:val="00C60694"/>
    <w:rsid w:val="00C62DA2"/>
    <w:rsid w:val="00C66BF2"/>
    <w:rsid w:val="00C748B7"/>
    <w:rsid w:val="00C76E9E"/>
    <w:rsid w:val="00C77710"/>
    <w:rsid w:val="00C810A7"/>
    <w:rsid w:val="00C817D1"/>
    <w:rsid w:val="00C9278E"/>
    <w:rsid w:val="00CA13A0"/>
    <w:rsid w:val="00CB7E16"/>
    <w:rsid w:val="00CD4E53"/>
    <w:rsid w:val="00CD6167"/>
    <w:rsid w:val="00CE4351"/>
    <w:rsid w:val="00CE537E"/>
    <w:rsid w:val="00D21D88"/>
    <w:rsid w:val="00D2397A"/>
    <w:rsid w:val="00D27599"/>
    <w:rsid w:val="00D44157"/>
    <w:rsid w:val="00D4786B"/>
    <w:rsid w:val="00D56E53"/>
    <w:rsid w:val="00D6175F"/>
    <w:rsid w:val="00D76F84"/>
    <w:rsid w:val="00DA34C3"/>
    <w:rsid w:val="00DB3364"/>
    <w:rsid w:val="00DC5CC0"/>
    <w:rsid w:val="00DC758F"/>
    <w:rsid w:val="00DE1F3C"/>
    <w:rsid w:val="00DE6354"/>
    <w:rsid w:val="00DF6629"/>
    <w:rsid w:val="00E021DB"/>
    <w:rsid w:val="00E059C5"/>
    <w:rsid w:val="00E12220"/>
    <w:rsid w:val="00E13FFB"/>
    <w:rsid w:val="00E20F7A"/>
    <w:rsid w:val="00E45781"/>
    <w:rsid w:val="00E474D4"/>
    <w:rsid w:val="00E57D3D"/>
    <w:rsid w:val="00E625A7"/>
    <w:rsid w:val="00E653B5"/>
    <w:rsid w:val="00E77DDC"/>
    <w:rsid w:val="00E9012E"/>
    <w:rsid w:val="00E9065C"/>
    <w:rsid w:val="00EA352F"/>
    <w:rsid w:val="00EA5E16"/>
    <w:rsid w:val="00EB6D7D"/>
    <w:rsid w:val="00EB6DE4"/>
    <w:rsid w:val="00EC2EDC"/>
    <w:rsid w:val="00ED45CB"/>
    <w:rsid w:val="00EF6430"/>
    <w:rsid w:val="00F07D99"/>
    <w:rsid w:val="00F10C3F"/>
    <w:rsid w:val="00F12ACB"/>
    <w:rsid w:val="00F2198C"/>
    <w:rsid w:val="00F46E8A"/>
    <w:rsid w:val="00F50480"/>
    <w:rsid w:val="00F50746"/>
    <w:rsid w:val="00F61DB4"/>
    <w:rsid w:val="00FC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710"/>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5D1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32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554658284">
      <w:bodyDiv w:val="1"/>
      <w:marLeft w:val="0"/>
      <w:marRight w:val="0"/>
      <w:marTop w:val="0"/>
      <w:marBottom w:val="0"/>
      <w:divBdr>
        <w:top w:val="none" w:sz="0" w:space="0" w:color="auto"/>
        <w:left w:val="none" w:sz="0" w:space="0" w:color="auto"/>
        <w:bottom w:val="none" w:sz="0" w:space="0" w:color="auto"/>
        <w:right w:val="none" w:sz="0" w:space="0" w:color="auto"/>
      </w:divBdr>
    </w:div>
    <w:div w:id="596794054">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752359727">
      <w:bodyDiv w:val="1"/>
      <w:marLeft w:val="0"/>
      <w:marRight w:val="0"/>
      <w:marTop w:val="0"/>
      <w:marBottom w:val="0"/>
      <w:divBdr>
        <w:top w:val="none" w:sz="0" w:space="0" w:color="auto"/>
        <w:left w:val="none" w:sz="0" w:space="0" w:color="auto"/>
        <w:bottom w:val="none" w:sz="0" w:space="0" w:color="auto"/>
        <w:right w:val="none" w:sz="0" w:space="0" w:color="auto"/>
      </w:divBdr>
      <w:divsChild>
        <w:div w:id="1965649712">
          <w:marLeft w:val="0"/>
          <w:marRight w:val="0"/>
          <w:marTop w:val="0"/>
          <w:marBottom w:val="0"/>
          <w:divBdr>
            <w:top w:val="none" w:sz="0" w:space="0" w:color="auto"/>
            <w:left w:val="none" w:sz="0" w:space="0" w:color="auto"/>
            <w:bottom w:val="none" w:sz="0" w:space="0" w:color="auto"/>
            <w:right w:val="none" w:sz="0" w:space="0" w:color="auto"/>
          </w:divBdr>
          <w:divsChild>
            <w:div w:id="801506721">
              <w:marLeft w:val="0"/>
              <w:marRight w:val="0"/>
              <w:marTop w:val="0"/>
              <w:marBottom w:val="0"/>
              <w:divBdr>
                <w:top w:val="none" w:sz="0" w:space="0" w:color="auto"/>
                <w:left w:val="none" w:sz="0" w:space="0" w:color="auto"/>
                <w:bottom w:val="none" w:sz="0" w:space="0" w:color="auto"/>
                <w:right w:val="none" w:sz="0" w:space="0" w:color="auto"/>
              </w:divBdr>
              <w:divsChild>
                <w:div w:id="1622690325">
                  <w:marLeft w:val="0"/>
                  <w:marRight w:val="0"/>
                  <w:marTop w:val="0"/>
                  <w:marBottom w:val="0"/>
                  <w:divBdr>
                    <w:top w:val="none" w:sz="0" w:space="0" w:color="auto"/>
                    <w:left w:val="none" w:sz="0" w:space="0" w:color="auto"/>
                    <w:bottom w:val="none" w:sz="0" w:space="0" w:color="auto"/>
                    <w:right w:val="none" w:sz="0" w:space="0" w:color="auto"/>
                  </w:divBdr>
                </w:div>
              </w:divsChild>
            </w:div>
            <w:div w:id="1194223339">
              <w:marLeft w:val="0"/>
              <w:marRight w:val="0"/>
              <w:marTop w:val="0"/>
              <w:marBottom w:val="0"/>
              <w:divBdr>
                <w:top w:val="none" w:sz="0" w:space="0" w:color="auto"/>
                <w:left w:val="none" w:sz="0" w:space="0" w:color="auto"/>
                <w:bottom w:val="none" w:sz="0" w:space="0" w:color="auto"/>
                <w:right w:val="none" w:sz="0" w:space="0" w:color="auto"/>
              </w:divBdr>
              <w:divsChild>
                <w:div w:id="2025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7626">
      <w:bodyDiv w:val="1"/>
      <w:marLeft w:val="0"/>
      <w:marRight w:val="0"/>
      <w:marTop w:val="0"/>
      <w:marBottom w:val="0"/>
      <w:divBdr>
        <w:top w:val="none" w:sz="0" w:space="0" w:color="auto"/>
        <w:left w:val="none" w:sz="0" w:space="0" w:color="auto"/>
        <w:bottom w:val="none" w:sz="0" w:space="0" w:color="auto"/>
        <w:right w:val="none" w:sz="0" w:space="0" w:color="auto"/>
      </w:divBdr>
    </w:div>
    <w:div w:id="900210775">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967817">
      <w:bodyDiv w:val="1"/>
      <w:marLeft w:val="0"/>
      <w:marRight w:val="0"/>
      <w:marTop w:val="0"/>
      <w:marBottom w:val="0"/>
      <w:divBdr>
        <w:top w:val="none" w:sz="0" w:space="0" w:color="auto"/>
        <w:left w:val="none" w:sz="0" w:space="0" w:color="auto"/>
        <w:bottom w:val="none" w:sz="0" w:space="0" w:color="auto"/>
        <w:right w:val="none" w:sz="0" w:space="0" w:color="auto"/>
      </w:divBdr>
    </w:div>
    <w:div w:id="1436511996">
      <w:bodyDiv w:val="1"/>
      <w:marLeft w:val="0"/>
      <w:marRight w:val="0"/>
      <w:marTop w:val="0"/>
      <w:marBottom w:val="0"/>
      <w:divBdr>
        <w:top w:val="none" w:sz="0" w:space="0" w:color="auto"/>
        <w:left w:val="none" w:sz="0" w:space="0" w:color="auto"/>
        <w:bottom w:val="none" w:sz="0" w:space="0" w:color="auto"/>
        <w:right w:val="none" w:sz="0" w:space="0" w:color="auto"/>
      </w:divBdr>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69175448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5192</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17</cp:revision>
  <dcterms:created xsi:type="dcterms:W3CDTF">2022-07-13T16:18:00Z</dcterms:created>
  <dcterms:modified xsi:type="dcterms:W3CDTF">2022-07-27T05:36:00Z</dcterms:modified>
</cp:coreProperties>
</file>