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101557" w14:textId="77777777" w:rsidR="003F733D" w:rsidRDefault="00000000">
      <w:pPr>
        <w:pStyle w:val="Title"/>
      </w:pPr>
      <w:r>
        <w:t>Vrinda Store Sales Data Analysis Report</w:t>
      </w:r>
    </w:p>
    <w:p w14:paraId="7B0FA051" w14:textId="77777777" w:rsidR="003F733D" w:rsidRDefault="00000000">
      <w:pPr>
        <w:pStyle w:val="Heading1"/>
      </w:pPr>
      <w:r>
        <w:t>1. Introduction</w:t>
      </w:r>
    </w:p>
    <w:p w14:paraId="21862AFB" w14:textId="77777777" w:rsidR="003F733D" w:rsidRDefault="00000000">
      <w:r>
        <w:t>This report presents an analysis of Vrinda Store's sales data for the year 2022. The goal is to extract key business insights, answer important analytical questions, and provide actionable recommendations to improve store performance.</w:t>
      </w:r>
    </w:p>
    <w:p w14:paraId="332B93DC" w14:textId="77777777" w:rsidR="003F733D" w:rsidRDefault="00000000">
      <w:pPr>
        <w:pStyle w:val="Heading1"/>
      </w:pPr>
      <w:r>
        <w:t>2. Answers to Analytical Questions</w:t>
      </w:r>
    </w:p>
    <w:p w14:paraId="29D42D00" w14:textId="77777777" w:rsidR="003F733D" w:rsidRDefault="00000000">
      <w:pPr>
        <w:pStyle w:val="Heading2"/>
      </w:pPr>
      <w:r>
        <w:t>Q1. Compare the sales and orders using a single chart.</w:t>
      </w:r>
    </w:p>
    <w:p w14:paraId="4BCF16D1" w14:textId="3F395F83" w:rsidR="003F733D" w:rsidRDefault="00000000">
      <w:r>
        <w:t xml:space="preserve">Answer: </w:t>
      </w:r>
      <w:r w:rsidR="00200AAC">
        <w:rPr>
          <w:noProof/>
        </w:rPr>
        <w:drawing>
          <wp:inline distT="0" distB="0" distL="0" distR="0" wp14:anchorId="1711F0B8" wp14:editId="405FB812">
            <wp:extent cx="5676900" cy="2692400"/>
            <wp:effectExtent l="0" t="0" r="0" b="12700"/>
            <wp:docPr id="1171761327" name="Chart 1">
              <a:extLst xmlns:a="http://schemas.openxmlformats.org/drawingml/2006/main">
                <a:ext uri="{FF2B5EF4-FFF2-40B4-BE49-F238E27FC236}">
                  <a16:creationId xmlns:a16="http://schemas.microsoft.com/office/drawing/2014/main" id="{76565134-9550-499C-8E63-D365F60482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2AB2425" w14:textId="77777777" w:rsidR="003F733D" w:rsidRDefault="00000000">
      <w:pPr>
        <w:pStyle w:val="Heading2"/>
      </w:pPr>
      <w:r>
        <w:t>Q2. Which month got the highest sales and orders?</w:t>
      </w:r>
    </w:p>
    <w:p w14:paraId="5A967F93" w14:textId="4C640A29" w:rsidR="003F733D" w:rsidRDefault="00000000">
      <w:r>
        <w:t xml:space="preserve">Answer: </w:t>
      </w:r>
      <w:r w:rsidR="00200AAC">
        <w:t>March</w:t>
      </w:r>
      <w:r w:rsidR="00B60F23">
        <w:t xml:space="preserve"> </w:t>
      </w:r>
      <w:r w:rsidR="00B60F23">
        <w:t>month got the highest sales and orders</w:t>
      </w:r>
      <w:r w:rsidR="00B60F23">
        <w:t>.</w:t>
      </w:r>
    </w:p>
    <w:p w14:paraId="5AA905F7" w14:textId="77777777" w:rsidR="003F733D" w:rsidRDefault="00000000">
      <w:pPr>
        <w:pStyle w:val="Heading2"/>
      </w:pPr>
      <w:r>
        <w:t>Q3. Who purchased more – men or women in 2022?</w:t>
      </w:r>
    </w:p>
    <w:p w14:paraId="2156AD39" w14:textId="3F23BCDA" w:rsidR="003F733D" w:rsidRDefault="00000000">
      <w:r>
        <w:t xml:space="preserve">Answer: </w:t>
      </w:r>
      <w:r w:rsidR="00200AAC">
        <w:t>Women of age group from 30 to 50 years. (“shown as Adult in report”)</w:t>
      </w:r>
    </w:p>
    <w:p w14:paraId="15402B0B" w14:textId="77777777" w:rsidR="003F733D" w:rsidRDefault="00000000">
      <w:pPr>
        <w:pStyle w:val="Heading2"/>
      </w:pPr>
      <w:r>
        <w:t>Q4. What are the different order statuses in 2022?</w:t>
      </w:r>
    </w:p>
    <w:p w14:paraId="59BFF579" w14:textId="07E1F178" w:rsidR="003F733D" w:rsidRDefault="00000000">
      <w:r>
        <w:t xml:space="preserve">Answer: </w:t>
      </w:r>
      <w:r w:rsidR="00D076C1">
        <w:t>92% are delivered, 2% are Refunded and 3% are Returned or Cancelled.</w:t>
      </w:r>
    </w:p>
    <w:p w14:paraId="343910CE" w14:textId="77777777" w:rsidR="003F733D" w:rsidRDefault="00000000">
      <w:pPr>
        <w:pStyle w:val="Heading2"/>
      </w:pPr>
      <w:r>
        <w:t>Q5. List top 10 states contributing to the sales.</w:t>
      </w:r>
    </w:p>
    <w:p w14:paraId="3A4CC115" w14:textId="3BD463F2" w:rsidR="00D076C1" w:rsidRPr="00D076C1" w:rsidRDefault="00000000" w:rsidP="00D076C1">
      <w:pPr>
        <w:rPr>
          <w:rFonts w:ascii="Calibri" w:eastAsia="Times New Roman" w:hAnsi="Calibri" w:cs="Calibri"/>
          <w:color w:val="000000"/>
          <w:lang w:val="en-IN" w:eastAsia="en-IN"/>
        </w:rPr>
      </w:pPr>
      <w:r>
        <w:t xml:space="preserve">Answer: </w:t>
      </w:r>
      <w:r w:rsidR="00D076C1" w:rsidRPr="00D076C1">
        <w:rPr>
          <w:rFonts w:ascii="Calibri" w:eastAsia="Times New Roman" w:hAnsi="Calibri" w:cs="Calibri"/>
          <w:color w:val="000000"/>
          <w:lang w:val="en-IN" w:eastAsia="en-IN"/>
        </w:rPr>
        <w:t>MAHARASHTRA</w:t>
      </w:r>
      <w:r w:rsidR="00D076C1">
        <w:rPr>
          <w:rFonts w:ascii="Calibri" w:eastAsia="Times New Roman" w:hAnsi="Calibri" w:cs="Calibri"/>
          <w:color w:val="000000"/>
          <w:lang w:val="en-IN" w:eastAsia="en-IN"/>
        </w:rPr>
        <w:t>,</w:t>
      </w:r>
      <w:r w:rsidR="00D076C1" w:rsidRPr="00D076C1">
        <w:rPr>
          <w:rFonts w:ascii="Calibri" w:hAnsi="Calibri" w:cs="Calibri"/>
          <w:color w:val="000000"/>
        </w:rPr>
        <w:t xml:space="preserve"> </w:t>
      </w:r>
      <w:r w:rsidR="00D076C1" w:rsidRPr="00D076C1">
        <w:rPr>
          <w:rFonts w:ascii="Calibri" w:eastAsia="Times New Roman" w:hAnsi="Calibri" w:cs="Calibri"/>
          <w:color w:val="000000"/>
          <w:lang w:val="en-IN" w:eastAsia="en-IN"/>
        </w:rPr>
        <w:t>KARNATAKA</w:t>
      </w:r>
      <w:r w:rsidR="00D076C1">
        <w:rPr>
          <w:rFonts w:ascii="Calibri" w:eastAsia="Times New Roman" w:hAnsi="Calibri" w:cs="Calibri"/>
          <w:color w:val="000000"/>
          <w:lang w:val="en-IN" w:eastAsia="en-IN"/>
        </w:rPr>
        <w:t>,</w:t>
      </w:r>
      <w:r w:rsidR="00D076C1" w:rsidRPr="00D076C1">
        <w:rPr>
          <w:rFonts w:ascii="Calibri" w:hAnsi="Calibri" w:cs="Calibri"/>
          <w:color w:val="000000"/>
        </w:rPr>
        <w:t xml:space="preserve"> </w:t>
      </w:r>
      <w:r w:rsidR="00D076C1" w:rsidRPr="00D076C1">
        <w:rPr>
          <w:rFonts w:ascii="Calibri" w:eastAsia="Times New Roman" w:hAnsi="Calibri" w:cs="Calibri"/>
          <w:color w:val="000000"/>
          <w:lang w:val="en-IN" w:eastAsia="en-IN"/>
        </w:rPr>
        <w:t>UTTAR PRADESH</w:t>
      </w:r>
      <w:r w:rsidR="00D076C1">
        <w:rPr>
          <w:rFonts w:ascii="Calibri" w:eastAsia="Times New Roman" w:hAnsi="Calibri" w:cs="Calibri"/>
          <w:color w:val="000000"/>
          <w:lang w:val="en-IN" w:eastAsia="en-IN"/>
        </w:rPr>
        <w:t>,</w:t>
      </w:r>
      <w:r w:rsidR="00D076C1" w:rsidRPr="00D076C1">
        <w:rPr>
          <w:rFonts w:ascii="Calibri" w:hAnsi="Calibri" w:cs="Calibri"/>
          <w:color w:val="000000"/>
        </w:rPr>
        <w:t xml:space="preserve"> </w:t>
      </w:r>
      <w:r w:rsidR="00D076C1" w:rsidRPr="00D076C1">
        <w:rPr>
          <w:rFonts w:ascii="Calibri" w:eastAsia="Times New Roman" w:hAnsi="Calibri" w:cs="Calibri"/>
          <w:color w:val="000000"/>
          <w:lang w:val="en-IN" w:eastAsia="en-IN"/>
        </w:rPr>
        <w:t>TELANGANA</w:t>
      </w:r>
      <w:r w:rsidR="00D076C1">
        <w:rPr>
          <w:rFonts w:ascii="Calibri" w:eastAsia="Times New Roman" w:hAnsi="Calibri" w:cs="Calibri"/>
          <w:color w:val="000000"/>
          <w:lang w:val="en-IN" w:eastAsia="en-IN"/>
        </w:rPr>
        <w:t>,</w:t>
      </w:r>
      <w:r w:rsidR="00D076C1" w:rsidRPr="00D076C1">
        <w:rPr>
          <w:rFonts w:ascii="Calibri" w:hAnsi="Calibri" w:cs="Calibri"/>
          <w:color w:val="000000"/>
        </w:rPr>
        <w:t xml:space="preserve"> </w:t>
      </w:r>
      <w:r w:rsidR="00D076C1" w:rsidRPr="00D076C1">
        <w:rPr>
          <w:rFonts w:ascii="Calibri" w:eastAsia="Times New Roman" w:hAnsi="Calibri" w:cs="Calibri"/>
          <w:color w:val="000000"/>
          <w:lang w:val="en-IN" w:eastAsia="en-IN"/>
        </w:rPr>
        <w:t>TAMIL NADU</w:t>
      </w:r>
      <w:r w:rsidR="00D076C1">
        <w:rPr>
          <w:rFonts w:ascii="Calibri" w:eastAsia="Times New Roman" w:hAnsi="Calibri" w:cs="Calibri"/>
          <w:color w:val="000000"/>
          <w:lang w:val="en-IN" w:eastAsia="en-IN"/>
        </w:rPr>
        <w:t>,</w:t>
      </w:r>
      <w:r w:rsidR="00D076C1" w:rsidRPr="00D076C1">
        <w:rPr>
          <w:rFonts w:ascii="Calibri" w:hAnsi="Calibri" w:cs="Calibri"/>
          <w:color w:val="000000"/>
        </w:rPr>
        <w:t xml:space="preserve"> </w:t>
      </w:r>
      <w:r w:rsidR="00D076C1" w:rsidRPr="00D076C1">
        <w:rPr>
          <w:rFonts w:ascii="Calibri" w:eastAsia="Times New Roman" w:hAnsi="Calibri" w:cs="Calibri"/>
          <w:color w:val="000000"/>
          <w:lang w:val="en-IN" w:eastAsia="en-IN"/>
        </w:rPr>
        <w:t>DELHI</w:t>
      </w:r>
      <w:r w:rsidR="00D076C1">
        <w:rPr>
          <w:rFonts w:ascii="Calibri" w:eastAsia="Times New Roman" w:hAnsi="Calibri" w:cs="Calibri"/>
          <w:color w:val="000000"/>
          <w:lang w:val="en-IN" w:eastAsia="en-IN"/>
        </w:rPr>
        <w:t>,</w:t>
      </w:r>
      <w:r w:rsidR="00D076C1" w:rsidRPr="00D076C1">
        <w:rPr>
          <w:rFonts w:ascii="Calibri" w:hAnsi="Calibri" w:cs="Calibri"/>
          <w:color w:val="000000"/>
        </w:rPr>
        <w:t xml:space="preserve"> </w:t>
      </w:r>
      <w:r w:rsidR="00D076C1" w:rsidRPr="00D076C1">
        <w:rPr>
          <w:rFonts w:ascii="Calibri" w:eastAsia="Times New Roman" w:hAnsi="Calibri" w:cs="Calibri"/>
          <w:color w:val="000000"/>
          <w:lang w:val="en-IN" w:eastAsia="en-IN"/>
        </w:rPr>
        <w:t>KERALA</w:t>
      </w:r>
      <w:r w:rsidR="00D076C1">
        <w:rPr>
          <w:rFonts w:ascii="Calibri" w:eastAsia="Times New Roman" w:hAnsi="Calibri" w:cs="Calibri"/>
          <w:color w:val="000000"/>
          <w:lang w:val="en-IN" w:eastAsia="en-IN"/>
        </w:rPr>
        <w:t>,</w:t>
      </w:r>
      <w:r w:rsidR="00D076C1" w:rsidRPr="00D076C1">
        <w:rPr>
          <w:rFonts w:ascii="Calibri" w:hAnsi="Calibri" w:cs="Calibri"/>
          <w:color w:val="000000"/>
        </w:rPr>
        <w:t xml:space="preserve"> </w:t>
      </w:r>
      <w:r w:rsidR="00D076C1" w:rsidRPr="00D076C1">
        <w:rPr>
          <w:rFonts w:ascii="Calibri" w:eastAsia="Times New Roman" w:hAnsi="Calibri" w:cs="Calibri"/>
          <w:color w:val="000000"/>
          <w:lang w:val="en-IN" w:eastAsia="en-IN"/>
        </w:rPr>
        <w:t>WEST BENGAL</w:t>
      </w:r>
      <w:r w:rsidR="00D076C1">
        <w:rPr>
          <w:rFonts w:ascii="Calibri" w:eastAsia="Times New Roman" w:hAnsi="Calibri" w:cs="Calibri"/>
          <w:color w:val="000000"/>
          <w:lang w:val="en-IN" w:eastAsia="en-IN"/>
        </w:rPr>
        <w:t>,</w:t>
      </w:r>
      <w:r w:rsidR="00D076C1" w:rsidRPr="00D076C1">
        <w:rPr>
          <w:rFonts w:ascii="Calibri" w:hAnsi="Calibri" w:cs="Calibri"/>
          <w:color w:val="000000"/>
        </w:rPr>
        <w:t xml:space="preserve"> </w:t>
      </w:r>
      <w:r w:rsidR="00D076C1" w:rsidRPr="00D076C1">
        <w:rPr>
          <w:rFonts w:ascii="Calibri" w:eastAsia="Times New Roman" w:hAnsi="Calibri" w:cs="Calibri"/>
          <w:color w:val="000000"/>
          <w:lang w:val="en-IN" w:eastAsia="en-IN"/>
        </w:rPr>
        <w:t>ANDHRA PRADESH</w:t>
      </w:r>
      <w:r w:rsidR="00D076C1">
        <w:rPr>
          <w:rFonts w:ascii="Calibri" w:eastAsia="Times New Roman" w:hAnsi="Calibri" w:cs="Calibri"/>
          <w:color w:val="000000"/>
          <w:lang w:val="en-IN" w:eastAsia="en-IN"/>
        </w:rPr>
        <w:t>,</w:t>
      </w:r>
      <w:r w:rsidR="00D076C1" w:rsidRPr="00D076C1">
        <w:rPr>
          <w:rFonts w:ascii="Calibri" w:hAnsi="Calibri" w:cs="Calibri"/>
          <w:color w:val="000000"/>
        </w:rPr>
        <w:t xml:space="preserve"> </w:t>
      </w:r>
      <w:r w:rsidR="00D076C1" w:rsidRPr="00D076C1">
        <w:rPr>
          <w:rFonts w:ascii="Calibri" w:eastAsia="Times New Roman" w:hAnsi="Calibri" w:cs="Calibri"/>
          <w:color w:val="000000"/>
          <w:lang w:val="en-IN" w:eastAsia="en-IN"/>
        </w:rPr>
        <w:t>HARYANA</w:t>
      </w:r>
      <w:r w:rsidR="00D076C1">
        <w:rPr>
          <w:rFonts w:ascii="Calibri" w:eastAsia="Times New Roman" w:hAnsi="Calibri" w:cs="Calibri"/>
          <w:color w:val="000000"/>
          <w:lang w:val="en-IN" w:eastAsia="en-IN"/>
        </w:rPr>
        <w:t>.</w:t>
      </w:r>
    </w:p>
    <w:p w14:paraId="04DA15DB" w14:textId="77777777" w:rsidR="003F733D" w:rsidRDefault="00000000">
      <w:pPr>
        <w:pStyle w:val="Heading2"/>
      </w:pPr>
      <w:r>
        <w:lastRenderedPageBreak/>
        <w:t>Q6. Relation between age and gender based on number of orders.</w:t>
      </w:r>
    </w:p>
    <w:p w14:paraId="3D8531B9" w14:textId="49450C14" w:rsidR="003F733D" w:rsidRDefault="00000000">
      <w:r>
        <w:t xml:space="preserve">Answer: </w:t>
      </w:r>
      <w:r w:rsidR="00B60F23">
        <w:t>Women of Adult category (“30 to 50 years age group”) have maximum number of orders.</w:t>
      </w:r>
    </w:p>
    <w:p w14:paraId="39D164C4" w14:textId="77777777" w:rsidR="003F733D" w:rsidRDefault="00000000">
      <w:pPr>
        <w:pStyle w:val="Heading2"/>
      </w:pPr>
      <w:r>
        <w:t>Q7. Which channel is contributing to maximum sales?</w:t>
      </w:r>
    </w:p>
    <w:p w14:paraId="311395E3" w14:textId="4FAF35FA" w:rsidR="003F733D" w:rsidRDefault="00000000">
      <w:r>
        <w:t xml:space="preserve">Answer: </w:t>
      </w:r>
      <w:r w:rsidR="00B60F23">
        <w:t xml:space="preserve">Amazon </w:t>
      </w:r>
      <w:r w:rsidR="00B60F23">
        <w:t>is contributing to maximum sales</w:t>
      </w:r>
      <w:r w:rsidR="00B60F23">
        <w:t>.</w:t>
      </w:r>
    </w:p>
    <w:p w14:paraId="5769E168" w14:textId="77777777" w:rsidR="003F733D" w:rsidRDefault="00000000">
      <w:pPr>
        <w:pStyle w:val="Heading2"/>
      </w:pPr>
      <w:r>
        <w:t>Q8. Highest selling category?</w:t>
      </w:r>
    </w:p>
    <w:p w14:paraId="13F9389D" w14:textId="6C2FE023" w:rsidR="003F733D" w:rsidRDefault="00000000">
      <w:r>
        <w:t xml:space="preserve">Answer: </w:t>
      </w:r>
      <w:r w:rsidR="00B60F23">
        <w:t>Set is highest selling category.</w:t>
      </w:r>
    </w:p>
    <w:p w14:paraId="5AFD8CBD" w14:textId="77777777" w:rsidR="003F733D" w:rsidRDefault="00000000">
      <w:pPr>
        <w:pStyle w:val="Heading1"/>
      </w:pPr>
      <w:r>
        <w:t>3. Key Business Insights</w:t>
      </w:r>
    </w:p>
    <w:p w14:paraId="4C0D2738" w14:textId="77777777" w:rsidR="003F733D" w:rsidRDefault="00000000">
      <w:r>
        <w:t>• Women are more likely to buy compared to men (~65%).</w:t>
      </w:r>
    </w:p>
    <w:p w14:paraId="2FA67326" w14:textId="77777777" w:rsidR="003F733D" w:rsidRDefault="00000000">
      <w:r>
        <w:t>• Maharashtra, Karnataka and Uttar Pradesh are the top 3 contributing states.</w:t>
      </w:r>
    </w:p>
    <w:p w14:paraId="1F9C508C" w14:textId="77777777" w:rsidR="003F733D" w:rsidRDefault="00000000">
      <w:r>
        <w:t>• Adult age group (30–49 years) contributes the maximum (~50%).</w:t>
      </w:r>
    </w:p>
    <w:p w14:paraId="4ACAD93C" w14:textId="77777777" w:rsidR="003F733D" w:rsidRDefault="00000000">
      <w:r>
        <w:t>• Amazon, Flipkart and Myntra are the top contributing channels.</w:t>
      </w:r>
    </w:p>
    <w:p w14:paraId="62FCAC7C" w14:textId="77777777" w:rsidR="003F733D" w:rsidRDefault="00000000">
      <w:pPr>
        <w:pStyle w:val="Heading1"/>
      </w:pPr>
      <w:r>
        <w:t>4. Final Conclusion</w:t>
      </w:r>
    </w:p>
    <w:p w14:paraId="1271FB26" w14:textId="77777777" w:rsidR="003F733D" w:rsidRDefault="00000000">
      <w:r>
        <w:t>To improve Vrinda Store sales, it is recommended to target women customers aged 30–49 years, particularly in Maharashtra, Karnataka, and Uttar Pradesh. Ads and promotional campaigns should focus on platforms like Amazon, Flipkart, and Myntra.</w:t>
      </w:r>
    </w:p>
    <w:sectPr w:rsidR="003F733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4950707">
    <w:abstractNumId w:val="8"/>
  </w:num>
  <w:num w:numId="2" w16cid:durableId="1359352898">
    <w:abstractNumId w:val="6"/>
  </w:num>
  <w:num w:numId="3" w16cid:durableId="1768379056">
    <w:abstractNumId w:val="5"/>
  </w:num>
  <w:num w:numId="4" w16cid:durableId="1256668923">
    <w:abstractNumId w:val="4"/>
  </w:num>
  <w:num w:numId="5" w16cid:durableId="150563904">
    <w:abstractNumId w:val="7"/>
  </w:num>
  <w:num w:numId="6" w16cid:durableId="1344209704">
    <w:abstractNumId w:val="3"/>
  </w:num>
  <w:num w:numId="7" w16cid:durableId="1802577315">
    <w:abstractNumId w:val="2"/>
  </w:num>
  <w:num w:numId="8" w16cid:durableId="1397700996">
    <w:abstractNumId w:val="1"/>
  </w:num>
  <w:num w:numId="9" w16cid:durableId="1339699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0AAC"/>
    <w:rsid w:val="00295A24"/>
    <w:rsid w:val="0029639D"/>
    <w:rsid w:val="00326F90"/>
    <w:rsid w:val="003F733D"/>
    <w:rsid w:val="005028C7"/>
    <w:rsid w:val="00717553"/>
    <w:rsid w:val="00AA1D8D"/>
    <w:rsid w:val="00B47730"/>
    <w:rsid w:val="00B60F23"/>
    <w:rsid w:val="00CB0664"/>
    <w:rsid w:val="00D076C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0CF618"/>
  <w14:defaultImageDpi w14:val="300"/>
  <w15:docId w15:val="{2A48C476-53F0-4CF5-86AE-7E440567B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0159537">
      <w:bodyDiv w:val="1"/>
      <w:marLeft w:val="0"/>
      <w:marRight w:val="0"/>
      <w:marTop w:val="0"/>
      <w:marBottom w:val="0"/>
      <w:divBdr>
        <w:top w:val="none" w:sz="0" w:space="0" w:color="auto"/>
        <w:left w:val="none" w:sz="0" w:space="0" w:color="auto"/>
        <w:bottom w:val="none" w:sz="0" w:space="0" w:color="auto"/>
        <w:right w:val="none" w:sz="0" w:space="0" w:color="auto"/>
      </w:divBdr>
    </w:div>
    <w:div w:id="386034599">
      <w:bodyDiv w:val="1"/>
      <w:marLeft w:val="0"/>
      <w:marRight w:val="0"/>
      <w:marTop w:val="0"/>
      <w:marBottom w:val="0"/>
      <w:divBdr>
        <w:top w:val="none" w:sz="0" w:space="0" w:color="auto"/>
        <w:left w:val="none" w:sz="0" w:space="0" w:color="auto"/>
        <w:bottom w:val="none" w:sz="0" w:space="0" w:color="auto"/>
        <w:right w:val="none" w:sz="0" w:space="0" w:color="auto"/>
      </w:divBdr>
    </w:div>
    <w:div w:id="846597016">
      <w:bodyDiv w:val="1"/>
      <w:marLeft w:val="0"/>
      <w:marRight w:val="0"/>
      <w:marTop w:val="0"/>
      <w:marBottom w:val="0"/>
      <w:divBdr>
        <w:top w:val="none" w:sz="0" w:space="0" w:color="auto"/>
        <w:left w:val="none" w:sz="0" w:space="0" w:color="auto"/>
        <w:bottom w:val="none" w:sz="0" w:space="0" w:color="auto"/>
        <w:right w:val="none" w:sz="0" w:space="0" w:color="auto"/>
      </w:divBdr>
    </w:div>
    <w:div w:id="932054374">
      <w:bodyDiv w:val="1"/>
      <w:marLeft w:val="0"/>
      <w:marRight w:val="0"/>
      <w:marTop w:val="0"/>
      <w:marBottom w:val="0"/>
      <w:divBdr>
        <w:top w:val="none" w:sz="0" w:space="0" w:color="auto"/>
        <w:left w:val="none" w:sz="0" w:space="0" w:color="auto"/>
        <w:bottom w:val="none" w:sz="0" w:space="0" w:color="auto"/>
        <w:right w:val="none" w:sz="0" w:space="0" w:color="auto"/>
      </w:divBdr>
    </w:div>
    <w:div w:id="1028681243">
      <w:bodyDiv w:val="1"/>
      <w:marLeft w:val="0"/>
      <w:marRight w:val="0"/>
      <w:marTop w:val="0"/>
      <w:marBottom w:val="0"/>
      <w:divBdr>
        <w:top w:val="none" w:sz="0" w:space="0" w:color="auto"/>
        <w:left w:val="none" w:sz="0" w:space="0" w:color="auto"/>
        <w:bottom w:val="none" w:sz="0" w:space="0" w:color="auto"/>
        <w:right w:val="none" w:sz="0" w:space="0" w:color="auto"/>
      </w:divBdr>
    </w:div>
    <w:div w:id="1214198203">
      <w:bodyDiv w:val="1"/>
      <w:marLeft w:val="0"/>
      <w:marRight w:val="0"/>
      <w:marTop w:val="0"/>
      <w:marBottom w:val="0"/>
      <w:divBdr>
        <w:top w:val="none" w:sz="0" w:space="0" w:color="auto"/>
        <w:left w:val="none" w:sz="0" w:space="0" w:color="auto"/>
        <w:bottom w:val="none" w:sz="0" w:space="0" w:color="auto"/>
        <w:right w:val="none" w:sz="0" w:space="0" w:color="auto"/>
      </w:divBdr>
    </w:div>
    <w:div w:id="1268735142">
      <w:bodyDiv w:val="1"/>
      <w:marLeft w:val="0"/>
      <w:marRight w:val="0"/>
      <w:marTop w:val="0"/>
      <w:marBottom w:val="0"/>
      <w:divBdr>
        <w:top w:val="none" w:sz="0" w:space="0" w:color="auto"/>
        <w:left w:val="none" w:sz="0" w:space="0" w:color="auto"/>
        <w:bottom w:val="none" w:sz="0" w:space="0" w:color="auto"/>
        <w:right w:val="none" w:sz="0" w:space="0" w:color="auto"/>
      </w:divBdr>
    </w:div>
    <w:div w:id="1588033453">
      <w:bodyDiv w:val="1"/>
      <w:marLeft w:val="0"/>
      <w:marRight w:val="0"/>
      <w:marTop w:val="0"/>
      <w:marBottom w:val="0"/>
      <w:divBdr>
        <w:top w:val="none" w:sz="0" w:space="0" w:color="auto"/>
        <w:left w:val="none" w:sz="0" w:space="0" w:color="auto"/>
        <w:bottom w:val="none" w:sz="0" w:space="0" w:color="auto"/>
        <w:right w:val="none" w:sz="0" w:space="0" w:color="auto"/>
      </w:divBdr>
    </w:div>
    <w:div w:id="1662611464">
      <w:bodyDiv w:val="1"/>
      <w:marLeft w:val="0"/>
      <w:marRight w:val="0"/>
      <w:marTop w:val="0"/>
      <w:marBottom w:val="0"/>
      <w:divBdr>
        <w:top w:val="none" w:sz="0" w:space="0" w:color="auto"/>
        <w:left w:val="none" w:sz="0" w:space="0" w:color="auto"/>
        <w:bottom w:val="none" w:sz="0" w:space="0" w:color="auto"/>
        <w:right w:val="none" w:sz="0" w:space="0" w:color="auto"/>
      </w:divBdr>
    </w:div>
    <w:div w:id="1936592812">
      <w:bodyDiv w:val="1"/>
      <w:marLeft w:val="0"/>
      <w:marRight w:val="0"/>
      <w:marTop w:val="0"/>
      <w:marBottom w:val="0"/>
      <w:divBdr>
        <w:top w:val="none" w:sz="0" w:space="0" w:color="auto"/>
        <w:left w:val="none" w:sz="0" w:space="0" w:color="auto"/>
        <w:bottom w:val="none" w:sz="0" w:space="0" w:color="auto"/>
        <w:right w:val="none" w:sz="0" w:space="0" w:color="auto"/>
      </w:divBdr>
    </w:div>
    <w:div w:id="19678136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arma\Desktop\DA%20Project\Vrinda-Store%202022%20Analysis\Vrinda%20Stor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[Vrinda Store.xlsx]Pivot-Table!PivotTable1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2400">
                <a:latin typeface="Angsana New" panose="02020603050405020304" pitchFamily="18" charset="-34"/>
                <a:cs typeface="Angsana New" panose="02020603050405020304" pitchFamily="18" charset="-34"/>
              </a:rPr>
              <a:t>Orders</a:t>
            </a:r>
            <a:r>
              <a:rPr lang="en-IN" sz="2400" baseline="0">
                <a:latin typeface="Angsana New" panose="02020603050405020304" pitchFamily="18" charset="-34"/>
                <a:cs typeface="Angsana New" panose="02020603050405020304" pitchFamily="18" charset="-34"/>
              </a:rPr>
              <a:t> VS Sales</a:t>
            </a:r>
          </a:p>
        </c:rich>
      </c:tx>
      <c:layout>
        <c:manualLayout>
          <c:xMode val="edge"/>
          <c:yMode val="edge"/>
          <c:x val="0.261686817669328"/>
          <c:y val="3.211607768117922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1765796516814708"/>
          <c:y val="0.17171296296296296"/>
          <c:w val="0.79377196384934634"/>
          <c:h val="0.60359361329833761"/>
        </c:manualLayout>
      </c:layout>
      <c:barChart>
        <c:barDir val="col"/>
        <c:grouping val="clustered"/>
        <c:varyColors val="0"/>
        <c:ser>
          <c:idx val="0"/>
          <c:order val="0"/>
          <c:tx>
            <c:strRef>
              <c:f>'Pivot-Table'!$B$3</c:f>
              <c:strCache>
                <c:ptCount val="1"/>
                <c:pt idx="0">
                  <c:v>Sum of Amount</c:v>
                </c:pt>
              </c:strCache>
            </c:strRef>
          </c:tx>
          <c:spPr>
            <a:solidFill>
              <a:schemeClr val="accent1"/>
            </a:solidFill>
            <a:ln>
              <a:noFill/>
            </a:ln>
            <a:effectLst/>
          </c:spPr>
          <c:invertIfNegative val="0"/>
          <c:cat>
            <c:strRef>
              <c:f>'Pivot-Table'!$A$4:$A$16</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'Pivot-Table'!$B$4:$B$16</c:f>
              <c:numCache>
                <c:formatCode>General</c:formatCode>
                <c:ptCount val="12"/>
                <c:pt idx="0">
                  <c:v>1820601</c:v>
                </c:pt>
                <c:pt idx="1">
                  <c:v>1875932</c:v>
                </c:pt>
                <c:pt idx="2">
                  <c:v>1928066</c:v>
                </c:pt>
                <c:pt idx="3">
                  <c:v>1829263</c:v>
                </c:pt>
                <c:pt idx="4">
                  <c:v>1797822</c:v>
                </c:pt>
                <c:pt idx="5">
                  <c:v>1750966</c:v>
                </c:pt>
                <c:pt idx="6">
                  <c:v>1772300</c:v>
                </c:pt>
                <c:pt idx="7">
                  <c:v>1808505</c:v>
                </c:pt>
                <c:pt idx="8">
                  <c:v>1688871</c:v>
                </c:pt>
                <c:pt idx="9">
                  <c:v>1666662</c:v>
                </c:pt>
                <c:pt idx="10">
                  <c:v>1615356</c:v>
                </c:pt>
                <c:pt idx="11">
                  <c:v>1622033</c:v>
                </c:pt>
              </c:numCache>
            </c:numRef>
          </c:val>
          <c:extLst>
            <c:ext xmlns:c16="http://schemas.microsoft.com/office/drawing/2014/chart" uri="{C3380CC4-5D6E-409C-BE32-E72D297353CC}">
              <c16:uniqueId val="{00000000-3F97-457A-83F5-3CFE3C30AC09}"/>
            </c:ext>
          </c:extLst>
        </c:ser>
        <c:dLbls>
          <c:showLegendKey val="0"/>
          <c:showVal val="0"/>
          <c:showCatName val="0"/>
          <c:showSerName val="0"/>
          <c:showPercent val="0"/>
          <c:showBubbleSize val="0"/>
        </c:dLbls>
        <c:gapWidth val="219"/>
        <c:overlap val="-27"/>
        <c:axId val="379481103"/>
        <c:axId val="379481583"/>
      </c:barChart>
      <c:lineChart>
        <c:grouping val="standard"/>
        <c:varyColors val="0"/>
        <c:ser>
          <c:idx val="1"/>
          <c:order val="1"/>
          <c:tx>
            <c:strRef>
              <c:f>'Pivot-Table'!$C$3</c:f>
              <c:strCache>
                <c:ptCount val="1"/>
                <c:pt idx="0">
                  <c:v>Count of Order ID</c:v>
                </c:pt>
              </c:strCache>
            </c:strRef>
          </c:tx>
          <c:spPr>
            <a:ln w="28575" cap="rnd">
              <a:solidFill>
                <a:schemeClr val="accent2"/>
              </a:solidFill>
              <a:round/>
            </a:ln>
            <a:effectLst/>
          </c:spPr>
          <c:marker>
            <c:symbol val="none"/>
          </c:marker>
          <c:cat>
            <c:strRef>
              <c:f>'Pivot-Table'!$A$4:$A$16</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'Pivot-Table'!$C$4:$C$16</c:f>
              <c:numCache>
                <c:formatCode>General</c:formatCode>
                <c:ptCount val="12"/>
                <c:pt idx="0">
                  <c:v>2702</c:v>
                </c:pt>
                <c:pt idx="1">
                  <c:v>2750</c:v>
                </c:pt>
                <c:pt idx="2">
                  <c:v>2819</c:v>
                </c:pt>
                <c:pt idx="3">
                  <c:v>2685</c:v>
                </c:pt>
                <c:pt idx="4">
                  <c:v>2617</c:v>
                </c:pt>
                <c:pt idx="5">
                  <c:v>2597</c:v>
                </c:pt>
                <c:pt idx="6">
                  <c:v>2579</c:v>
                </c:pt>
                <c:pt idx="7">
                  <c:v>2617</c:v>
                </c:pt>
                <c:pt idx="8">
                  <c:v>2490</c:v>
                </c:pt>
                <c:pt idx="9">
                  <c:v>2424</c:v>
                </c:pt>
                <c:pt idx="10">
                  <c:v>2383</c:v>
                </c:pt>
                <c:pt idx="11">
                  <c:v>2384</c:v>
                </c:pt>
              </c:numCache>
            </c:numRef>
          </c:val>
          <c:smooth val="0"/>
          <c:extLst>
            <c:ext xmlns:c16="http://schemas.microsoft.com/office/drawing/2014/chart" uri="{C3380CC4-5D6E-409C-BE32-E72D297353CC}">
              <c16:uniqueId val="{00000001-3F97-457A-83F5-3CFE3C30AC09}"/>
            </c:ext>
          </c:extLst>
        </c:ser>
        <c:dLbls>
          <c:showLegendKey val="0"/>
          <c:showVal val="0"/>
          <c:showCatName val="0"/>
          <c:showSerName val="0"/>
          <c:showPercent val="0"/>
          <c:showBubbleSize val="0"/>
        </c:dLbls>
        <c:marker val="1"/>
        <c:smooth val="0"/>
        <c:axId val="379484463"/>
        <c:axId val="379483983"/>
      </c:lineChart>
      <c:catAx>
        <c:axId val="379481103"/>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481583"/>
        <c:crosses val="autoZero"/>
        <c:auto val="1"/>
        <c:lblAlgn val="ctr"/>
        <c:lblOffset val="100"/>
        <c:noMultiLvlLbl val="0"/>
      </c:catAx>
      <c:valAx>
        <c:axId val="379481583"/>
        <c:scaling>
          <c:orientation val="minMax"/>
        </c:scaling>
        <c:delete val="0"/>
        <c:axPos val="l"/>
        <c:numFmt formatCode="0.00,,&quot;M&quot;"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481103"/>
        <c:crosses val="autoZero"/>
        <c:crossBetween val="between"/>
      </c:valAx>
      <c:valAx>
        <c:axId val="379483983"/>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484463"/>
        <c:crosses val="max"/>
        <c:crossBetween val="between"/>
      </c:valAx>
      <c:catAx>
        <c:axId val="379484463"/>
        <c:scaling>
          <c:orientation val="minMax"/>
        </c:scaling>
        <c:delete val="1"/>
        <c:axPos val="b"/>
        <c:numFmt formatCode="General" sourceLinked="1"/>
        <c:majorTickMark val="out"/>
        <c:minorTickMark val="none"/>
        <c:tickLblPos val="nextTo"/>
        <c:crossAx val="379483983"/>
        <c:crosses val="autoZero"/>
        <c:auto val="1"/>
        <c:lblAlgn val="ctr"/>
        <c:lblOffset val="100"/>
        <c:noMultiLvlLbl val="0"/>
      </c:catAx>
      <c:spPr>
        <a:noFill/>
        <a:ln>
          <a:noFill/>
        </a:ln>
        <a:effectLst/>
      </c:spPr>
    </c:plotArea>
    <c:legend>
      <c:legendPos val="r"/>
      <c:layout>
        <c:manualLayout>
          <c:xMode val="edge"/>
          <c:yMode val="edge"/>
          <c:x val="0.53614987781699697"/>
          <c:y val="1.3355965944437533E-2"/>
          <c:w val="0.45041949497692091"/>
          <c:h val="0.1284733158355205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Gunj Parmar</cp:lastModifiedBy>
  <cp:revision>5</cp:revision>
  <dcterms:created xsi:type="dcterms:W3CDTF">2013-12-23T23:15:00Z</dcterms:created>
  <dcterms:modified xsi:type="dcterms:W3CDTF">2025-07-24T08:27:00Z</dcterms:modified>
  <cp:category/>
</cp:coreProperties>
</file>