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To calculate the probability of gain higher than 2% or more, we need to find out what is the sum of all probabilities that gain can take values more than 0.02 (i.e., 2%).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9050" distT="19050" distL="19050" distR="19050">
            <wp:extent cx="5808133" cy="39835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8133" cy="398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Probability of making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2% loss or higher in Glaxo: 0.063 or 6.3%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aramond" w:cs="Garamond" w:eastAsia="Garamond" w:hAnsi="Garamond"/>
          <w:color w:val="00337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Probability of making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2% loss or higher in BEML: 0.2215 or 22.3%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Garamond" w:cs="Garamond" w:eastAsia="Garamond" w:hAnsi="Garamond"/>
          <w:color w:val="00337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Probability of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 2% gain or higher in Glaxo: 0.0710 or 7.1%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aramond" w:cs="Garamond" w:eastAsia="Garamond" w:hAnsi="Garamond"/>
          <w:color w:val="00337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Probability of making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00337f"/>
          <w:sz w:val="40"/>
          <w:szCs w:val="40"/>
          <w:rtl w:val="0"/>
        </w:rPr>
        <w:t xml:space="preserve">2% gain or higher in BEML: 0.2276 or 22.76%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