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</w:pPr>
      <w:r>
        <w:rPr>
          <w:rFonts w:ascii="Georgia" w:cs="Georgia" w:eastAsia="Georgia" w:hAnsi="Georgia"/>
          <w:b/>
          <w:bCs/>
          <w:color w:val="1A56DB"/>
          <w:sz w:val="80"/>
          <w:szCs w:val="80"/>
        </w:rPr>
        <w:t xml:space="preserve">UiPath IXP</w:t>
      </w:r>
    </w:p>
    <w:p>
      <w:pPr>
        <w:spacing w:after="120" w:before="0"/>
      </w:pPr>
      <w:r>
        <w:rPr>
          <w:rFonts w:ascii="Georgia" w:cs="Georgia" w:eastAsia="Georgia" w:hAnsi="Georgia"/>
          <w:i/>
          <w:iCs/>
          <w:color w:val="111827"/>
          <w:sz w:val="36"/>
          <w:szCs w:val="36"/>
        </w:rPr>
        <w:t xml:space="preserve">Intelligent Xtraction &amp; Processing</w:t>
      </w:r>
    </w:p>
    <w:p>
      <w:pPr>
        <w:pBdr>
          <w:bottom w:val="single" w:color="0E9F6E" w:sz="12"/>
        </w:pBdr>
        <w:spacing w:after="8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color w:val="374151"/>
          <w:sz w:val="24"/>
          <w:szCs w:val="24"/>
        </w:rPr>
        <w:t xml:space="preserve">A Complete Technical &amp; Strategic Reference</w:t>
      </w:r>
    </w:p>
    <w:p>
      <w:pPr>
        <w:spacing w:after="600" w:before="60"/>
      </w:pPr>
      <w:r>
        <w:rPr>
          <w:rFonts w:ascii="Calibri" w:cs="Calibri" w:eastAsia="Calibri" w:hAnsi="Calibri"/>
          <w:color w:val="D1D5DB"/>
          <w:sz w:val="22"/>
          <w:szCs w:val="22"/>
        </w:rPr>
        <w:t xml:space="preserve">Fundamentals · Architecture · Use Cases · Governance · Alternatives</w:t>
      </w:r>
    </w:p>
    <w:p>
      <w:r>
        <w:br w:type="page"/>
      </w:r>
    </w:p>
    <w:p>
      <w:pPr>
        <w:pStyle w:val="Heading1"/>
        <w:pBdr>
          <w:bottom w:val="single" w:color="1A56DB" w:sz="8" w:space="6"/>
        </w:pBdr>
        <w:spacing w:after="160" w:before="480"/>
      </w:pPr>
      <w:r>
        <w:rPr>
          <w:rFonts w:ascii="Georgia" w:cs="Georgia" w:eastAsia="Georgia" w:hAnsi="Georgia"/>
          <w:b/>
          <w:bCs/>
          <w:color w:val="111827"/>
          <w:sz w:val="34"/>
          <w:szCs w:val="34"/>
        </w:rPr>
        <w:t xml:space="preserve">Table of 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1A56DB" w:sz="8" w:space="6"/>
        </w:pBdr>
        <w:spacing w:after="160" w:before="480"/>
      </w:pPr>
      <w:r>
        <w:rPr>
          <w:rFonts w:ascii="Georgia" w:cs="Georgia" w:eastAsia="Georgia" w:hAnsi="Georgia"/>
          <w:b/>
          <w:bCs/>
          <w:color w:val="111827"/>
          <w:sz w:val="34"/>
          <w:szCs w:val="34"/>
        </w:rPr>
        <w:t xml:space="preserve">1. What Is UiPath IXP?</w:t>
      </w:r>
    </w:p>
    <w:p>
      <w:pPr>
        <w:spacing w:after="120" w:before="8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22"/>
          <w:szCs w:val="22"/>
        </w:rPr>
        <w:t xml:space="preserve">UiPath IXP — Intelligent Xtraction and Processing — is the next evolution of enterprise Intelligent Document Processing (IDP). Officially launched at UiPath's Agentic AI Summit in March 2025, IXP is a multi-modal data classification and extraction platform that unifies three previously separate capabilities under a single governed framework.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shd w:fill="1A56D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CORE DEFINITION</w:t>
            </w:r>
          </w:p>
        </w:tc>
        <w:tc>
          <w:tcPr>
            <w:tcW w:type="dxa" w:w="8960"/>
            <w:shd w:fill="EBF5FB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2"/>
                <w:szCs w:val="22"/>
              </w:rPr>
              <w:t xml:space="preserve">IXP converts data from unstructured documents and communications into clean, structured outputs that flow directly into agentic workflows, automations, and analytics — at enterprise speed and scale.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120" w:before="8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22"/>
          <w:szCs w:val="22"/>
        </w:rPr>
        <w:t xml:space="preserve">The 'X' in IXP intentionally represents not just extraction, but the ever-growing diversity of content types, data formats, and extraction methods the platform supports. IXP is purpose-built for the agentic automation era, where AI agents need reliable, structured data fuel to act autonomously across complex enterprise processes.</w:t>
      </w:r>
    </w:p>
    <w:p>
      <w:pPr>
        <w:pStyle w:val="Heading2"/>
        <w:spacing w:after="120" w:before="360"/>
      </w:pPr>
      <w:r>
        <w:rPr>
          <w:rFonts w:ascii="Georgia" w:cs="Georgia" w:eastAsia="Georgia" w:hAnsi="Georgia"/>
          <w:b/>
          <w:bCs/>
          <w:color w:val="1A56DB"/>
          <w:sz w:val="26"/>
          <w:szCs w:val="26"/>
        </w:rPr>
        <w:t xml:space="preserve">1.1 The Problem IXP Solves</w:t>
      </w:r>
    </w:p>
    <w:p>
      <w:pPr>
        <w:spacing w:after="120" w:before="8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22"/>
          <w:szCs w:val="22"/>
        </w:rPr>
        <w:t xml:space="preserve">Most enterprise data is locked in unstructured or semi-structured form — buried in emails, PDFs, contracts, mortgage packets, engineering reports, and support tickets. Traditional IDP systems struggled with: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Documents with multiple tables, nested tables, or heavy free-form text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Documents requiring inference or deduction to understand content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Long-form documents containing embedded sub-documents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Communications (emails/tickets) with multiple interlocking requests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Variable-format documents where no two look the same</w:t>
      </w:r>
    </w:p>
    <w:p>
      <w:pPr>
        <w:spacing w:after="60" w:before="0"/>
      </w:pPr>
      <w:r>
        <w:t xml:space="preserve"/>
      </w:r>
    </w:p>
    <w:p>
      <w:pPr>
        <w:spacing w:after="120" w:before="8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22"/>
          <w:szCs w:val="22"/>
        </w:rPr>
        <w:t xml:space="preserve">IXP addresses all of these through a combination of specialized ML models, foundation LLMs, prompt-driven generative extraction, and enterprise governance — replacing the need to stitch together multiple disconnected tools.</w:t>
      </w:r>
    </w:p>
    <w:p>
      <w:pPr>
        <w:pStyle w:val="Heading2"/>
        <w:spacing w:after="120" w:before="360"/>
      </w:pPr>
      <w:r>
        <w:rPr>
          <w:rFonts w:ascii="Georgia" w:cs="Georgia" w:eastAsia="Georgia" w:hAnsi="Georgia"/>
          <w:b/>
          <w:bCs/>
          <w:color w:val="1A56DB"/>
          <w:sz w:val="26"/>
          <w:szCs w:val="26"/>
        </w:rPr>
        <w:t xml:space="preserve">1.2 Evolution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shd w:fill="1A56DB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000"/>
            <w:shd w:fill="1A56DB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5360"/>
            <w:shd w:fill="1A56DB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Capability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Pre-2023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Classic DU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Template-based structured doc extraction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2023–2024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Modern DU + Comm Mining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ML models for semi-structured docs; NLP for email/ticket classification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Early 2025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IXP Launch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Unified platform: DU + Communications Mining + Generative Extraction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Late 2025+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Agentic IXP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Extraction Agents, Validation Agents, agentic looping, fine-tunable LLM</w:t>
            </w:r>
          </w:p>
        </w:tc>
      </w:tr>
    </w:tbl>
    <w:p>
      <w:pPr>
        <w:spacing w:after="6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6DB" w:sz="8" w:space="6"/>
        </w:pBdr>
        <w:spacing w:after="160" w:before="480"/>
      </w:pPr>
      <w:r>
        <w:rPr>
          <w:rFonts w:ascii="Georgia" w:cs="Georgia" w:eastAsia="Georgia" w:hAnsi="Georgia"/>
          <w:b/>
          <w:bCs/>
          <w:color w:val="111827"/>
          <w:sz w:val="34"/>
          <w:szCs w:val="34"/>
        </w:rPr>
        <w:t xml:space="preserve">2. Architecture &amp; Core Capabilities</w:t>
      </w:r>
    </w:p>
    <w:p>
      <w:pPr>
        <w:spacing w:after="120" w:before="8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22"/>
          <w:szCs w:val="22"/>
        </w:rPr>
        <w:t xml:space="preserve">IXP is built on a three-pillar capability model, each optimized for a distinct content type. These capabilities share a common governance, licensing, and orchestration infrastructure within UiPath Automation Cloud.</w:t>
      </w:r>
    </w:p>
    <w:p>
      <w:pPr>
        <w:pStyle w:val="Heading2"/>
        <w:spacing w:after="120" w:before="360"/>
      </w:pPr>
      <w:r>
        <w:rPr>
          <w:rFonts w:ascii="Georgia" w:cs="Georgia" w:eastAsia="Georgia" w:hAnsi="Georgia"/>
          <w:b/>
          <w:bCs/>
          <w:color w:val="1A56DB"/>
          <w:sz w:val="26"/>
          <w:szCs w:val="26"/>
        </w:rPr>
        <w:t xml:space="preserve">2.1 Capability Pillar 1 — Structured &amp; Semi-Structured Documents</w:t>
      </w:r>
    </w:p>
    <w:p>
      <w:pPr>
        <w:spacing w:after="120" w:before="8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22"/>
          <w:szCs w:val="22"/>
        </w:rPr>
        <w:t xml:space="preserve">Powered by: Document Understanding (DU)</w:t>
      </w:r>
    </w:p>
    <w:p>
      <w:pPr>
        <w:spacing w:after="60" w:before="0"/>
      </w:pPr>
      <w:r>
        <w:t xml:space="preserve"/>
      </w:r>
    </w:p>
    <w:p>
      <w:pPr>
        <w:spacing w:after="120" w:before="8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22"/>
          <w:szCs w:val="22"/>
        </w:rPr>
        <w:t xml:space="preserve">Document Understanding is IXP's engine for predictable, repeatable document formats. It supports: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Classic experience: Template-based extraction using predefined field positions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Modern experience: ML model-based extraction that generalizes across layout variations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Pre-built models: Out-of-the-box extractors for invoices, purchase orders, receipts, passports, IDs, and more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Validation Station: Human-in-the-loop review UI where low-confidence extractions are flagged for correction — and corrections feed back as training data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Action Center integration: Validated exceptions route to human reviewers via task queues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shd w:fill="1A56D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BEST FOR</w:t>
            </w:r>
          </w:p>
        </w:tc>
        <w:tc>
          <w:tcPr>
            <w:tcW w:type="dxa" w:w="8960"/>
            <w:shd w:fill="EBF5FB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2"/>
                <w:szCs w:val="22"/>
              </w:rPr>
              <w:t xml:space="preserve">Invoices, purchase orders, tax forms, identity documents, bank statements, insurance forms — any document with a consistent or semi-consistent structure.</w:t>
            </w:r>
          </w:p>
        </w:tc>
      </w:tr>
    </w:tbl>
    <w:p>
      <w:pPr>
        <w:pStyle w:val="Heading2"/>
        <w:spacing w:after="120" w:before="360"/>
      </w:pPr>
      <w:r>
        <w:rPr>
          <w:rFonts w:ascii="Georgia" w:cs="Georgia" w:eastAsia="Georgia" w:hAnsi="Georgia"/>
          <w:b/>
          <w:bCs/>
          <w:color w:val="1A56DB"/>
          <w:sz w:val="26"/>
          <w:szCs w:val="26"/>
        </w:rPr>
        <w:t xml:space="preserve">2.2 Capability Pillar 2 — Communications Data</w:t>
      </w:r>
    </w:p>
    <w:p>
      <w:pPr>
        <w:spacing w:after="120" w:before="8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22"/>
          <w:szCs w:val="22"/>
        </w:rPr>
        <w:t xml:space="preserve">Powered by: Communications Mining (CM)</w:t>
      </w:r>
    </w:p>
    <w:p>
      <w:pPr>
        <w:spacing w:after="60" w:before="0"/>
      </w:pPr>
      <w:r>
        <w:t xml:space="preserve"/>
      </w:r>
    </w:p>
    <w:p>
      <w:pPr>
        <w:spacing w:after="120" w:before="8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22"/>
          <w:szCs w:val="22"/>
        </w:rPr>
        <w:t xml:space="preserve">Communications Mining applies specialized NLP and generative AI to short-form, conversational data. Key capabilities: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Intent classification: Identifies what the sender wants (e.g., address change, refund, cancellation)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Entity extraction: Pulls specific data points like policy numbers, dates, amounts, and addresses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Multi-request handling: Recognizes when a single email contains multiple distinct requests, each requiring separate data extraction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Generative Extraction (GenEx): Uses LLMs to understand complex relationships between intents and their associated data fields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Relationship awareness: For example, in an address change email — identifies the policy number, old address, AND new address, and maps each to the correct request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shd w:fill="1A56D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BEST FOR</w:t>
            </w:r>
          </w:p>
        </w:tc>
        <w:tc>
          <w:tcPr>
            <w:tcW w:type="dxa" w:w="8960"/>
            <w:shd w:fill="EBF5FB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2"/>
                <w:szCs w:val="22"/>
              </w:rPr>
              <w:t xml:space="preserve">Customer service emails, IT support tickets, insurance claims communications, HR requests, banking correspondence — any high-volume communication stream.</w:t>
            </w:r>
          </w:p>
        </w:tc>
      </w:tr>
    </w:tbl>
    <w:p>
      <w:pPr>
        <w:pStyle w:val="Heading2"/>
        <w:spacing w:after="120" w:before="360"/>
      </w:pPr>
      <w:r>
        <w:rPr>
          <w:rFonts w:ascii="Georgia" w:cs="Georgia" w:eastAsia="Georgia" w:hAnsi="Georgia"/>
          <w:b/>
          <w:bCs/>
          <w:color w:val="1A56DB"/>
          <w:sz w:val="26"/>
          <w:szCs w:val="26"/>
        </w:rPr>
        <w:t xml:space="preserve">2.3 Capability Pillar 3 — Unstructured &amp; Complex Documents</w:t>
      </w:r>
    </w:p>
    <w:p>
      <w:pPr>
        <w:spacing w:after="120" w:before="8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22"/>
          <w:szCs w:val="22"/>
        </w:rPr>
        <w:t xml:space="preserve">Powered by: Generative Extraction for Unstructured Documents</w:t>
      </w:r>
    </w:p>
    <w:p>
      <w:pPr>
        <w:spacing w:after="60" w:before="0"/>
      </w:pPr>
      <w:r>
        <w:t xml:space="preserve"/>
      </w:r>
    </w:p>
    <w:p>
      <w:pPr>
        <w:spacing w:after="120" w:before="8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22"/>
          <w:szCs w:val="22"/>
        </w:rPr>
        <w:t xml:space="preserve">This is IXP's newest and most powerful pillar, introduced specifically for documents that defeat traditional ML models. It uses: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Prompt-driven extraction: Business users write natural language prompts to define what to extract — no annotating training data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Foundation LLMs: Backed by OpenAI GPT-4o and other multimodal models for reasoning over complex content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RAG (Retrieval-Augmented Generation): Dynamically chunks and retrieves relevant sections from long documents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In-context learning: Few-shot examples can be embedded in prompts to guide model behavior without retraining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Intelligent pre-processing: Automatically handles document splitting, layout analysis, and chunking for documents up to 50 pages (150 in preview)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Agentic looping: Iterative reasoning loops for handling 500+ field documents with precision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shd w:fill="1A56D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BEST FOR</w:t>
            </w:r>
          </w:p>
        </w:tc>
        <w:tc>
          <w:tcPr>
            <w:tcW w:type="dxa" w:w="8960"/>
            <w:shd w:fill="EBF5FB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2"/>
                <w:szCs w:val="22"/>
              </w:rPr>
              <w:t xml:space="preserve">Contracts, legal agreements, loan packets, engineering reports, brokerage statements, clinical trial documents, M&amp;A due diligence packages — any complex, variable-format document.</w:t>
            </w:r>
          </w:p>
        </w:tc>
      </w:tr>
    </w:tbl>
    <w:p>
      <w:pPr>
        <w:pStyle w:val="Heading2"/>
        <w:spacing w:after="120" w:before="360"/>
      </w:pPr>
      <w:r>
        <w:rPr>
          <w:rFonts w:ascii="Georgia" w:cs="Georgia" w:eastAsia="Georgia" w:hAnsi="Georgia"/>
          <w:b/>
          <w:bCs/>
          <w:color w:val="1A56DB"/>
          <w:sz w:val="26"/>
          <w:szCs w:val="26"/>
        </w:rPr>
        <w:t xml:space="preserve">2.4 The Unified Architecture</w:t>
      </w:r>
    </w:p>
    <w:p>
      <w:pPr>
        <w:spacing w:after="120" w:before="8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22"/>
          <w:szCs w:val="22"/>
        </w:rPr>
        <w:t xml:space="preserve">All three pillars share: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shd w:fill="1A56DB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560"/>
            <w:shd w:fill="1A56DB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Provides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AI Trust Layer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Security, auditability, model attribution, AI governance policies via Automation Ops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LLM Gateway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Routes requests to the right model; enforces Automation Ops policies; blocks or allows external LLM calls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Validation Station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Universal human-review UI; confidence-based routing; corrections feed model retraining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Action Center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Task queue for human-in-the-loop exceptions; triggers orchestration on new items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Orchestrator Integration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IXP outputs flow natively into UiPath workflows, agents, and robots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Governance Controls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Model versioning, attribution logging, tenant-level quotas, role-based access</w:t>
            </w:r>
          </w:p>
        </w:tc>
      </w:tr>
    </w:tbl>
    <w:p>
      <w:pPr>
        <w:spacing w:after="6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6DB" w:sz="8" w:space="6"/>
        </w:pBdr>
        <w:spacing w:after="160" w:before="480"/>
      </w:pPr>
      <w:r>
        <w:rPr>
          <w:rFonts w:ascii="Georgia" w:cs="Georgia" w:eastAsia="Georgia" w:hAnsi="Georgia"/>
          <w:b/>
          <w:bCs/>
          <w:color w:val="111827"/>
          <w:sz w:val="34"/>
          <w:szCs w:val="34"/>
        </w:rPr>
        <w:t xml:space="preserve">3. How IXP Works — The Processing Lifecycle</w:t>
      </w:r>
    </w:p>
    <w:p>
      <w:pPr>
        <w:spacing w:after="120" w:before="8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22"/>
          <w:szCs w:val="22"/>
        </w:rPr>
        <w:t xml:space="preserve">Every document or communication that flows through IXP follows a structured lifecycle, regardless of which capability handles it:</w:t>
      </w:r>
    </w:p>
    <w:p>
      <w:pPr>
        <w:spacing w:after="60" w:before="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INGESTION — Documents arrive via email, file system, API, or robotic process (any UiPath-connected channel).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DIGITIZATION — Scanned images are OCR-processed; native PDFs are parsed. IXP applies layout analysis and intelligent pre-processing to segment complex documents.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CLASSIFICATION — The system identifies document type (invoice, contract, claim, etc.) using ML classifiers or LLM-based routing logic.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SPLITTING — Large document packets (e.g., a mortgage application containing 12 different document types) are split into logical sub-documents for separate processing.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EXTRACTION — The appropriate model (template, ML, or generative) extracts the defined fields. Generative capabilities use prompt + LLM; structured capabilities use trained ML models.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CONFIDENCE SCORING — Every extracted field receives a confidence score. Scores below a configurable threshold route to human review.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VALIDATION — Human reviewers in Validation Station or Action Center correct low-confidence extractions. Corrections are logged as ground truth for model improvement.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OUTPUT &amp; INTEGRATION — Clean, structured data (JSON, XML, or tabular) is passed to downstream automation, agents, ERP systems, or analytics platforms.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CONTINUOUS LEARNING — A fine-tunable proprietary model learns from every annotation and correction, improving accuracy over time.</w:t>
      </w:r>
    </w:p>
    <w:p>
      <w:pPr>
        <w:spacing w:after="6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Georgia" w:cs="Georgia" w:eastAsia="Georgia" w:hAnsi="Georgia"/>
          <w:b/>
          <w:bCs/>
          <w:color w:val="1A56DB"/>
          <w:sz w:val="26"/>
          <w:szCs w:val="26"/>
        </w:rPr>
        <w:t xml:space="preserve">3.1 Agentic IXP — The Latest Evolution</w:t>
      </w:r>
    </w:p>
    <w:p>
      <w:pPr>
        <w:spacing w:after="120" w:before="8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22"/>
          <w:szCs w:val="22"/>
        </w:rPr>
        <w:t xml:space="preserve">As of late 2025, IXP introduced purpose-built agentic capabilities that transform it from a data extraction tool into an active participant in autonomous workflows:</w:t>
      </w:r>
    </w:p>
    <w:p>
      <w:pPr>
        <w:spacing w:after="6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Extraction Agents: </w:t>
      </w:r>
      <w:r>
        <w:rPr>
          <w:rFonts w:ascii="Calibri" w:cs="Calibri" w:eastAsia="Calibri" w:hAnsi="Calibri"/>
          <w:color w:val="374151"/>
          <w:sz w:val="22"/>
          <w:szCs w:val="22"/>
        </w:rPr>
        <w:t xml:space="preserve">Extraction Agents: AI agents that autonomously navigate complex documents, applying dynamic reasoning to extract fields — not just matching patterns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Validation Agents: </w:t>
      </w:r>
      <w:r>
        <w:rPr>
          <w:rFonts w:ascii="Calibri" w:cs="Calibri" w:eastAsia="Calibri" w:hAnsi="Calibri"/>
          <w:color w:val="374151"/>
          <w:sz w:val="22"/>
          <w:szCs w:val="22"/>
        </w:rPr>
        <w:t xml:space="preserve">Validation Agents: Agents that cross-check extracted data against reference systems (e.g., matching an invoice amount against a PO in SAP) and flag genuine discrepancies rather than routing everything to humans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Native Tool: </w:t>
      </w:r>
      <w:r>
        <w:rPr>
          <w:rFonts w:ascii="Calibri" w:cs="Calibri" w:eastAsia="Calibri" w:hAnsi="Calibri"/>
          <w:color w:val="374151"/>
          <w:sz w:val="22"/>
          <w:szCs w:val="22"/>
        </w:rPr>
        <w:t xml:space="preserve">Native Tool Integration: IXP is exposed as a native tool for both low-code and coded agents in UiPath Studio, making document intelligence a first-class capability inside agentic workflows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Autopilot Schema: </w:t>
      </w:r>
      <w:r>
        <w:rPr>
          <w:rFonts w:ascii="Calibri" w:cs="Calibri" w:eastAsia="Calibri" w:hAnsi="Calibri"/>
          <w:color w:val="374151"/>
          <w:sz w:val="22"/>
          <w:szCs w:val="22"/>
        </w:rPr>
        <w:t xml:space="preserve">Autopilot for Schema Creation: AI-assisted schema design where users describe what they want to extract in natural language and the system generates the extraction schema automatically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shd w:fill="1A56D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KEY INSIGHT</w:t>
            </w:r>
          </w:p>
        </w:tc>
        <w:tc>
          <w:tcPr>
            <w:tcW w:type="dxa" w:w="8960"/>
            <w:shd w:fill="EBF5FB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2"/>
                <w:szCs w:val="22"/>
              </w:rPr>
              <w:t xml:space="preserve">Validation Agents are purpose-built for non-deterministic scenarios — cases where rules alone cannot determine correctness. They reduce manual review volume dramatically by handling intelligent cross-system verification autonomously.</w:t>
            </w:r>
          </w:p>
        </w:tc>
      </w:tr>
    </w:tbl>
    <w:p>
      <w:pPr>
        <w:spacing w:after="6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6DB" w:sz="8" w:space="6"/>
        </w:pBdr>
        <w:spacing w:after="160" w:before="480"/>
      </w:pPr>
      <w:r>
        <w:rPr>
          <w:rFonts w:ascii="Georgia" w:cs="Georgia" w:eastAsia="Georgia" w:hAnsi="Georgia"/>
          <w:b/>
          <w:bCs/>
          <w:color w:val="111827"/>
          <w:sz w:val="34"/>
          <w:szCs w:val="34"/>
        </w:rPr>
        <w:t xml:space="preserve">4. Use Cases by Industry</w:t>
      </w:r>
    </w:p>
    <w:p>
      <w:pPr>
        <w:spacing w:after="120" w:before="8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22"/>
          <w:szCs w:val="22"/>
        </w:rPr>
        <w:t xml:space="preserve">IXP's multi-modal architecture means it applies across virtually every industry vertical where unstructured data is a bottleneck. Below are the key verticals and their highest-value scenarios.</w:t>
      </w:r>
    </w:p>
    <w:p>
      <w:pPr>
        <w:pStyle w:val="Heading2"/>
        <w:spacing w:after="120" w:before="360"/>
      </w:pPr>
      <w:r>
        <w:rPr>
          <w:rFonts w:ascii="Georgia" w:cs="Georgia" w:eastAsia="Georgia" w:hAnsi="Georgia"/>
          <w:b/>
          <w:bCs/>
          <w:color w:val="1A56DB"/>
          <w:sz w:val="26"/>
          <w:szCs w:val="26"/>
        </w:rPr>
        <w:t xml:space="preserve">4.1 Banking &amp; Financial Services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Mortgage processing: IXP ingests multi-document loan packets (income docs, appraisals, title reports) and extracts all fields for automated underwriting systems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Invoice processing &amp; AP automation: Extracts line items, PO references, and payment terms from supplier invoices; matches against ERP purchase orders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Know Your Customer (KYC): Extracts entity data from ID documents, utility bills, and corporate registration filings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Brokerage statements: Processes complex multi-table statements with portfolio positions, transactions, and performance summaries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Trade finance: Extracts data from letters of credit, bills of lading, and commercial invoices for cross-border trade workflows</w:t>
      </w:r>
    </w:p>
    <w:p>
      <w:pPr>
        <w:pStyle w:val="Heading2"/>
        <w:spacing w:after="120" w:before="360"/>
      </w:pPr>
      <w:r>
        <w:rPr>
          <w:rFonts w:ascii="Georgia" w:cs="Georgia" w:eastAsia="Georgia" w:hAnsi="Georgia"/>
          <w:b/>
          <w:bCs/>
          <w:color w:val="1A56DB"/>
          <w:sz w:val="26"/>
          <w:szCs w:val="26"/>
        </w:rPr>
        <w:t xml:space="preserve">4.2 Insurance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Claims intake: Classifies claim types, extracts claimant details, policy numbers, and incident descriptions from emails and PDFs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Policy endorsements: Reads policy change request communications and extracts the specific endorsement being requested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Medical bill review: Extracts procedure codes, diagnosis codes, and provider details from EOBs and medical bills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Fraud detection support: Flags inconsistencies between extracted claim data and policy data for investigator review</w:t>
      </w:r>
    </w:p>
    <w:p>
      <w:pPr>
        <w:pStyle w:val="Heading2"/>
        <w:spacing w:after="120" w:before="360"/>
      </w:pPr>
      <w:r>
        <w:rPr>
          <w:rFonts w:ascii="Georgia" w:cs="Georgia" w:eastAsia="Georgia" w:hAnsi="Georgia"/>
          <w:b/>
          <w:bCs/>
          <w:color w:val="1A56DB"/>
          <w:sz w:val="26"/>
          <w:szCs w:val="26"/>
        </w:rPr>
        <w:t xml:space="preserve">4.3 Healthcare &amp; Life Sciences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Clinical trial data extraction: Pulls patient data, dosage information, and adverse events from unstructured clinical notes and trial reports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Prior authorization: Extracts diagnosis and treatment data from physician letters and routes to payer systems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Medical record summarization: Processes lengthy patient histories into structured summaries for clinical decision support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Referral management: Classifies and routes patient referral communications based on specialty and urgency</w:t>
      </w:r>
    </w:p>
    <w:p>
      <w:pPr>
        <w:pStyle w:val="Heading2"/>
        <w:spacing w:after="120" w:before="360"/>
      </w:pPr>
      <w:r>
        <w:rPr>
          <w:rFonts w:ascii="Georgia" w:cs="Georgia" w:eastAsia="Georgia" w:hAnsi="Georgia"/>
          <w:b/>
          <w:bCs/>
          <w:color w:val="1A56DB"/>
          <w:sz w:val="26"/>
          <w:szCs w:val="26"/>
        </w:rPr>
        <w:t xml:space="preserve">4.4 Legal &amp; Compliance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Contract analysis: Extracts key dates, obligations, parties, penalty clauses, and renewal terms from complex legal agreements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Contract comparison: Compares extracted terms against standard templates to flag deviations requiring legal review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Regulatory filing extraction: Pulls structured data from SEC filings, regulatory submissions, and compliance reports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Due diligence automation: Processes M&amp;A data room documents to extract material information for deal analysis</w:t>
      </w:r>
    </w:p>
    <w:p>
      <w:pPr>
        <w:pStyle w:val="Heading2"/>
        <w:spacing w:after="120" w:before="360"/>
      </w:pPr>
      <w:r>
        <w:rPr>
          <w:rFonts w:ascii="Georgia" w:cs="Georgia" w:eastAsia="Georgia" w:hAnsi="Georgia"/>
          <w:b/>
          <w:bCs/>
          <w:color w:val="1A56DB"/>
          <w:sz w:val="26"/>
          <w:szCs w:val="26"/>
        </w:rPr>
        <w:t xml:space="preserve">4.5 Manufacturing &amp; Supply Chain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Purchase order processing: Extracts line items, delivery dates, and vendor details from supplier POs across varied formats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Quality inspection reports: Extracts measurement data, defect classifications, and test results from inspection documents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Engineering drawings (text components): Extracts part numbers, tolerances, and material specifications from technical documents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Logistics documentation: Processes bills of lading, customs declarations, and shipping manifests</w:t>
      </w:r>
    </w:p>
    <w:p>
      <w:pPr>
        <w:pStyle w:val="Heading2"/>
        <w:spacing w:after="120" w:before="360"/>
      </w:pPr>
      <w:r>
        <w:rPr>
          <w:rFonts w:ascii="Georgia" w:cs="Georgia" w:eastAsia="Georgia" w:hAnsi="Georgia"/>
          <w:b/>
          <w:bCs/>
          <w:color w:val="1A56DB"/>
          <w:sz w:val="26"/>
          <w:szCs w:val="26"/>
        </w:rPr>
        <w:t xml:space="preserve">4.6 Public Sector &amp; Government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Permit applications: Extracts applicant details, project descriptions, and location data from planning applications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Grant applications: Classifies and extracts key criteria from funding requests for automated scoring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Tax document processing: Handles diverse form types across different tax jurisdictions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Benefits determination: Extracts supporting documentation for eligibility verification</w:t>
      </w:r>
    </w:p>
    <w:p>
      <w:pPr>
        <w:spacing w:after="6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6DB" w:sz="8" w:space="6"/>
        </w:pBdr>
        <w:spacing w:after="160" w:before="480"/>
      </w:pPr>
      <w:r>
        <w:rPr>
          <w:rFonts w:ascii="Georgia" w:cs="Georgia" w:eastAsia="Georgia" w:hAnsi="Georgia"/>
          <w:b/>
          <w:bCs/>
          <w:color w:val="111827"/>
          <w:sz w:val="34"/>
          <w:szCs w:val="34"/>
        </w:rPr>
        <w:t xml:space="preserve">5. Unique &amp; Creative Implementations</w:t>
      </w:r>
    </w:p>
    <w:p>
      <w:pPr>
        <w:spacing w:after="120" w:before="8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22"/>
          <w:szCs w:val="22"/>
        </w:rPr>
        <w:t xml:space="preserve">Beyond standard document processing, IXP's agentic and generative capabilities open doors to implementations that go far beyond what traditional IDP tools could achieve.</w:t>
      </w:r>
    </w:p>
    <w:p>
      <w:pPr>
        <w:pStyle w:val="Heading2"/>
        <w:spacing w:after="120" w:before="360"/>
      </w:pPr>
      <w:r>
        <w:rPr>
          <w:rFonts w:ascii="Georgia" w:cs="Georgia" w:eastAsia="Georgia" w:hAnsi="Georgia"/>
          <w:b/>
          <w:bCs/>
          <w:color w:val="1A56DB"/>
          <w:sz w:val="26"/>
          <w:szCs w:val="26"/>
        </w:rPr>
        <w:t xml:space="preserve">5.1 IXP as the Data Layer for AI Agents</w:t>
      </w:r>
    </w:p>
    <w:p>
      <w:pPr>
        <w:spacing w:after="120" w:before="8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22"/>
          <w:szCs w:val="22"/>
        </w:rPr>
        <w:t xml:space="preserve">The most architecturally significant use of IXP is as the document intelligence layer within multi-agent systems. Rather than treating document processing as a pre-process step, IXP is embedded as a callable tool within agent workflows. An orchestrating agent can dynamically invoke IXP mid-workflow when it encounters a document it needs to reason over — enabling truly dynamic, context-aware document processing at runtime.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shd w:fill="1A56D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  <w:tc>
          <w:tcPr>
            <w:tcW w:type="dxa" w:w="8960"/>
            <w:shd w:fill="EBF5FB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2"/>
                <w:szCs w:val="22"/>
              </w:rPr>
              <w:t xml:space="preserve">A Purchase-to-Pay agent receives an email with a PDF invoice attached. It calls IXP's Communications Mining capability to understand the email intent, then calls IXP's Document Understanding capability to extract invoice fields, then calls a Validation Agent to cross-check against the SAP PO — all within a single orchestrated agent loop.</w:t>
            </w:r>
          </w:p>
        </w:tc>
      </w:tr>
    </w:tbl>
    <w:p>
      <w:pPr>
        <w:pStyle w:val="Heading2"/>
        <w:spacing w:after="120" w:before="360"/>
      </w:pPr>
      <w:r>
        <w:rPr>
          <w:rFonts w:ascii="Georgia" w:cs="Georgia" w:eastAsia="Georgia" w:hAnsi="Georgia"/>
          <w:b/>
          <w:bCs/>
          <w:color w:val="1A56DB"/>
          <w:sz w:val="26"/>
          <w:szCs w:val="26"/>
        </w:rPr>
        <w:t xml:space="preserve">5.2 Autonomous Contract Lifecycle Management</w:t>
      </w:r>
    </w:p>
    <w:p>
      <w:pPr>
        <w:spacing w:after="120" w:before="8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22"/>
          <w:szCs w:val="22"/>
        </w:rPr>
        <w:t xml:space="preserve">IXP's generative extraction plus contract comparison capabilities, combined with UiPath agents, enable a fully autonomous contract lifecycle: extract all obligations and key dates → compare against standard playbook terms → flag deviations → route only non-standard clauses for attorney review → auto-populate contract management systems. Legal teams report 70–80% reduction in manual contract review time in pilot deployments.</w:t>
      </w:r>
    </w:p>
    <w:p>
      <w:pPr>
        <w:pStyle w:val="Heading2"/>
        <w:spacing w:after="120" w:before="360"/>
      </w:pPr>
      <w:r>
        <w:rPr>
          <w:rFonts w:ascii="Georgia" w:cs="Georgia" w:eastAsia="Georgia" w:hAnsi="Georgia"/>
          <w:b/>
          <w:bCs/>
          <w:color w:val="1A56DB"/>
          <w:sz w:val="26"/>
          <w:szCs w:val="26"/>
        </w:rPr>
        <w:t xml:space="preserve">5.3 Continuous Model Self-Improvement Loops</w:t>
      </w:r>
    </w:p>
    <w:p>
      <w:pPr>
        <w:spacing w:after="120" w:before="8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22"/>
          <w:szCs w:val="22"/>
        </w:rPr>
        <w:t xml:space="preserve">IXP's fine-tunable model architecture enables a closed-loop learning system: every human correction in Validation Station feeds back as labeled training data to a proprietary LLM. Over time, the model becomes increasingly specialized to the organization's specific document vocabulary, formatting patterns, and edge cases. Unlike one-time model training, this creates a compounding accuracy improvement curve.</w:t>
      </w:r>
    </w:p>
    <w:p>
      <w:pPr>
        <w:pStyle w:val="Heading2"/>
        <w:spacing w:after="120" w:before="360"/>
      </w:pPr>
      <w:r>
        <w:rPr>
          <w:rFonts w:ascii="Georgia" w:cs="Georgia" w:eastAsia="Georgia" w:hAnsi="Georgia"/>
          <w:b/>
          <w:bCs/>
          <w:color w:val="1A56DB"/>
          <w:sz w:val="26"/>
          <w:szCs w:val="26"/>
        </w:rPr>
        <w:t xml:space="preserve">5.4 Cross-System Document Reconciliation</w:t>
      </w:r>
    </w:p>
    <w:p>
      <w:pPr>
        <w:spacing w:after="120" w:before="8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22"/>
          <w:szCs w:val="22"/>
        </w:rPr>
        <w:t xml:space="preserve">Validation Agents can be configured to extract data from two independent documents (e.g., a supplier invoice and a UiPath-retrieved PO from SAP) and perform automated reconciliation — identifying line-item discrepancies, unit price variances, and quantity mismatches without any human involvement, routing only genuine exceptions.</w:t>
      </w:r>
    </w:p>
    <w:p>
      <w:pPr>
        <w:pStyle w:val="Heading2"/>
        <w:spacing w:after="120" w:before="360"/>
      </w:pPr>
      <w:r>
        <w:rPr>
          <w:rFonts w:ascii="Georgia" w:cs="Georgia" w:eastAsia="Georgia" w:hAnsi="Georgia"/>
          <w:b/>
          <w:bCs/>
          <w:color w:val="1A56DB"/>
          <w:sz w:val="26"/>
          <w:szCs w:val="26"/>
        </w:rPr>
        <w:t xml:space="preserve">5.5 Communications Triage at Scale</w:t>
      </w:r>
    </w:p>
    <w:p>
      <w:pPr>
        <w:spacing w:after="120" w:before="8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22"/>
          <w:szCs w:val="22"/>
        </w:rPr>
        <w:t xml:space="preserve">For organizations receiving tens of thousands of emails daily (insurance companies, banks, utilities), IXP's Communications Mining can classify, extract, and route 100% of incoming communication volume in real time — replacing human email sorting teams and enabling sub-second response time for automated handling of the highest-confidence cases.</w:t>
      </w:r>
    </w:p>
    <w:p>
      <w:pPr>
        <w:pStyle w:val="Heading2"/>
        <w:spacing w:after="120" w:before="360"/>
      </w:pPr>
      <w:r>
        <w:rPr>
          <w:rFonts w:ascii="Georgia" w:cs="Georgia" w:eastAsia="Georgia" w:hAnsi="Georgia"/>
          <w:b/>
          <w:bCs/>
          <w:color w:val="1A56DB"/>
          <w:sz w:val="26"/>
          <w:szCs w:val="26"/>
        </w:rPr>
        <w:t xml:space="preserve">5.6 SAP Joule + IXP Integration</w:t>
      </w:r>
    </w:p>
    <w:p>
      <w:pPr>
        <w:spacing w:after="120" w:before="8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22"/>
          <w:szCs w:val="22"/>
        </w:rPr>
        <w:t xml:space="preserve">In SAP environments, IXP serves as the document intelligence backbone for SAP's Joule AI agents. When a Joule agent needs to process a document, it calls IXP via API, receives structured data, and uses it to update SAP records — with every interaction logged in UiPath's AI Trust Layer for a complete audit trail. This is particularly powerful for Accounts Payable, Procurement, and HR document flows within SAP S/4HANA.</w:t>
      </w:r>
    </w:p>
    <w:p>
      <w:pPr>
        <w:spacing w:after="6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6DB" w:sz="8" w:space="6"/>
        </w:pBdr>
        <w:spacing w:after="160" w:before="480"/>
      </w:pPr>
      <w:r>
        <w:rPr>
          <w:rFonts w:ascii="Georgia" w:cs="Georgia" w:eastAsia="Georgia" w:hAnsi="Georgia"/>
          <w:b/>
          <w:bCs/>
          <w:color w:val="111827"/>
          <w:sz w:val="34"/>
          <w:szCs w:val="34"/>
        </w:rPr>
        <w:t xml:space="preserve">6. Governance &amp; Enterprise Trust</w:t>
      </w:r>
    </w:p>
    <w:p>
      <w:pPr>
        <w:spacing w:after="120" w:before="8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22"/>
          <w:szCs w:val="22"/>
        </w:rPr>
        <w:t xml:space="preserve">One of IXP's core differentiators is its enterprise-grade governance architecture, built specifically for regulated industries where AI outputs must be traceable, auditable, and controllable.</w:t>
      </w:r>
    </w:p>
    <w:p>
      <w:pPr>
        <w:pStyle w:val="Heading2"/>
        <w:spacing w:after="120" w:before="360"/>
      </w:pPr>
      <w:r>
        <w:rPr>
          <w:rFonts w:ascii="Georgia" w:cs="Georgia" w:eastAsia="Georgia" w:hAnsi="Georgia"/>
          <w:b/>
          <w:bCs/>
          <w:color w:val="1A56DB"/>
          <w:sz w:val="26"/>
          <w:szCs w:val="26"/>
        </w:rPr>
        <w:t xml:space="preserve">6.1 AI Trust Layer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Every IXP prediction is attributed — the system records which model, which version, and which prompt configuration produced each output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Full audit trail: all interactions between IXP, agents, robots, and downstream systems are logged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Data residency controls: IXP is available in US, EU, Canada, Australia, and Japan regions with data sovereignty compliance</w:t>
      </w:r>
    </w:p>
    <w:p>
      <w:pPr>
        <w:pStyle w:val="Heading2"/>
        <w:spacing w:after="120" w:before="360"/>
      </w:pPr>
      <w:r>
        <w:rPr>
          <w:rFonts w:ascii="Georgia" w:cs="Georgia" w:eastAsia="Georgia" w:hAnsi="Georgia"/>
          <w:b/>
          <w:bCs/>
          <w:color w:val="1A56DB"/>
          <w:sz w:val="26"/>
          <w:szCs w:val="26"/>
        </w:rPr>
        <w:t xml:space="preserve">6.2 Model Versioning &amp; Governance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Models are versioned — organizations can pin to a specific model version for consistency and roll back if needed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LLM Gateway: a centralized control plane that routes AI requests and enforces Automation Ops policies at user, group, or tenant level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External LLM access can be selectively blocked via policy — critical for organizations with data classification requirements</w:t>
      </w:r>
    </w:p>
    <w:p>
      <w:pPr>
        <w:pStyle w:val="Heading2"/>
        <w:spacing w:after="120" w:before="360"/>
      </w:pPr>
      <w:r>
        <w:rPr>
          <w:rFonts w:ascii="Georgia" w:cs="Georgia" w:eastAsia="Georgia" w:hAnsi="Georgia"/>
          <w:b/>
          <w:bCs/>
          <w:color w:val="1A56DB"/>
          <w:sz w:val="26"/>
          <w:szCs w:val="26"/>
        </w:rPr>
        <w:t xml:space="preserve">6.3 Human-in-the-Loop Framework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Confidence thresholds are configurable per field, per document type, and per workflow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Low-confidence extractions are automatically queued in Action Center with full document context for efficient human review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Human corrections are captured with attribution and fed back into model improvement pipelines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Orchestration triggers can be defined on human task queues — when a new exception is added, a new orchestration process starts automatically</w:t>
      </w:r>
    </w:p>
    <w:p>
      <w:pPr>
        <w:pStyle w:val="Heading2"/>
        <w:spacing w:after="120" w:before="360"/>
      </w:pPr>
      <w:r>
        <w:rPr>
          <w:rFonts w:ascii="Georgia" w:cs="Georgia" w:eastAsia="Georgia" w:hAnsi="Georgia"/>
          <w:b/>
          <w:bCs/>
          <w:color w:val="1A56DB"/>
          <w:sz w:val="26"/>
          <w:szCs w:val="26"/>
        </w:rPr>
        <w:t xml:space="preserve">6.4 Licensing Model</w:t>
      </w:r>
    </w:p>
    <w:p>
      <w:pPr>
        <w:spacing w:after="120" w:before="8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22"/>
          <w:szCs w:val="22"/>
        </w:rPr>
        <w:t xml:space="preserve">IXP uses a unit-based licensing model with two currency types: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AI Units: Consumed by generative AI predictions (Unstructured Documents, GenEx in Communications Mining)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Platform Units: Consumed by structured/semi-structured document processing (Document Understanding)</w:t>
      </w:r>
    </w:p>
    <w:p>
      <w:pPr>
        <w:spacing w:after="120" w:before="8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22"/>
          <w:szCs w:val="22"/>
        </w:rPr>
        <w:t xml:space="preserve">Combining IXP capabilities (e.g., using both Modern DU and Unstructured Documents on the same workflow) applies separate pricing models for each capability consumed.</w:t>
      </w:r>
    </w:p>
    <w:p>
      <w:pPr>
        <w:spacing w:after="6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6DB" w:sz="8" w:space="6"/>
        </w:pBdr>
        <w:spacing w:after="160" w:before="480"/>
      </w:pPr>
      <w:r>
        <w:rPr>
          <w:rFonts w:ascii="Georgia" w:cs="Georgia" w:eastAsia="Georgia" w:hAnsi="Georgia"/>
          <w:b/>
          <w:bCs/>
          <w:color w:val="111827"/>
          <w:sz w:val="34"/>
          <w:szCs w:val="34"/>
        </w:rPr>
        <w:t xml:space="preserve">7. Alternatives &amp; Competitive Landscape</w:t>
      </w:r>
    </w:p>
    <w:p>
      <w:pPr>
        <w:spacing w:after="120" w:before="8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22"/>
          <w:szCs w:val="22"/>
        </w:rPr>
        <w:t xml:space="preserve">IXP competes in the Intelligent Document Processing (IDP) market and increasingly in the agentic AI/automation market. Here is a structured comparison of the major alternatives:</w:t>
      </w:r>
    </w:p>
    <w:p>
      <w:pPr>
        <w:pStyle w:val="Heading2"/>
        <w:spacing w:after="120" w:before="360"/>
      </w:pPr>
      <w:r>
        <w:rPr>
          <w:rFonts w:ascii="Georgia" w:cs="Georgia" w:eastAsia="Georgia" w:hAnsi="Georgia"/>
          <w:b/>
          <w:bCs/>
          <w:color w:val="1A56DB"/>
          <w:sz w:val="26"/>
          <w:szCs w:val="26"/>
        </w:rPr>
        <w:t xml:space="preserve">7.1 Direct IDP Competitors</w:t>
      </w:r>
    </w:p>
    <w:p>
      <w:pPr>
        <w:spacing w:after="60" w:before="0"/>
      </w:pPr>
      <w:r>
        <w:t xml:space="preserve"/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374151"/>
          <w:sz w:val="22"/>
          <w:szCs w:val="22"/>
        </w:rPr>
        <w:t xml:space="preserve">7.1.1 Automation Anywhere — IQ Bot / Document Automation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Strengths: Fully cloud-native architecture; strong AI Agent integration (AutomationAnywhere AI + AARI); good pre-built model library; usage-based pricing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Weaknesses: Less mature generative extraction for truly unstructured documents; smaller pre-built model catalog than UiPath; communications mining not as deep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Best for: Organizations already in the AA ecosystem; cloud-first deployments</w:t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374151"/>
          <w:sz w:val="22"/>
          <w:szCs w:val="22"/>
        </w:rPr>
        <w:t xml:space="preserve">7.1.2 Microsoft Azure Form Recognizer / Azure AI Document Intelligence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Strengths: Deep Microsoft 365 / Azure integration; powerful for structured forms; strong OCR backbone; pay-per-use API pricing; enterprise-grade security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Weaknesses: Primarily an API/SDK — requires significant custom development for end-to-end workflows; no built-in orchestration; limited agentic capabilities; no communications mining analog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Best for: Microsoft-first organizations building custom document pipelines; developers with Azure expertise</w:t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374151"/>
          <w:sz w:val="22"/>
          <w:szCs w:val="22"/>
        </w:rPr>
        <w:t xml:space="preserve">7.1.3 ABBYY Vantage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Strengths: Industry-leading OCR accuracy; excellent support for complex layouts and handwriting; strong pre-built skill marketplace; proven in high-volume production environments; good compliance features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Weaknesses: Less native RPA/agent orchestration than UiPath; generative capabilities are newer and less mature; UI is less modern; higher learning curve for custom skills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Best for: Organizations prioritizing OCR accuracy and layout fidelity; existing ABBYY FlexiCapture users migrating to cloud</w:t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374151"/>
          <w:sz w:val="22"/>
          <w:szCs w:val="22"/>
        </w:rPr>
        <w:t xml:space="preserve">7.1.4 Hyperscience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Strengths: Exceptional accuracy on structured and semi-structured forms through its human-machine collaboration model; strong in government and financial services; good SLA guarantees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Weaknesses: Premium pricing; limited generative/unstructured document capability; less breadth of pre-built models; not integrated with a broader automation platform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Best for: High-stakes, high-accuracy form processing where the cost of errors is very high</w:t>
      </w:r>
    </w:p>
    <w:p>
      <w:pPr>
        <w:pStyle w:val="Heading3"/>
        <w:spacing w:after="80" w:before="240"/>
      </w:pPr>
      <w:r>
        <w:rPr>
          <w:rFonts w:ascii="Calibri" w:cs="Calibri" w:eastAsia="Calibri" w:hAnsi="Calibri"/>
          <w:b/>
          <w:bCs/>
          <w:color w:val="374151"/>
          <w:sz w:val="22"/>
          <w:szCs w:val="22"/>
        </w:rPr>
        <w:t xml:space="preserve">7.1.5 Reducto / LlamaExtract / Unstructured.io (API-first IDP)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Strengths: Developer-friendly APIs; fast time to prototype; low cost; flexible LLM backends; good for greenfield development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Weaknesses: No built-in governance, validation station, or human-in-the-loop framework; no communications mining; no orchestration; require significant engineering to productionize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Best for: Engineering teams building custom AI pipelines; startups; document processing as a microservice</w:t>
      </w:r>
    </w:p>
    <w:p>
      <w:pPr>
        <w:pStyle w:val="Heading2"/>
        <w:spacing w:after="120" w:before="360"/>
      </w:pPr>
      <w:r>
        <w:rPr>
          <w:rFonts w:ascii="Georgia" w:cs="Georgia" w:eastAsia="Georgia" w:hAnsi="Georgia"/>
          <w:b/>
          <w:bCs/>
          <w:color w:val="1A56DB"/>
          <w:sz w:val="26"/>
          <w:szCs w:val="26"/>
        </w:rPr>
        <w:t xml:space="preserve">7.2 Broader RPA/Automation Platform Competitors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2600"/>
        <w:gridCol w:w="2160"/>
      </w:tblGrid>
      <w:tr>
        <w:tc>
          <w:tcPr>
            <w:tcW w:type="dxa" w:w="2000"/>
            <w:shd w:fill="1A56DB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2600"/>
            <w:shd w:fill="1A56DB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IDP Capability</w:t>
            </w:r>
          </w:p>
        </w:tc>
        <w:tc>
          <w:tcPr>
            <w:tcW w:type="dxa" w:w="2600"/>
            <w:shd w:fill="1A56DB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Agentic AI</w:t>
            </w:r>
          </w:p>
        </w:tc>
        <w:tc>
          <w:tcPr>
            <w:tcW w:type="dxa" w:w="2160"/>
            <w:shd w:fill="1A56DB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Best Differentiator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UiPath IXP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Best-in-class (Leader, Everest Group 2025)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Strong — native Extraction/Validation Agents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Unified IDP + Agent + Governance platform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Automation Anywhere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Good — IQ Bot + Doc Automation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Strong — AARI agents + CoE Manager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Cloud-native; usage-based pricing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Microsoft Power Automate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Basic — Form Recognizer via connector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Growing — Copilot Studio agents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Microsoft ecosystem lock-in value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Blue Prism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Limited — third-party IDP integrations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Emerging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Security &amp; compliance in regulated industries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Appian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Moderate — via AI skills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Moderate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BPM + RPA + AI in one low-code platform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120" w:before="360"/>
      </w:pPr>
      <w:r>
        <w:rPr>
          <w:rFonts w:ascii="Georgia" w:cs="Georgia" w:eastAsia="Georgia" w:hAnsi="Georgia"/>
          <w:b/>
          <w:bCs/>
          <w:color w:val="1A56DB"/>
          <w:sz w:val="26"/>
          <w:szCs w:val="26"/>
        </w:rPr>
        <w:t xml:space="preserve">7.3 When to Choose IXP vs. Alternatives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shd w:fill="1A56D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CHOOSE IXP WHEN</w:t>
            </w:r>
          </w:p>
        </w:tc>
        <w:tc>
          <w:tcPr>
            <w:tcW w:type="dxa" w:w="8960"/>
            <w:shd w:fill="EBF5FB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2"/>
                <w:szCs w:val="22"/>
              </w:rPr>
              <w:t xml:space="preserve">You need to handle all three document types (structured, semi-structured, AND unstructured) in one governed platform; you have complex multi-document workflows; you need deep communications mining; you require enterprise governance, model versioning, and human-in-the-loop; you are already in the UiPath ecosystem; or you are building agentic automations that need document intelligence as a native capability.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shd w:fill="D97706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CONSIDER ALTERNATIVES WHEN</w:t>
            </w:r>
          </w:p>
        </w:tc>
        <w:tc>
          <w:tcPr>
            <w:tcW w:type="dxa" w:w="8960"/>
            <w:shd w:fill="EBF5FB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2"/>
                <w:szCs w:val="22"/>
              </w:rPr>
              <w:t xml:space="preserve">You are Microsoft-first and primarily need structured form extraction (Azure AI Document Intelligence); you prioritize OCR accuracy above all else (ABBYY Vantage); you are building a lightweight custom API pipeline without governance requirements (API-first tools); or you are Automation Anywhere-native and your document types are not highly unstructured.</w:t>
            </w:r>
          </w:p>
        </w:tc>
      </w:tr>
    </w:tbl>
    <w:p>
      <w:pPr>
        <w:spacing w:after="6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6DB" w:sz="8" w:space="6"/>
        </w:pBdr>
        <w:spacing w:after="160" w:before="480"/>
      </w:pPr>
      <w:r>
        <w:rPr>
          <w:rFonts w:ascii="Georgia" w:cs="Georgia" w:eastAsia="Georgia" w:hAnsi="Georgia"/>
          <w:b/>
          <w:bCs/>
          <w:color w:val="111827"/>
          <w:sz w:val="34"/>
          <w:szCs w:val="34"/>
        </w:rPr>
        <w:t xml:space="preserve">8. Key Strengths &amp; Limitations</w:t>
      </w:r>
    </w:p>
    <w:p>
      <w:pPr>
        <w:pStyle w:val="Heading2"/>
        <w:spacing w:after="120" w:before="360"/>
      </w:pPr>
      <w:r>
        <w:rPr>
          <w:rFonts w:ascii="Georgia" w:cs="Georgia" w:eastAsia="Georgia" w:hAnsi="Georgia"/>
          <w:b/>
          <w:bCs/>
          <w:color w:val="1A56DB"/>
          <w:sz w:val="26"/>
          <w:szCs w:val="26"/>
        </w:rPr>
        <w:t xml:space="preserve">8.1 Strengths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Unified platform: The only solution that handles structured docs, semi-structured docs, unstructured docs, AND communications mining in one governed interface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Agentic-native: IXP is purpose-built for the agentic automation era — not retrofitted. Extraction and Validation Agents are first-class capabilities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Governance depth: Model versioning, LLM Gateway policies, AI Trust Layer, and human-in-the-loop are built-in, not bolted on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Continuous learning: Fine-tunable proprietary LLM learns from every human correction, improving accuracy compoundingly over time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Everest Group Leader (2025): Recognized leader in IDP with strong client satisfaction scores for cognitive features and scalability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SAP integration: Deep SAP Joule integration makes IXP the natural choice for SAP-heavy enterprises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Speed to value: Prompt-driven generative extraction means new document types can go live without annotation campaigns — days, not months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Multi-modal: Handles text, tables, graphics, handwriting, and mixed-format documents through the same workflow</w:t>
      </w:r>
    </w:p>
    <w:p>
      <w:pPr>
        <w:pStyle w:val="Heading2"/>
        <w:spacing w:after="120" w:before="360"/>
      </w:pPr>
      <w:r>
        <w:rPr>
          <w:rFonts w:ascii="Georgia" w:cs="Georgia" w:eastAsia="Georgia" w:hAnsi="Georgia"/>
          <w:b/>
          <w:bCs/>
          <w:color w:val="1A56DB"/>
          <w:sz w:val="26"/>
          <w:szCs w:val="26"/>
        </w:rPr>
        <w:t xml:space="preserve">8.2 Limitations &amp; Considerations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Page limits: Unstructured document capability currently supports up to 50 pages (150 in preview); very long documents still require Document Understanding Generative Extraction activities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Generative AI dependency: The Unstructured Documents capability requires generative AI to be enabled — cannot be disabled at the field level (unlike Communications Mining)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No learning from annotations (Unstructured): Unlike Classic/Modern DU, the Unstructured Documents capability does not yet learn from user annotations or corrections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Pricing complexity: Combining capabilities triggers separate AI Unit and Platform Unit consumption — requires careful licensing planning for mixed workflows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IXP mindshare decline: Per PeerSpot data (Jan 2026), IXP mindshare in the IDP category has declined from 15.1% to 7.3% year-over-year as the market expands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Cloud-only: IXP capabilities run on UiPath Automation Cloud — organizations with strict on-premise requirements need alternative architectures</w:t>
      </w:r>
    </w:p>
    <w:p>
      <w:pPr>
        <w:spacing w:after="6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6DB" w:sz="8" w:space="6"/>
        </w:pBdr>
        <w:spacing w:after="160" w:before="480"/>
      </w:pPr>
      <w:r>
        <w:rPr>
          <w:rFonts w:ascii="Georgia" w:cs="Georgia" w:eastAsia="Georgia" w:hAnsi="Georgia"/>
          <w:b/>
          <w:bCs/>
          <w:color w:val="111827"/>
          <w:sz w:val="34"/>
          <w:szCs w:val="34"/>
        </w:rPr>
        <w:t xml:space="preserve">9. Capability Selection Quick Reference</w:t>
      </w:r>
    </w:p>
    <w:p>
      <w:pPr>
        <w:spacing w:after="120" w:before="8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22"/>
          <w:szCs w:val="22"/>
        </w:rPr>
        <w:t xml:space="preserve">Use this table to choose the right IXP capability for your document type: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200"/>
        <w:gridCol w:w="2560"/>
      </w:tblGrid>
      <w:tr>
        <w:tc>
          <w:tcPr>
            <w:tcW w:type="dxa" w:w="2400"/>
            <w:shd w:fill="1A56DB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2200"/>
            <w:shd w:fill="1A56DB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Recommended Capability</w:t>
            </w:r>
          </w:p>
        </w:tc>
        <w:tc>
          <w:tcPr>
            <w:tcW w:type="dxa" w:w="2200"/>
            <w:shd w:fill="1A56DB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Training Required?</w:t>
            </w:r>
          </w:p>
        </w:tc>
        <w:tc>
          <w:tcPr>
            <w:tcW w:type="dxa" w:w="2560"/>
            <w:shd w:fill="1A56DB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Generative AI?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Invoices, POs, Forms (consistent format)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Document Understanding — Modern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Yes (ML annotation)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Optional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ID documents, Passports, Receipts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Document Understanding — Pre-built Models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No (OOTB)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Contracts, Loan Packets, Legal Docs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IXP Unstructured &amp; Complex Docs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No (prompt-based)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Yes (required)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Documents &gt; 50 pages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DU Generative Extraction Activities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No (prompt-based)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Yes (required)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Emails, Support Tickets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IXP Communications Data (Comm Mining)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Yes (intent training)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Optional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Emails with complex multi-requests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Comm Mining + GenEx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Minimal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Mixed: Email + PDF attachment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Both Communications Data + Document Understanding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Varies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Optional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pStyle w:val="Heading1"/>
        <w:pBdr>
          <w:bottom w:val="single" w:color="1A56DB" w:sz="8" w:space="6"/>
        </w:pBdr>
        <w:spacing w:after="160" w:before="480"/>
      </w:pPr>
      <w:r>
        <w:rPr>
          <w:rFonts w:ascii="Georgia" w:cs="Georgia" w:eastAsia="Georgia" w:hAnsi="Georgia"/>
          <w:b/>
          <w:bCs/>
          <w:color w:val="111827"/>
          <w:sz w:val="34"/>
          <w:szCs w:val="34"/>
        </w:rPr>
        <w:t xml:space="preserve">10. Summary</w:t>
      </w:r>
    </w:p>
    <w:p>
      <w:pPr>
        <w:spacing w:after="120" w:before="8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22"/>
          <w:szCs w:val="22"/>
        </w:rPr>
        <w:t xml:space="preserve">UiPath IXP represents the maturation of enterprise document processing from a standalone ML-based extraction tool into a governed, agentic, multi-modal intelligence layer. Its core innovation is the unification of Document Understanding, Communications Mining, and Generative Extraction under a single platform with enterprise-grade governance — serving as the data foundation for the agentic automation era.</w:t>
      </w:r>
    </w:p>
    <w:p>
      <w:pPr>
        <w:spacing w:after="60" w:before="0"/>
      </w:pPr>
      <w:r>
        <w:t xml:space="preserve"/>
      </w:r>
    </w:p>
    <w:p>
      <w:pPr>
        <w:spacing w:after="120" w:before="8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22"/>
          <w:szCs w:val="22"/>
        </w:rPr>
        <w:t xml:space="preserve">The platform's trajectory is clear: from extracting data out of documents, toward autonomous agents that reason over documents, validate extracted data against enterprise systems, and act on the results — with humans in the loop only for the edge cases that genuinely require judgment.</w:t>
      </w:r>
    </w:p>
    <w:p>
      <w:pPr>
        <w:spacing w:after="60" w:before="0"/>
      </w:pPr>
      <w:r>
        <w:t xml:space="preserve"/>
      </w:r>
    </w:p>
    <w:p>
      <w:pPr>
        <w:spacing w:after="120" w:before="80" w:line="3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22"/>
          <w:szCs w:val="22"/>
        </w:rPr>
        <w:t xml:space="preserve">For enterprises with complex, document-heavy processes across Finance, Insurance, Legal, Healthcare, or Supply Chain — IXP is the most complete, governed, and agentic-ready IDP platform available in 2025–2026. Its primary competitors serve narrower use cases or lack the governance depth required for regulated industry deployments.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shd w:fill="1A56D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BOTTOM LINE</w:t>
            </w:r>
          </w:p>
        </w:tc>
        <w:tc>
          <w:tcPr>
            <w:tcW w:type="dxa" w:w="8960"/>
            <w:shd w:fill="EBF5FB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11827"/>
                <w:sz w:val="22"/>
                <w:szCs w:val="22"/>
              </w:rPr>
              <w:t xml:space="preserve">IXP is not just an IDP tool. It is the enterprise-grade document intelligence infrastructure layer that makes agentic automation viable for the most complex, document-intensive business processes in the world.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pBdr>
          <w:top w:val="single" w:color="D1D5DB" w:sz="4"/>
        </w:pBdr>
        <w:spacing w:after="80" w:before="240"/>
      </w:pPr>
      <w:r>
        <w:rPr>
          <w:rFonts w:ascii="Calibri" w:cs="Calibri" w:eastAsia="Calibri" w:hAnsi="Calibri"/>
          <w:i/>
          <w:iCs/>
          <w:color w:val="9CA3AF"/>
          <w:sz w:val="18"/>
          <w:szCs w:val="18"/>
        </w:rPr>
        <w:t xml:space="preserve">Document prepared using UiPath official documentation, Everest Group IDP PEAK Matrix 2025, UiPath DevCon 2025, and SAP Insider / ASUG technical resources.</w:t>
      </w: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80"/>
      <w:outlineLvl w:val="0"/>
    </w:pPr>
    <w:rPr>
      <w:rFonts w:ascii="Georgia" w:cs="Georgia" w:eastAsia="Georgia" w:hAnsi="Georgia"/>
      <w:b/>
      <w:bCs/>
      <w:color w:val="111827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360"/>
      <w:outlineLvl w:val="1"/>
    </w:pPr>
    <w:rPr>
      <w:rFonts w:ascii="Georgia" w:cs="Georgia" w:eastAsia="Georgia" w:hAnsi="Georgia"/>
      <w:b/>
      <w:bCs/>
      <w:color w:val="1A56D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Calibri" w:cs="Calibri" w:eastAsia="Calibri" w:hAnsi="Calibri"/>
      <w:b/>
      <w:bCs/>
      <w:color w:val="37415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2026-06-02T17:41:08.715Z</dcterms:created>
  <dcterms:modified xsi:type="dcterms:W3CDTF">2026-06-02T17:41:08.715Z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