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1.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2.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3.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4.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5.xml" ContentType="application/vnd.openxmlformats-officedocument.drawingml.chart+xml"/>
  <Override PartName="/word/charts/style24.xml" ContentType="application/vnd.ms-office.chartstyle+xml"/>
  <Override PartName="/word/charts/colors2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CAAFD" w14:textId="77777777" w:rsidR="006564AA" w:rsidRDefault="006564AA">
      <w:pPr>
        <w:pStyle w:val="heading001"/>
      </w:pPr>
    </w:p>
    <w:p w14:paraId="783861B5" w14:textId="77777777" w:rsidR="006564AA" w:rsidRDefault="006564AA">
      <w:pPr>
        <w:rPr>
          <w:rFonts w:cs="Times New Roman"/>
        </w:rPr>
      </w:pPr>
    </w:p>
    <w:p w14:paraId="260946A1" w14:textId="77777777" w:rsidR="006564AA" w:rsidRDefault="006564AA">
      <w:pPr>
        <w:rPr>
          <w:rFonts w:cs="Times New Roman"/>
        </w:rPr>
      </w:pPr>
    </w:p>
    <w:p w14:paraId="4CE766D4" w14:textId="77777777" w:rsidR="006564AA" w:rsidRDefault="006564AA">
      <w:pPr>
        <w:rPr>
          <w:rFonts w:cs="Times New Roman"/>
        </w:rPr>
      </w:pPr>
    </w:p>
    <w:p w14:paraId="6460B2C6" w14:textId="77777777" w:rsidR="006564AA" w:rsidRDefault="006564AA">
      <w:pPr>
        <w:rPr>
          <w:rFonts w:cs="Times New Roman"/>
        </w:rPr>
      </w:pPr>
    </w:p>
    <w:p w14:paraId="6CB73503" w14:textId="77777777" w:rsidR="006564AA" w:rsidRDefault="006564AA">
      <w:pPr>
        <w:rPr>
          <w:rFonts w:cs="Times New Roman"/>
        </w:rPr>
      </w:pPr>
    </w:p>
    <w:p w14:paraId="4B79A12F" w14:textId="77777777" w:rsidR="006564AA" w:rsidRDefault="006564AA">
      <w:pPr>
        <w:rPr>
          <w:rFonts w:cs="Times New Roman"/>
        </w:rPr>
      </w:pPr>
    </w:p>
    <w:p w14:paraId="142973E6" w14:textId="77777777" w:rsidR="006564AA" w:rsidRDefault="006564AA">
      <w:pPr>
        <w:rPr>
          <w:rFonts w:cs="Times New Roman"/>
        </w:rPr>
      </w:pPr>
    </w:p>
    <w:p w14:paraId="155000A5" w14:textId="77777777" w:rsidR="006564AA" w:rsidRDefault="006564AA">
      <w:pPr>
        <w:rPr>
          <w:rFonts w:cs="Times New Roman"/>
        </w:rPr>
      </w:pPr>
    </w:p>
    <w:p w14:paraId="3935755C" w14:textId="77777777" w:rsidR="006564AA" w:rsidRDefault="006564AA">
      <w:pPr>
        <w:rPr>
          <w:rFonts w:cs="Times New Roman"/>
        </w:rPr>
      </w:pPr>
    </w:p>
    <w:p w14:paraId="52E425D5" w14:textId="77777777" w:rsidR="006564AA" w:rsidRDefault="006564AA">
      <w:pPr>
        <w:rPr>
          <w:rFonts w:cs="Times New Roman"/>
        </w:rPr>
      </w:pPr>
    </w:p>
    <w:p w14:paraId="158C4D4C" w14:textId="77777777" w:rsidR="006564AA" w:rsidRDefault="006564AA">
      <w:pPr>
        <w:rPr>
          <w:rFonts w:cs="Times New Roman"/>
        </w:rPr>
      </w:pPr>
    </w:p>
    <w:p w14:paraId="427E2C2F" w14:textId="77777777" w:rsidR="006564AA" w:rsidRDefault="006564AA">
      <w:pPr>
        <w:rPr>
          <w:rFonts w:cs="Times New Roman"/>
        </w:rPr>
      </w:pPr>
    </w:p>
    <w:p w14:paraId="7D71DD2A" w14:textId="77777777" w:rsidR="006564AA" w:rsidRDefault="006564AA">
      <w:pPr>
        <w:rPr>
          <w:rFonts w:cs="Times New Roman"/>
        </w:rPr>
      </w:pPr>
    </w:p>
    <w:p w14:paraId="143E8926" w14:textId="77777777" w:rsidR="006564AA" w:rsidRDefault="006564AA">
      <w:pPr>
        <w:rPr>
          <w:rFonts w:cs="Times New Roman"/>
        </w:rPr>
      </w:pPr>
    </w:p>
    <w:p w14:paraId="3E203811" w14:textId="77777777" w:rsidR="006564AA" w:rsidRDefault="00037F74">
      <w:pPr>
        <w:jc w:val="center"/>
        <w:rPr>
          <w:rFonts w:cs="Times New Roman"/>
          <w:sz w:val="72"/>
          <w:szCs w:val="72"/>
        </w:rPr>
      </w:pPr>
      <w:r>
        <w:rPr>
          <w:rFonts w:cs="Times New Roman"/>
          <w:sz w:val="72"/>
          <w:szCs w:val="72"/>
        </w:rPr>
        <w:t>Comparative Analysis of Oil Companies in India</w:t>
      </w:r>
    </w:p>
    <w:p w14:paraId="21D73E7F" w14:textId="199931AF" w:rsidR="006564AA" w:rsidRPr="00E24529" w:rsidRDefault="00A3668D" w:rsidP="00E24529">
      <w:pPr>
        <w:pStyle w:val="Heading1"/>
        <w:rPr>
          <w:szCs w:val="24"/>
        </w:rPr>
      </w:pPr>
      <w:r>
        <w:rPr>
          <w:sz w:val="72"/>
          <w:szCs w:val="72"/>
        </w:rPr>
        <w:br w:type="page"/>
      </w:r>
    </w:p>
    <w:p w14:paraId="59855159" w14:textId="77777777" w:rsidR="006564AA" w:rsidRDefault="006564AA"/>
    <w:p w14:paraId="6A8E9A8C" w14:textId="77777777" w:rsidR="006564AA" w:rsidRDefault="00037F74">
      <w:pPr>
        <w:keepNext/>
        <w:keepLines/>
        <w:pBdr>
          <w:bottom w:val="single" w:sz="8" w:space="1" w:color="auto"/>
        </w:pBdr>
        <w:spacing w:before="320"/>
        <w:contextualSpacing/>
        <w:jc w:val="both"/>
        <w:outlineLvl w:val="0"/>
        <w:rPr>
          <w:rFonts w:cs="Times New Roman"/>
          <w:color w:val="000000"/>
          <w:spacing w:val="-10"/>
          <w:sz w:val="32"/>
          <w:szCs w:val="32"/>
        </w:rPr>
      </w:pPr>
      <w:bookmarkStart w:id="0" w:name="_Toc36751982"/>
      <w:r>
        <w:rPr>
          <w:rFonts w:cs="Times New Roman"/>
          <w:color w:val="000000"/>
          <w:spacing w:val="-10"/>
          <w:sz w:val="32"/>
          <w:szCs w:val="32"/>
        </w:rPr>
        <w:t>Abstract</w:t>
      </w:r>
      <w:bookmarkEnd w:id="0"/>
    </w:p>
    <w:p w14:paraId="7BCBD72E" w14:textId="77777777" w:rsidR="006564AA" w:rsidRDefault="00037F74">
      <w:pPr>
        <w:spacing w:line="360" w:lineRule="auto"/>
        <w:jc w:val="both"/>
        <w:rPr>
          <w:sz w:val="32"/>
          <w:szCs w:val="32"/>
        </w:rPr>
      </w:pPr>
      <w:r>
        <w:t>The study aims to create a methodology to measure the relevance of changes in ratios and stock returns. Oil and gas being a prime resource of energy are one of the major drivers for economic growth and the key ingredient to sustainable development.</w:t>
      </w:r>
      <w:r w:rsidR="00C9166B">
        <w:t xml:space="preserve"> </w:t>
      </w:r>
      <w:r>
        <w:t>But,</w:t>
      </w:r>
      <w:r w:rsidR="00C9166B">
        <w:t xml:space="preserve"> </w:t>
      </w:r>
      <w:r>
        <w:t xml:space="preserve">the industry faces challenges with numerous negative factors, among which influential are price, government regulation, supply and demand, and geological conditions which hampers the performance of the company. The central aim of the study is the performance evaluation of major oil companies and analyse the comparative financial performance of Indian oil companies like Indian Oil Corporation Ltd, Hindustan Petroleum Corporation Ltd, Oil India Ltd, Oil and Natural Gas Corporation Ltd, Essar. The period under study (2016-2019) is known for several volatilities and has remained one of the key themes in the business environment. While the demand for oil in major countries declined, and prices of crude oil fall affecting the emerging economies. We have followed the methodology where weightage is assigned to ratios based on the survey. The paper aims to examine the correlation between changes in the performance of the company to earnings of shareholders. </w:t>
      </w:r>
    </w:p>
    <w:p w14:paraId="560AF63F" w14:textId="77777777" w:rsidR="006564AA" w:rsidRDefault="006564AA">
      <w:pPr>
        <w:spacing w:line="360" w:lineRule="auto"/>
        <w:jc w:val="both"/>
        <w:rPr>
          <w:rFonts w:cs="Times New Roman"/>
          <w:szCs w:val="24"/>
        </w:rPr>
      </w:pPr>
    </w:p>
    <w:p w14:paraId="7D95B682" w14:textId="77777777" w:rsidR="006564AA" w:rsidRDefault="00037F74">
      <w:pPr>
        <w:spacing w:line="360" w:lineRule="auto"/>
        <w:jc w:val="both"/>
        <w:rPr>
          <w:rFonts w:cs="Times New Roman"/>
          <w:szCs w:val="24"/>
        </w:rPr>
      </w:pPr>
      <w:r>
        <w:rPr>
          <w:rFonts w:cs="Times New Roman"/>
          <w:b/>
          <w:bCs/>
          <w:szCs w:val="24"/>
        </w:rPr>
        <w:t>Keywords</w:t>
      </w:r>
      <w:r>
        <w:rPr>
          <w:rFonts w:cs="Times New Roman"/>
          <w:szCs w:val="24"/>
        </w:rPr>
        <w:t>:</w:t>
      </w:r>
      <w:r w:rsidR="00C9166B">
        <w:rPr>
          <w:rFonts w:cs="Times New Roman"/>
          <w:szCs w:val="24"/>
        </w:rPr>
        <w:t xml:space="preserve"> Methodology</w:t>
      </w:r>
      <w:r>
        <w:rPr>
          <w:rFonts w:cs="Times New Roman"/>
          <w:szCs w:val="24"/>
        </w:rPr>
        <w:t>,</w:t>
      </w:r>
      <w:r w:rsidR="00C9166B">
        <w:rPr>
          <w:rFonts w:cs="Times New Roman"/>
          <w:szCs w:val="24"/>
        </w:rPr>
        <w:t xml:space="preserve"> Ratios, </w:t>
      </w:r>
      <w:r>
        <w:rPr>
          <w:rFonts w:cs="Times New Roman"/>
          <w:szCs w:val="24"/>
        </w:rPr>
        <w:t xml:space="preserve">Stock return, </w:t>
      </w:r>
      <w:r w:rsidR="00C9166B">
        <w:rPr>
          <w:rFonts w:cs="Times New Roman"/>
          <w:szCs w:val="24"/>
        </w:rPr>
        <w:t>F</w:t>
      </w:r>
      <w:r>
        <w:rPr>
          <w:rFonts w:cs="Times New Roman"/>
          <w:szCs w:val="24"/>
        </w:rPr>
        <w:t>inancial performance, Correlation, Survey</w:t>
      </w:r>
      <w:r w:rsidR="00C9166B">
        <w:rPr>
          <w:rFonts w:cs="Times New Roman"/>
          <w:szCs w:val="24"/>
        </w:rPr>
        <w:t>, Earnings of Shareholders.</w:t>
      </w:r>
      <w:r>
        <w:rPr>
          <w:rFonts w:cs="Times New Roman"/>
          <w:szCs w:val="24"/>
        </w:rPr>
        <w:br w:type="page"/>
      </w:r>
    </w:p>
    <w:p w14:paraId="7387A172" w14:textId="77777777" w:rsidR="006564AA" w:rsidRPr="00F34861" w:rsidRDefault="00037F74" w:rsidP="00F34861">
      <w:pPr>
        <w:pStyle w:val="Heading1"/>
        <w:spacing w:before="0"/>
      </w:pPr>
      <w:bookmarkStart w:id="1" w:name="_Toc36751983"/>
      <w:r>
        <w:lastRenderedPageBreak/>
        <w:t>Table of content</w:t>
      </w:r>
      <w:bookmarkEnd w:id="1"/>
    </w:p>
    <w:p w14:paraId="354974F2" w14:textId="77777777" w:rsidR="00C9166B" w:rsidRDefault="00037F74">
      <w:pPr>
        <w:pStyle w:val="TOC1"/>
        <w:tabs>
          <w:tab w:val="right" w:leader="dot" w:pos="8296"/>
        </w:tabs>
        <w:rPr>
          <w:rFonts w:asciiTheme="minorHAnsi" w:eastAsiaTheme="minorEastAsia" w:hAnsiTheme="minorHAnsi"/>
          <w:noProof/>
          <w:sz w:val="22"/>
          <w:szCs w:val="20"/>
          <w:lang w:eastAsia="en-IN"/>
        </w:rPr>
      </w:pPr>
      <w:r>
        <w:fldChar w:fldCharType="begin"/>
      </w:r>
      <w:r>
        <w:instrText xml:space="preserve"> TOC \o "1-3" \h \z \u </w:instrText>
      </w:r>
      <w:r>
        <w:fldChar w:fldCharType="separate"/>
      </w:r>
      <w:hyperlink w:anchor="_Toc36751980" w:history="1">
        <w:r w:rsidR="00C9166B" w:rsidRPr="00B83C92">
          <w:rPr>
            <w:rStyle w:val="Hyperlink"/>
            <w:noProof/>
          </w:rPr>
          <w:t>Declaration</w:t>
        </w:r>
        <w:r w:rsidR="00C9166B">
          <w:rPr>
            <w:noProof/>
            <w:webHidden/>
          </w:rPr>
          <w:tab/>
        </w:r>
        <w:r w:rsidR="00C9166B">
          <w:rPr>
            <w:noProof/>
            <w:webHidden/>
          </w:rPr>
          <w:fldChar w:fldCharType="begin"/>
        </w:r>
        <w:r w:rsidR="00C9166B">
          <w:rPr>
            <w:noProof/>
            <w:webHidden/>
          </w:rPr>
          <w:instrText xml:space="preserve"> PAGEREF _Toc36751980 \h </w:instrText>
        </w:r>
        <w:r w:rsidR="00C9166B">
          <w:rPr>
            <w:noProof/>
            <w:webHidden/>
          </w:rPr>
        </w:r>
        <w:r w:rsidR="00C9166B">
          <w:rPr>
            <w:noProof/>
            <w:webHidden/>
          </w:rPr>
          <w:fldChar w:fldCharType="separate"/>
        </w:r>
        <w:r w:rsidR="00C9166B">
          <w:rPr>
            <w:noProof/>
            <w:webHidden/>
          </w:rPr>
          <w:t>2</w:t>
        </w:r>
        <w:r w:rsidR="00C9166B">
          <w:rPr>
            <w:noProof/>
            <w:webHidden/>
          </w:rPr>
          <w:fldChar w:fldCharType="end"/>
        </w:r>
      </w:hyperlink>
    </w:p>
    <w:p w14:paraId="5E183C5B"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81" w:history="1">
        <w:r w:rsidR="00C9166B" w:rsidRPr="00B83C92">
          <w:rPr>
            <w:rStyle w:val="Hyperlink"/>
            <w:noProof/>
          </w:rPr>
          <w:t>Acknowledgement</w:t>
        </w:r>
        <w:r w:rsidR="00C9166B">
          <w:rPr>
            <w:noProof/>
            <w:webHidden/>
          </w:rPr>
          <w:tab/>
        </w:r>
        <w:r w:rsidR="00C9166B">
          <w:rPr>
            <w:noProof/>
            <w:webHidden/>
          </w:rPr>
          <w:fldChar w:fldCharType="begin"/>
        </w:r>
        <w:r w:rsidR="00C9166B">
          <w:rPr>
            <w:noProof/>
            <w:webHidden/>
          </w:rPr>
          <w:instrText xml:space="preserve"> PAGEREF _Toc36751981 \h </w:instrText>
        </w:r>
        <w:r w:rsidR="00C9166B">
          <w:rPr>
            <w:noProof/>
            <w:webHidden/>
          </w:rPr>
        </w:r>
        <w:r w:rsidR="00C9166B">
          <w:rPr>
            <w:noProof/>
            <w:webHidden/>
          </w:rPr>
          <w:fldChar w:fldCharType="separate"/>
        </w:r>
        <w:r w:rsidR="00C9166B">
          <w:rPr>
            <w:noProof/>
            <w:webHidden/>
          </w:rPr>
          <w:t>3</w:t>
        </w:r>
        <w:r w:rsidR="00C9166B">
          <w:rPr>
            <w:noProof/>
            <w:webHidden/>
          </w:rPr>
          <w:fldChar w:fldCharType="end"/>
        </w:r>
      </w:hyperlink>
    </w:p>
    <w:p w14:paraId="62D06418"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82" w:history="1">
        <w:r w:rsidR="00C9166B" w:rsidRPr="00B83C92">
          <w:rPr>
            <w:rStyle w:val="Hyperlink"/>
            <w:rFonts w:cs="Times New Roman"/>
            <w:noProof/>
            <w:spacing w:val="-10"/>
          </w:rPr>
          <w:t>Abstract</w:t>
        </w:r>
        <w:r w:rsidR="00C9166B">
          <w:rPr>
            <w:noProof/>
            <w:webHidden/>
          </w:rPr>
          <w:tab/>
        </w:r>
        <w:r w:rsidR="00C9166B">
          <w:rPr>
            <w:noProof/>
            <w:webHidden/>
          </w:rPr>
          <w:fldChar w:fldCharType="begin"/>
        </w:r>
        <w:r w:rsidR="00C9166B">
          <w:rPr>
            <w:noProof/>
            <w:webHidden/>
          </w:rPr>
          <w:instrText xml:space="preserve"> PAGEREF _Toc36751982 \h </w:instrText>
        </w:r>
        <w:r w:rsidR="00C9166B">
          <w:rPr>
            <w:noProof/>
            <w:webHidden/>
          </w:rPr>
        </w:r>
        <w:r w:rsidR="00C9166B">
          <w:rPr>
            <w:noProof/>
            <w:webHidden/>
          </w:rPr>
          <w:fldChar w:fldCharType="separate"/>
        </w:r>
        <w:r w:rsidR="00C9166B">
          <w:rPr>
            <w:noProof/>
            <w:webHidden/>
          </w:rPr>
          <w:t>4</w:t>
        </w:r>
        <w:r w:rsidR="00C9166B">
          <w:rPr>
            <w:noProof/>
            <w:webHidden/>
          </w:rPr>
          <w:fldChar w:fldCharType="end"/>
        </w:r>
      </w:hyperlink>
    </w:p>
    <w:p w14:paraId="6F9CE247"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83" w:history="1">
        <w:r w:rsidR="00C9166B" w:rsidRPr="00B83C92">
          <w:rPr>
            <w:rStyle w:val="Hyperlink"/>
            <w:noProof/>
          </w:rPr>
          <w:t>Table of content</w:t>
        </w:r>
        <w:r w:rsidR="00C9166B">
          <w:rPr>
            <w:noProof/>
            <w:webHidden/>
          </w:rPr>
          <w:tab/>
        </w:r>
        <w:r w:rsidR="00C9166B">
          <w:rPr>
            <w:noProof/>
            <w:webHidden/>
          </w:rPr>
          <w:fldChar w:fldCharType="begin"/>
        </w:r>
        <w:r w:rsidR="00C9166B">
          <w:rPr>
            <w:noProof/>
            <w:webHidden/>
          </w:rPr>
          <w:instrText xml:space="preserve"> PAGEREF _Toc36751983 \h </w:instrText>
        </w:r>
        <w:r w:rsidR="00C9166B">
          <w:rPr>
            <w:noProof/>
            <w:webHidden/>
          </w:rPr>
        </w:r>
        <w:r w:rsidR="00C9166B">
          <w:rPr>
            <w:noProof/>
            <w:webHidden/>
          </w:rPr>
          <w:fldChar w:fldCharType="separate"/>
        </w:r>
        <w:r w:rsidR="00C9166B">
          <w:rPr>
            <w:noProof/>
            <w:webHidden/>
          </w:rPr>
          <w:t>5</w:t>
        </w:r>
        <w:r w:rsidR="00C9166B">
          <w:rPr>
            <w:noProof/>
            <w:webHidden/>
          </w:rPr>
          <w:fldChar w:fldCharType="end"/>
        </w:r>
      </w:hyperlink>
    </w:p>
    <w:p w14:paraId="70A1BDC5" w14:textId="77777777" w:rsidR="00C9166B" w:rsidRDefault="00196AA0">
      <w:pPr>
        <w:pStyle w:val="TOC1"/>
        <w:tabs>
          <w:tab w:val="left" w:pos="660"/>
          <w:tab w:val="right" w:leader="dot" w:pos="8296"/>
        </w:tabs>
        <w:rPr>
          <w:rFonts w:asciiTheme="minorHAnsi" w:eastAsiaTheme="minorEastAsia" w:hAnsiTheme="minorHAnsi"/>
          <w:noProof/>
          <w:sz w:val="22"/>
          <w:szCs w:val="20"/>
          <w:lang w:eastAsia="en-IN"/>
        </w:rPr>
      </w:pPr>
      <w:hyperlink w:anchor="_Toc36751984" w:history="1">
        <w:r w:rsidR="00C9166B" w:rsidRPr="00B83C92">
          <w:rPr>
            <w:rStyle w:val="Hyperlink"/>
            <w:noProof/>
          </w:rPr>
          <w:t>1.</w:t>
        </w:r>
        <w:r w:rsidR="00C9166B">
          <w:rPr>
            <w:rFonts w:asciiTheme="minorHAnsi" w:eastAsiaTheme="minorEastAsia" w:hAnsiTheme="minorHAnsi"/>
            <w:noProof/>
            <w:sz w:val="22"/>
            <w:szCs w:val="20"/>
            <w:lang w:eastAsia="en-IN"/>
          </w:rPr>
          <w:tab/>
        </w:r>
        <w:r w:rsidR="00C9166B" w:rsidRPr="00B83C92">
          <w:rPr>
            <w:rStyle w:val="Hyperlink"/>
            <w:noProof/>
          </w:rPr>
          <w:t>Introduction</w:t>
        </w:r>
        <w:r w:rsidR="00C9166B">
          <w:rPr>
            <w:noProof/>
            <w:webHidden/>
          </w:rPr>
          <w:tab/>
        </w:r>
        <w:r w:rsidR="00C9166B">
          <w:rPr>
            <w:noProof/>
            <w:webHidden/>
          </w:rPr>
          <w:fldChar w:fldCharType="begin"/>
        </w:r>
        <w:r w:rsidR="00C9166B">
          <w:rPr>
            <w:noProof/>
            <w:webHidden/>
          </w:rPr>
          <w:instrText xml:space="preserve"> PAGEREF _Toc36751984 \h </w:instrText>
        </w:r>
        <w:r w:rsidR="00C9166B">
          <w:rPr>
            <w:noProof/>
            <w:webHidden/>
          </w:rPr>
        </w:r>
        <w:r w:rsidR="00C9166B">
          <w:rPr>
            <w:noProof/>
            <w:webHidden/>
          </w:rPr>
          <w:fldChar w:fldCharType="separate"/>
        </w:r>
        <w:r w:rsidR="00C9166B">
          <w:rPr>
            <w:noProof/>
            <w:webHidden/>
          </w:rPr>
          <w:t>6</w:t>
        </w:r>
        <w:r w:rsidR="00C9166B">
          <w:rPr>
            <w:noProof/>
            <w:webHidden/>
          </w:rPr>
          <w:fldChar w:fldCharType="end"/>
        </w:r>
      </w:hyperlink>
    </w:p>
    <w:p w14:paraId="07FA11B3"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85" w:history="1">
        <w:r w:rsidR="00C9166B" w:rsidRPr="00B83C92">
          <w:rPr>
            <w:rStyle w:val="Hyperlink"/>
            <w:rFonts w:cs="Times New Roman"/>
            <w:noProof/>
          </w:rPr>
          <w:t>1.1 OPEC and Non-OPEC countries</w:t>
        </w:r>
        <w:r w:rsidR="00C9166B">
          <w:rPr>
            <w:noProof/>
            <w:webHidden/>
          </w:rPr>
          <w:tab/>
        </w:r>
        <w:r w:rsidR="00C9166B">
          <w:rPr>
            <w:noProof/>
            <w:webHidden/>
          </w:rPr>
          <w:fldChar w:fldCharType="begin"/>
        </w:r>
        <w:r w:rsidR="00C9166B">
          <w:rPr>
            <w:noProof/>
            <w:webHidden/>
          </w:rPr>
          <w:instrText xml:space="preserve"> PAGEREF _Toc36751985 \h </w:instrText>
        </w:r>
        <w:r w:rsidR="00C9166B">
          <w:rPr>
            <w:noProof/>
            <w:webHidden/>
          </w:rPr>
        </w:r>
        <w:r w:rsidR="00C9166B">
          <w:rPr>
            <w:noProof/>
            <w:webHidden/>
          </w:rPr>
          <w:fldChar w:fldCharType="separate"/>
        </w:r>
        <w:r w:rsidR="00C9166B">
          <w:rPr>
            <w:noProof/>
            <w:webHidden/>
          </w:rPr>
          <w:t>7</w:t>
        </w:r>
        <w:r w:rsidR="00C9166B">
          <w:rPr>
            <w:noProof/>
            <w:webHidden/>
          </w:rPr>
          <w:fldChar w:fldCharType="end"/>
        </w:r>
      </w:hyperlink>
    </w:p>
    <w:p w14:paraId="1F85BF7E"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86" w:history="1">
        <w:r w:rsidR="00C9166B" w:rsidRPr="00B83C92">
          <w:rPr>
            <w:rStyle w:val="Hyperlink"/>
            <w:noProof/>
          </w:rPr>
          <w:t>1.2 Indian Economy</w:t>
        </w:r>
        <w:r w:rsidR="00C9166B">
          <w:rPr>
            <w:noProof/>
            <w:webHidden/>
          </w:rPr>
          <w:tab/>
        </w:r>
        <w:r w:rsidR="00C9166B">
          <w:rPr>
            <w:noProof/>
            <w:webHidden/>
          </w:rPr>
          <w:fldChar w:fldCharType="begin"/>
        </w:r>
        <w:r w:rsidR="00C9166B">
          <w:rPr>
            <w:noProof/>
            <w:webHidden/>
          </w:rPr>
          <w:instrText xml:space="preserve"> PAGEREF _Toc36751986 \h </w:instrText>
        </w:r>
        <w:r w:rsidR="00C9166B">
          <w:rPr>
            <w:noProof/>
            <w:webHidden/>
          </w:rPr>
        </w:r>
        <w:r w:rsidR="00C9166B">
          <w:rPr>
            <w:noProof/>
            <w:webHidden/>
          </w:rPr>
          <w:fldChar w:fldCharType="separate"/>
        </w:r>
        <w:r w:rsidR="00C9166B">
          <w:rPr>
            <w:noProof/>
            <w:webHidden/>
          </w:rPr>
          <w:t>7</w:t>
        </w:r>
        <w:r w:rsidR="00C9166B">
          <w:rPr>
            <w:noProof/>
            <w:webHidden/>
          </w:rPr>
          <w:fldChar w:fldCharType="end"/>
        </w:r>
      </w:hyperlink>
    </w:p>
    <w:p w14:paraId="691018D7"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87" w:history="1">
        <w:r w:rsidR="00C9166B" w:rsidRPr="00B83C92">
          <w:rPr>
            <w:rStyle w:val="Hyperlink"/>
            <w:noProof/>
          </w:rPr>
          <w:t>2. Literature Review</w:t>
        </w:r>
        <w:r w:rsidR="00C9166B">
          <w:rPr>
            <w:noProof/>
            <w:webHidden/>
          </w:rPr>
          <w:tab/>
        </w:r>
        <w:r w:rsidR="00C9166B">
          <w:rPr>
            <w:noProof/>
            <w:webHidden/>
          </w:rPr>
          <w:fldChar w:fldCharType="begin"/>
        </w:r>
        <w:r w:rsidR="00C9166B">
          <w:rPr>
            <w:noProof/>
            <w:webHidden/>
          </w:rPr>
          <w:instrText xml:space="preserve"> PAGEREF _Toc36751987 \h </w:instrText>
        </w:r>
        <w:r w:rsidR="00C9166B">
          <w:rPr>
            <w:noProof/>
            <w:webHidden/>
          </w:rPr>
        </w:r>
        <w:r w:rsidR="00C9166B">
          <w:rPr>
            <w:noProof/>
            <w:webHidden/>
          </w:rPr>
          <w:fldChar w:fldCharType="separate"/>
        </w:r>
        <w:r w:rsidR="00C9166B">
          <w:rPr>
            <w:noProof/>
            <w:webHidden/>
          </w:rPr>
          <w:t>8</w:t>
        </w:r>
        <w:r w:rsidR="00C9166B">
          <w:rPr>
            <w:noProof/>
            <w:webHidden/>
          </w:rPr>
          <w:fldChar w:fldCharType="end"/>
        </w:r>
      </w:hyperlink>
    </w:p>
    <w:p w14:paraId="2995E8AB"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88" w:history="1">
        <w:r w:rsidR="00C9166B" w:rsidRPr="00B83C92">
          <w:rPr>
            <w:rStyle w:val="Hyperlink"/>
            <w:noProof/>
          </w:rPr>
          <w:t>3. Industry Scenario</w:t>
        </w:r>
        <w:r w:rsidR="00C9166B">
          <w:rPr>
            <w:noProof/>
            <w:webHidden/>
          </w:rPr>
          <w:tab/>
        </w:r>
        <w:r w:rsidR="00C9166B">
          <w:rPr>
            <w:noProof/>
            <w:webHidden/>
          </w:rPr>
          <w:fldChar w:fldCharType="begin"/>
        </w:r>
        <w:r w:rsidR="00C9166B">
          <w:rPr>
            <w:noProof/>
            <w:webHidden/>
          </w:rPr>
          <w:instrText xml:space="preserve"> PAGEREF _Toc36751988 \h </w:instrText>
        </w:r>
        <w:r w:rsidR="00C9166B">
          <w:rPr>
            <w:noProof/>
            <w:webHidden/>
          </w:rPr>
        </w:r>
        <w:r w:rsidR="00C9166B">
          <w:rPr>
            <w:noProof/>
            <w:webHidden/>
          </w:rPr>
          <w:fldChar w:fldCharType="separate"/>
        </w:r>
        <w:r w:rsidR="00C9166B">
          <w:rPr>
            <w:noProof/>
            <w:webHidden/>
          </w:rPr>
          <w:t>11</w:t>
        </w:r>
        <w:r w:rsidR="00C9166B">
          <w:rPr>
            <w:noProof/>
            <w:webHidden/>
          </w:rPr>
          <w:fldChar w:fldCharType="end"/>
        </w:r>
      </w:hyperlink>
    </w:p>
    <w:p w14:paraId="770BA58F"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89" w:history="1">
        <w:r w:rsidR="00C9166B" w:rsidRPr="00B83C92">
          <w:rPr>
            <w:rStyle w:val="Hyperlink"/>
            <w:noProof/>
          </w:rPr>
          <w:t>4. Market scenario</w:t>
        </w:r>
        <w:r w:rsidR="00C9166B">
          <w:rPr>
            <w:noProof/>
            <w:webHidden/>
          </w:rPr>
          <w:tab/>
        </w:r>
        <w:r w:rsidR="00C9166B">
          <w:rPr>
            <w:noProof/>
            <w:webHidden/>
          </w:rPr>
          <w:fldChar w:fldCharType="begin"/>
        </w:r>
        <w:r w:rsidR="00C9166B">
          <w:rPr>
            <w:noProof/>
            <w:webHidden/>
          </w:rPr>
          <w:instrText xml:space="preserve"> PAGEREF _Toc36751989 \h </w:instrText>
        </w:r>
        <w:r w:rsidR="00C9166B">
          <w:rPr>
            <w:noProof/>
            <w:webHidden/>
          </w:rPr>
        </w:r>
        <w:r w:rsidR="00C9166B">
          <w:rPr>
            <w:noProof/>
            <w:webHidden/>
          </w:rPr>
          <w:fldChar w:fldCharType="separate"/>
        </w:r>
        <w:r w:rsidR="00C9166B">
          <w:rPr>
            <w:noProof/>
            <w:webHidden/>
          </w:rPr>
          <w:t>12</w:t>
        </w:r>
        <w:r w:rsidR="00C9166B">
          <w:rPr>
            <w:noProof/>
            <w:webHidden/>
          </w:rPr>
          <w:fldChar w:fldCharType="end"/>
        </w:r>
      </w:hyperlink>
    </w:p>
    <w:p w14:paraId="14DB5D0E"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90" w:history="1">
        <w:r w:rsidR="00C9166B" w:rsidRPr="00B83C92">
          <w:rPr>
            <w:rStyle w:val="Hyperlink"/>
            <w:rFonts w:cs="Times New Roman"/>
            <w:noProof/>
          </w:rPr>
          <w:t>Drivers of oil price globally</w:t>
        </w:r>
        <w:r w:rsidR="00C9166B">
          <w:rPr>
            <w:noProof/>
            <w:webHidden/>
          </w:rPr>
          <w:tab/>
        </w:r>
        <w:r w:rsidR="00C9166B">
          <w:rPr>
            <w:noProof/>
            <w:webHidden/>
          </w:rPr>
          <w:fldChar w:fldCharType="begin"/>
        </w:r>
        <w:r w:rsidR="00C9166B">
          <w:rPr>
            <w:noProof/>
            <w:webHidden/>
          </w:rPr>
          <w:instrText xml:space="preserve"> PAGEREF _Toc36751990 \h </w:instrText>
        </w:r>
        <w:r w:rsidR="00C9166B">
          <w:rPr>
            <w:noProof/>
            <w:webHidden/>
          </w:rPr>
        </w:r>
        <w:r w:rsidR="00C9166B">
          <w:rPr>
            <w:noProof/>
            <w:webHidden/>
          </w:rPr>
          <w:fldChar w:fldCharType="separate"/>
        </w:r>
        <w:r w:rsidR="00C9166B">
          <w:rPr>
            <w:noProof/>
            <w:webHidden/>
          </w:rPr>
          <w:t>13</w:t>
        </w:r>
        <w:r w:rsidR="00C9166B">
          <w:rPr>
            <w:noProof/>
            <w:webHidden/>
          </w:rPr>
          <w:fldChar w:fldCharType="end"/>
        </w:r>
      </w:hyperlink>
    </w:p>
    <w:p w14:paraId="3E8DB089"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91" w:history="1">
        <w:r w:rsidR="00C9166B" w:rsidRPr="00B83C92">
          <w:rPr>
            <w:rStyle w:val="Hyperlink"/>
            <w:noProof/>
          </w:rPr>
          <w:t>5. The Government Framework</w:t>
        </w:r>
        <w:r w:rsidR="00C9166B">
          <w:rPr>
            <w:noProof/>
            <w:webHidden/>
          </w:rPr>
          <w:tab/>
        </w:r>
        <w:r w:rsidR="00C9166B">
          <w:rPr>
            <w:noProof/>
            <w:webHidden/>
          </w:rPr>
          <w:fldChar w:fldCharType="begin"/>
        </w:r>
        <w:r w:rsidR="00C9166B">
          <w:rPr>
            <w:noProof/>
            <w:webHidden/>
          </w:rPr>
          <w:instrText xml:space="preserve"> PAGEREF _Toc36751991 \h </w:instrText>
        </w:r>
        <w:r w:rsidR="00C9166B">
          <w:rPr>
            <w:noProof/>
            <w:webHidden/>
          </w:rPr>
        </w:r>
        <w:r w:rsidR="00C9166B">
          <w:rPr>
            <w:noProof/>
            <w:webHidden/>
          </w:rPr>
          <w:fldChar w:fldCharType="separate"/>
        </w:r>
        <w:r w:rsidR="00C9166B">
          <w:rPr>
            <w:noProof/>
            <w:webHidden/>
          </w:rPr>
          <w:t>14</w:t>
        </w:r>
        <w:r w:rsidR="00C9166B">
          <w:rPr>
            <w:noProof/>
            <w:webHidden/>
          </w:rPr>
          <w:fldChar w:fldCharType="end"/>
        </w:r>
      </w:hyperlink>
    </w:p>
    <w:p w14:paraId="5CBA586D"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92" w:history="1">
        <w:r w:rsidR="00C9166B" w:rsidRPr="00B83C92">
          <w:rPr>
            <w:rStyle w:val="Hyperlink"/>
            <w:noProof/>
          </w:rPr>
          <w:t>6. Major Companies</w:t>
        </w:r>
        <w:r w:rsidR="00C9166B">
          <w:rPr>
            <w:noProof/>
            <w:webHidden/>
          </w:rPr>
          <w:tab/>
        </w:r>
        <w:r w:rsidR="00C9166B">
          <w:rPr>
            <w:noProof/>
            <w:webHidden/>
          </w:rPr>
          <w:fldChar w:fldCharType="begin"/>
        </w:r>
        <w:r w:rsidR="00C9166B">
          <w:rPr>
            <w:noProof/>
            <w:webHidden/>
          </w:rPr>
          <w:instrText xml:space="preserve"> PAGEREF _Toc36751992 \h </w:instrText>
        </w:r>
        <w:r w:rsidR="00C9166B">
          <w:rPr>
            <w:noProof/>
            <w:webHidden/>
          </w:rPr>
        </w:r>
        <w:r w:rsidR="00C9166B">
          <w:rPr>
            <w:noProof/>
            <w:webHidden/>
          </w:rPr>
          <w:fldChar w:fldCharType="separate"/>
        </w:r>
        <w:r w:rsidR="00C9166B">
          <w:rPr>
            <w:noProof/>
            <w:webHidden/>
          </w:rPr>
          <w:t>15</w:t>
        </w:r>
        <w:r w:rsidR="00C9166B">
          <w:rPr>
            <w:noProof/>
            <w:webHidden/>
          </w:rPr>
          <w:fldChar w:fldCharType="end"/>
        </w:r>
      </w:hyperlink>
    </w:p>
    <w:p w14:paraId="73DF3392"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93" w:history="1">
        <w:r w:rsidR="00C9166B" w:rsidRPr="00B83C92">
          <w:rPr>
            <w:rStyle w:val="Hyperlink"/>
            <w:rFonts w:cs="Times New Roman"/>
            <w:noProof/>
          </w:rPr>
          <w:t>6.1 BPCL</w:t>
        </w:r>
        <w:r w:rsidR="00C9166B">
          <w:rPr>
            <w:noProof/>
            <w:webHidden/>
          </w:rPr>
          <w:tab/>
        </w:r>
        <w:r w:rsidR="00C9166B">
          <w:rPr>
            <w:noProof/>
            <w:webHidden/>
          </w:rPr>
          <w:fldChar w:fldCharType="begin"/>
        </w:r>
        <w:r w:rsidR="00C9166B">
          <w:rPr>
            <w:noProof/>
            <w:webHidden/>
          </w:rPr>
          <w:instrText xml:space="preserve"> PAGEREF _Toc36751993 \h </w:instrText>
        </w:r>
        <w:r w:rsidR="00C9166B">
          <w:rPr>
            <w:noProof/>
            <w:webHidden/>
          </w:rPr>
        </w:r>
        <w:r w:rsidR="00C9166B">
          <w:rPr>
            <w:noProof/>
            <w:webHidden/>
          </w:rPr>
          <w:fldChar w:fldCharType="separate"/>
        </w:r>
        <w:r w:rsidR="00C9166B">
          <w:rPr>
            <w:noProof/>
            <w:webHidden/>
          </w:rPr>
          <w:t>15</w:t>
        </w:r>
        <w:r w:rsidR="00C9166B">
          <w:rPr>
            <w:noProof/>
            <w:webHidden/>
          </w:rPr>
          <w:fldChar w:fldCharType="end"/>
        </w:r>
      </w:hyperlink>
    </w:p>
    <w:p w14:paraId="54CA7068"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94" w:history="1">
        <w:r w:rsidR="00C9166B" w:rsidRPr="00B83C92">
          <w:rPr>
            <w:rStyle w:val="Hyperlink"/>
            <w:rFonts w:cs="Times New Roman"/>
            <w:noProof/>
          </w:rPr>
          <w:t>6.2 IOCL</w:t>
        </w:r>
        <w:r w:rsidR="00C9166B">
          <w:rPr>
            <w:noProof/>
            <w:webHidden/>
          </w:rPr>
          <w:tab/>
        </w:r>
        <w:r w:rsidR="00C9166B">
          <w:rPr>
            <w:noProof/>
            <w:webHidden/>
          </w:rPr>
          <w:fldChar w:fldCharType="begin"/>
        </w:r>
        <w:r w:rsidR="00C9166B">
          <w:rPr>
            <w:noProof/>
            <w:webHidden/>
          </w:rPr>
          <w:instrText xml:space="preserve"> PAGEREF _Toc36751994 \h </w:instrText>
        </w:r>
        <w:r w:rsidR="00C9166B">
          <w:rPr>
            <w:noProof/>
            <w:webHidden/>
          </w:rPr>
        </w:r>
        <w:r w:rsidR="00C9166B">
          <w:rPr>
            <w:noProof/>
            <w:webHidden/>
          </w:rPr>
          <w:fldChar w:fldCharType="separate"/>
        </w:r>
        <w:r w:rsidR="00C9166B">
          <w:rPr>
            <w:noProof/>
            <w:webHidden/>
          </w:rPr>
          <w:t>15</w:t>
        </w:r>
        <w:r w:rsidR="00C9166B">
          <w:rPr>
            <w:noProof/>
            <w:webHidden/>
          </w:rPr>
          <w:fldChar w:fldCharType="end"/>
        </w:r>
      </w:hyperlink>
    </w:p>
    <w:p w14:paraId="75473619"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95" w:history="1">
        <w:r w:rsidR="00C9166B" w:rsidRPr="00B83C92">
          <w:rPr>
            <w:rStyle w:val="Hyperlink"/>
            <w:rFonts w:cs="Times New Roman"/>
            <w:noProof/>
          </w:rPr>
          <w:t>6.3 Reliance Petroleum Ltd.</w:t>
        </w:r>
        <w:r w:rsidR="00C9166B">
          <w:rPr>
            <w:noProof/>
            <w:webHidden/>
          </w:rPr>
          <w:tab/>
        </w:r>
        <w:r w:rsidR="00C9166B">
          <w:rPr>
            <w:noProof/>
            <w:webHidden/>
          </w:rPr>
          <w:fldChar w:fldCharType="begin"/>
        </w:r>
        <w:r w:rsidR="00C9166B">
          <w:rPr>
            <w:noProof/>
            <w:webHidden/>
          </w:rPr>
          <w:instrText xml:space="preserve"> PAGEREF _Toc36751995 \h </w:instrText>
        </w:r>
        <w:r w:rsidR="00C9166B">
          <w:rPr>
            <w:noProof/>
            <w:webHidden/>
          </w:rPr>
        </w:r>
        <w:r w:rsidR="00C9166B">
          <w:rPr>
            <w:noProof/>
            <w:webHidden/>
          </w:rPr>
          <w:fldChar w:fldCharType="separate"/>
        </w:r>
        <w:r w:rsidR="00C9166B">
          <w:rPr>
            <w:noProof/>
            <w:webHidden/>
          </w:rPr>
          <w:t>16</w:t>
        </w:r>
        <w:r w:rsidR="00C9166B">
          <w:rPr>
            <w:noProof/>
            <w:webHidden/>
          </w:rPr>
          <w:fldChar w:fldCharType="end"/>
        </w:r>
      </w:hyperlink>
    </w:p>
    <w:p w14:paraId="47F341A3"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1996" w:history="1">
        <w:r w:rsidR="00C9166B" w:rsidRPr="00B83C92">
          <w:rPr>
            <w:rStyle w:val="Hyperlink"/>
            <w:noProof/>
          </w:rPr>
          <w:t>7. Competitors Analysis</w:t>
        </w:r>
        <w:r w:rsidR="00C9166B">
          <w:rPr>
            <w:noProof/>
            <w:webHidden/>
          </w:rPr>
          <w:tab/>
        </w:r>
        <w:r w:rsidR="00C9166B">
          <w:rPr>
            <w:noProof/>
            <w:webHidden/>
          </w:rPr>
          <w:fldChar w:fldCharType="begin"/>
        </w:r>
        <w:r w:rsidR="00C9166B">
          <w:rPr>
            <w:noProof/>
            <w:webHidden/>
          </w:rPr>
          <w:instrText xml:space="preserve"> PAGEREF _Toc36751996 \h </w:instrText>
        </w:r>
        <w:r w:rsidR="00C9166B">
          <w:rPr>
            <w:noProof/>
            <w:webHidden/>
          </w:rPr>
        </w:r>
        <w:r w:rsidR="00C9166B">
          <w:rPr>
            <w:noProof/>
            <w:webHidden/>
          </w:rPr>
          <w:fldChar w:fldCharType="separate"/>
        </w:r>
        <w:r w:rsidR="00C9166B">
          <w:rPr>
            <w:noProof/>
            <w:webHidden/>
          </w:rPr>
          <w:t>18</w:t>
        </w:r>
        <w:r w:rsidR="00C9166B">
          <w:rPr>
            <w:noProof/>
            <w:webHidden/>
          </w:rPr>
          <w:fldChar w:fldCharType="end"/>
        </w:r>
      </w:hyperlink>
    </w:p>
    <w:p w14:paraId="5A29DB10"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97" w:history="1">
        <w:r w:rsidR="00C9166B" w:rsidRPr="00B83C92">
          <w:rPr>
            <w:rStyle w:val="Hyperlink"/>
            <w:rFonts w:cs="Times New Roman"/>
            <w:noProof/>
          </w:rPr>
          <w:t>7.1 Oil India Ltd</w:t>
        </w:r>
        <w:r w:rsidR="00C9166B">
          <w:rPr>
            <w:noProof/>
            <w:webHidden/>
          </w:rPr>
          <w:tab/>
        </w:r>
        <w:r w:rsidR="00C9166B">
          <w:rPr>
            <w:noProof/>
            <w:webHidden/>
          </w:rPr>
          <w:fldChar w:fldCharType="begin"/>
        </w:r>
        <w:r w:rsidR="00C9166B">
          <w:rPr>
            <w:noProof/>
            <w:webHidden/>
          </w:rPr>
          <w:instrText xml:space="preserve"> PAGEREF _Toc36751997 \h </w:instrText>
        </w:r>
        <w:r w:rsidR="00C9166B">
          <w:rPr>
            <w:noProof/>
            <w:webHidden/>
          </w:rPr>
        </w:r>
        <w:r w:rsidR="00C9166B">
          <w:rPr>
            <w:noProof/>
            <w:webHidden/>
          </w:rPr>
          <w:fldChar w:fldCharType="separate"/>
        </w:r>
        <w:r w:rsidR="00C9166B">
          <w:rPr>
            <w:noProof/>
            <w:webHidden/>
          </w:rPr>
          <w:t>18</w:t>
        </w:r>
        <w:r w:rsidR="00C9166B">
          <w:rPr>
            <w:noProof/>
            <w:webHidden/>
          </w:rPr>
          <w:fldChar w:fldCharType="end"/>
        </w:r>
      </w:hyperlink>
    </w:p>
    <w:p w14:paraId="12C5CE48"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98" w:history="1">
        <w:r w:rsidR="00C9166B" w:rsidRPr="00B83C92">
          <w:rPr>
            <w:rStyle w:val="Hyperlink"/>
            <w:rFonts w:cs="Times New Roman"/>
            <w:noProof/>
          </w:rPr>
          <w:t>7.2 Nayara Energy (Essar Oil Ltd)</w:t>
        </w:r>
        <w:r w:rsidR="00C9166B">
          <w:rPr>
            <w:noProof/>
            <w:webHidden/>
          </w:rPr>
          <w:tab/>
        </w:r>
        <w:r w:rsidR="00C9166B">
          <w:rPr>
            <w:noProof/>
            <w:webHidden/>
          </w:rPr>
          <w:fldChar w:fldCharType="begin"/>
        </w:r>
        <w:r w:rsidR="00C9166B">
          <w:rPr>
            <w:noProof/>
            <w:webHidden/>
          </w:rPr>
          <w:instrText xml:space="preserve"> PAGEREF _Toc36751998 \h </w:instrText>
        </w:r>
        <w:r w:rsidR="00C9166B">
          <w:rPr>
            <w:noProof/>
            <w:webHidden/>
          </w:rPr>
        </w:r>
        <w:r w:rsidR="00C9166B">
          <w:rPr>
            <w:noProof/>
            <w:webHidden/>
          </w:rPr>
          <w:fldChar w:fldCharType="separate"/>
        </w:r>
        <w:r w:rsidR="00C9166B">
          <w:rPr>
            <w:noProof/>
            <w:webHidden/>
          </w:rPr>
          <w:t>20</w:t>
        </w:r>
        <w:r w:rsidR="00C9166B">
          <w:rPr>
            <w:noProof/>
            <w:webHidden/>
          </w:rPr>
          <w:fldChar w:fldCharType="end"/>
        </w:r>
      </w:hyperlink>
    </w:p>
    <w:p w14:paraId="49874EFC"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1999" w:history="1">
        <w:r w:rsidR="00C9166B" w:rsidRPr="00B83C92">
          <w:rPr>
            <w:rStyle w:val="Hyperlink"/>
            <w:rFonts w:cs="Times New Roman"/>
            <w:noProof/>
          </w:rPr>
          <w:t>7.3 ONGC</w:t>
        </w:r>
        <w:r w:rsidR="00C9166B">
          <w:rPr>
            <w:noProof/>
            <w:webHidden/>
          </w:rPr>
          <w:tab/>
        </w:r>
        <w:r w:rsidR="00C9166B">
          <w:rPr>
            <w:noProof/>
            <w:webHidden/>
          </w:rPr>
          <w:fldChar w:fldCharType="begin"/>
        </w:r>
        <w:r w:rsidR="00C9166B">
          <w:rPr>
            <w:noProof/>
            <w:webHidden/>
          </w:rPr>
          <w:instrText xml:space="preserve"> PAGEREF _Toc36751999 \h </w:instrText>
        </w:r>
        <w:r w:rsidR="00C9166B">
          <w:rPr>
            <w:noProof/>
            <w:webHidden/>
          </w:rPr>
        </w:r>
        <w:r w:rsidR="00C9166B">
          <w:rPr>
            <w:noProof/>
            <w:webHidden/>
          </w:rPr>
          <w:fldChar w:fldCharType="separate"/>
        </w:r>
        <w:r w:rsidR="00C9166B">
          <w:rPr>
            <w:noProof/>
            <w:webHidden/>
          </w:rPr>
          <w:t>22</w:t>
        </w:r>
        <w:r w:rsidR="00C9166B">
          <w:rPr>
            <w:noProof/>
            <w:webHidden/>
          </w:rPr>
          <w:fldChar w:fldCharType="end"/>
        </w:r>
      </w:hyperlink>
    </w:p>
    <w:p w14:paraId="66EE078A"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2000" w:history="1">
        <w:r w:rsidR="00C9166B" w:rsidRPr="00B83C92">
          <w:rPr>
            <w:rStyle w:val="Hyperlink"/>
            <w:rFonts w:cs="Times New Roman"/>
            <w:noProof/>
            <w:shd w:val="clear" w:color="auto" w:fill="FFFFFF"/>
          </w:rPr>
          <w:t>7.4 IOCL</w:t>
        </w:r>
        <w:r w:rsidR="00C9166B">
          <w:rPr>
            <w:noProof/>
            <w:webHidden/>
          </w:rPr>
          <w:tab/>
        </w:r>
        <w:r w:rsidR="00C9166B">
          <w:rPr>
            <w:noProof/>
            <w:webHidden/>
          </w:rPr>
          <w:fldChar w:fldCharType="begin"/>
        </w:r>
        <w:r w:rsidR="00C9166B">
          <w:rPr>
            <w:noProof/>
            <w:webHidden/>
          </w:rPr>
          <w:instrText xml:space="preserve"> PAGEREF _Toc36752000 \h </w:instrText>
        </w:r>
        <w:r w:rsidR="00C9166B">
          <w:rPr>
            <w:noProof/>
            <w:webHidden/>
          </w:rPr>
        </w:r>
        <w:r w:rsidR="00C9166B">
          <w:rPr>
            <w:noProof/>
            <w:webHidden/>
          </w:rPr>
          <w:fldChar w:fldCharType="separate"/>
        </w:r>
        <w:r w:rsidR="00C9166B">
          <w:rPr>
            <w:noProof/>
            <w:webHidden/>
          </w:rPr>
          <w:t>24</w:t>
        </w:r>
        <w:r w:rsidR="00C9166B">
          <w:rPr>
            <w:noProof/>
            <w:webHidden/>
          </w:rPr>
          <w:fldChar w:fldCharType="end"/>
        </w:r>
      </w:hyperlink>
    </w:p>
    <w:p w14:paraId="54A42BD9"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2001" w:history="1">
        <w:r w:rsidR="00C9166B" w:rsidRPr="00B83C92">
          <w:rPr>
            <w:rStyle w:val="Hyperlink"/>
            <w:rFonts w:cs="Times New Roman"/>
            <w:noProof/>
            <w:shd w:val="clear" w:color="auto" w:fill="FFFFFF"/>
          </w:rPr>
          <w:t>7.5 Hindustan Petroleum Co. Ltd.</w:t>
        </w:r>
        <w:r w:rsidR="00C9166B">
          <w:rPr>
            <w:noProof/>
            <w:webHidden/>
          </w:rPr>
          <w:tab/>
        </w:r>
        <w:r w:rsidR="00C9166B">
          <w:rPr>
            <w:noProof/>
            <w:webHidden/>
          </w:rPr>
          <w:fldChar w:fldCharType="begin"/>
        </w:r>
        <w:r w:rsidR="00C9166B">
          <w:rPr>
            <w:noProof/>
            <w:webHidden/>
          </w:rPr>
          <w:instrText xml:space="preserve"> PAGEREF _Toc36752001 \h </w:instrText>
        </w:r>
        <w:r w:rsidR="00C9166B">
          <w:rPr>
            <w:noProof/>
            <w:webHidden/>
          </w:rPr>
        </w:r>
        <w:r w:rsidR="00C9166B">
          <w:rPr>
            <w:noProof/>
            <w:webHidden/>
          </w:rPr>
          <w:fldChar w:fldCharType="separate"/>
        </w:r>
        <w:r w:rsidR="00C9166B">
          <w:rPr>
            <w:noProof/>
            <w:webHidden/>
          </w:rPr>
          <w:t>26</w:t>
        </w:r>
        <w:r w:rsidR="00C9166B">
          <w:rPr>
            <w:noProof/>
            <w:webHidden/>
          </w:rPr>
          <w:fldChar w:fldCharType="end"/>
        </w:r>
      </w:hyperlink>
    </w:p>
    <w:p w14:paraId="39330132"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2002" w:history="1">
        <w:r w:rsidR="00C9166B" w:rsidRPr="00B83C92">
          <w:rPr>
            <w:rStyle w:val="Hyperlink"/>
            <w:noProof/>
          </w:rPr>
          <w:t>Ratio Analysis</w:t>
        </w:r>
        <w:r w:rsidR="00C9166B">
          <w:rPr>
            <w:noProof/>
            <w:webHidden/>
          </w:rPr>
          <w:tab/>
        </w:r>
        <w:r w:rsidR="00C9166B">
          <w:rPr>
            <w:noProof/>
            <w:webHidden/>
          </w:rPr>
          <w:fldChar w:fldCharType="begin"/>
        </w:r>
        <w:r w:rsidR="00C9166B">
          <w:rPr>
            <w:noProof/>
            <w:webHidden/>
          </w:rPr>
          <w:instrText xml:space="preserve"> PAGEREF _Toc36752002 \h </w:instrText>
        </w:r>
        <w:r w:rsidR="00C9166B">
          <w:rPr>
            <w:noProof/>
            <w:webHidden/>
          </w:rPr>
        </w:r>
        <w:r w:rsidR="00C9166B">
          <w:rPr>
            <w:noProof/>
            <w:webHidden/>
          </w:rPr>
          <w:fldChar w:fldCharType="separate"/>
        </w:r>
        <w:r w:rsidR="00C9166B">
          <w:rPr>
            <w:noProof/>
            <w:webHidden/>
          </w:rPr>
          <w:t>28</w:t>
        </w:r>
        <w:r w:rsidR="00C9166B">
          <w:rPr>
            <w:noProof/>
            <w:webHidden/>
          </w:rPr>
          <w:fldChar w:fldCharType="end"/>
        </w:r>
      </w:hyperlink>
    </w:p>
    <w:p w14:paraId="74C19B13"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2003" w:history="1">
        <w:r w:rsidR="00C9166B" w:rsidRPr="00B83C92">
          <w:rPr>
            <w:rStyle w:val="Hyperlink"/>
            <w:noProof/>
          </w:rPr>
          <w:t>8. Problem Statement</w:t>
        </w:r>
        <w:r w:rsidR="00C9166B">
          <w:rPr>
            <w:noProof/>
            <w:webHidden/>
          </w:rPr>
          <w:tab/>
        </w:r>
        <w:r w:rsidR="00C9166B">
          <w:rPr>
            <w:noProof/>
            <w:webHidden/>
          </w:rPr>
          <w:fldChar w:fldCharType="begin"/>
        </w:r>
        <w:r w:rsidR="00C9166B">
          <w:rPr>
            <w:noProof/>
            <w:webHidden/>
          </w:rPr>
          <w:instrText xml:space="preserve"> PAGEREF _Toc36752003 \h </w:instrText>
        </w:r>
        <w:r w:rsidR="00C9166B">
          <w:rPr>
            <w:noProof/>
            <w:webHidden/>
          </w:rPr>
        </w:r>
        <w:r w:rsidR="00C9166B">
          <w:rPr>
            <w:noProof/>
            <w:webHidden/>
          </w:rPr>
          <w:fldChar w:fldCharType="separate"/>
        </w:r>
        <w:r w:rsidR="00C9166B">
          <w:rPr>
            <w:noProof/>
            <w:webHidden/>
          </w:rPr>
          <w:t>31</w:t>
        </w:r>
        <w:r w:rsidR="00C9166B">
          <w:rPr>
            <w:noProof/>
            <w:webHidden/>
          </w:rPr>
          <w:fldChar w:fldCharType="end"/>
        </w:r>
      </w:hyperlink>
    </w:p>
    <w:p w14:paraId="426725C8"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2004" w:history="1">
        <w:r w:rsidR="00C9166B" w:rsidRPr="00B83C92">
          <w:rPr>
            <w:rStyle w:val="Hyperlink"/>
            <w:noProof/>
          </w:rPr>
          <w:t>9. Objectives</w:t>
        </w:r>
        <w:r w:rsidR="00C9166B">
          <w:rPr>
            <w:noProof/>
            <w:webHidden/>
          </w:rPr>
          <w:tab/>
        </w:r>
        <w:r w:rsidR="00C9166B">
          <w:rPr>
            <w:noProof/>
            <w:webHidden/>
          </w:rPr>
          <w:fldChar w:fldCharType="begin"/>
        </w:r>
        <w:r w:rsidR="00C9166B">
          <w:rPr>
            <w:noProof/>
            <w:webHidden/>
          </w:rPr>
          <w:instrText xml:space="preserve"> PAGEREF _Toc36752004 \h </w:instrText>
        </w:r>
        <w:r w:rsidR="00C9166B">
          <w:rPr>
            <w:noProof/>
            <w:webHidden/>
          </w:rPr>
        </w:r>
        <w:r w:rsidR="00C9166B">
          <w:rPr>
            <w:noProof/>
            <w:webHidden/>
          </w:rPr>
          <w:fldChar w:fldCharType="separate"/>
        </w:r>
        <w:r w:rsidR="00C9166B">
          <w:rPr>
            <w:noProof/>
            <w:webHidden/>
          </w:rPr>
          <w:t>31</w:t>
        </w:r>
        <w:r w:rsidR="00C9166B">
          <w:rPr>
            <w:noProof/>
            <w:webHidden/>
          </w:rPr>
          <w:fldChar w:fldCharType="end"/>
        </w:r>
      </w:hyperlink>
    </w:p>
    <w:p w14:paraId="0A21497E"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2005" w:history="1">
        <w:r w:rsidR="00C9166B" w:rsidRPr="00B83C92">
          <w:rPr>
            <w:rStyle w:val="Hyperlink"/>
            <w:noProof/>
          </w:rPr>
          <w:t>10. Methodology</w:t>
        </w:r>
        <w:r w:rsidR="00C9166B">
          <w:rPr>
            <w:noProof/>
            <w:webHidden/>
          </w:rPr>
          <w:tab/>
        </w:r>
        <w:r w:rsidR="00C9166B">
          <w:rPr>
            <w:noProof/>
            <w:webHidden/>
          </w:rPr>
          <w:fldChar w:fldCharType="begin"/>
        </w:r>
        <w:r w:rsidR="00C9166B">
          <w:rPr>
            <w:noProof/>
            <w:webHidden/>
          </w:rPr>
          <w:instrText xml:space="preserve"> PAGEREF _Toc36752005 \h </w:instrText>
        </w:r>
        <w:r w:rsidR="00C9166B">
          <w:rPr>
            <w:noProof/>
            <w:webHidden/>
          </w:rPr>
        </w:r>
        <w:r w:rsidR="00C9166B">
          <w:rPr>
            <w:noProof/>
            <w:webHidden/>
          </w:rPr>
          <w:fldChar w:fldCharType="separate"/>
        </w:r>
        <w:r w:rsidR="00C9166B">
          <w:rPr>
            <w:noProof/>
            <w:webHidden/>
          </w:rPr>
          <w:t>32</w:t>
        </w:r>
        <w:r w:rsidR="00C9166B">
          <w:rPr>
            <w:noProof/>
            <w:webHidden/>
          </w:rPr>
          <w:fldChar w:fldCharType="end"/>
        </w:r>
      </w:hyperlink>
    </w:p>
    <w:p w14:paraId="3A0D2677" w14:textId="77777777" w:rsidR="00C9166B" w:rsidRDefault="00196AA0">
      <w:pPr>
        <w:pStyle w:val="TOC3"/>
        <w:tabs>
          <w:tab w:val="left" w:pos="880"/>
          <w:tab w:val="right" w:leader="dot" w:pos="8296"/>
        </w:tabs>
        <w:rPr>
          <w:rFonts w:asciiTheme="minorHAnsi" w:eastAsiaTheme="minorEastAsia" w:hAnsiTheme="minorHAnsi"/>
          <w:noProof/>
          <w:sz w:val="22"/>
          <w:szCs w:val="20"/>
          <w:lang w:eastAsia="en-IN"/>
        </w:rPr>
      </w:pPr>
      <w:hyperlink w:anchor="_Toc36752006" w:history="1">
        <w:r w:rsidR="00C9166B" w:rsidRPr="00B83C92">
          <w:rPr>
            <w:rStyle w:val="Hyperlink"/>
            <w:rFonts w:eastAsia="Times New Roman" w:cs="Times New Roman"/>
            <w:b/>
            <w:bCs/>
            <w:noProof/>
            <w:lang w:val="en-US" w:bidi="ar-SA"/>
          </w:rPr>
          <w:t>A.</w:t>
        </w:r>
        <w:r w:rsidR="00C9166B">
          <w:rPr>
            <w:rFonts w:asciiTheme="minorHAnsi" w:eastAsiaTheme="minorEastAsia" w:hAnsiTheme="minorHAnsi"/>
            <w:noProof/>
            <w:sz w:val="22"/>
            <w:szCs w:val="20"/>
            <w:lang w:eastAsia="en-IN"/>
          </w:rPr>
          <w:tab/>
        </w:r>
        <w:r w:rsidR="00C9166B" w:rsidRPr="00B83C92">
          <w:rPr>
            <w:rStyle w:val="Hyperlink"/>
            <w:rFonts w:eastAsia="Times New Roman" w:cs="Times New Roman"/>
            <w:noProof/>
            <w:lang w:val="en-US" w:bidi="ar-SA"/>
          </w:rPr>
          <w:t>Research Method</w:t>
        </w:r>
        <w:r w:rsidR="00C9166B">
          <w:rPr>
            <w:noProof/>
            <w:webHidden/>
          </w:rPr>
          <w:tab/>
        </w:r>
        <w:r w:rsidR="00C9166B">
          <w:rPr>
            <w:noProof/>
            <w:webHidden/>
          </w:rPr>
          <w:fldChar w:fldCharType="begin"/>
        </w:r>
        <w:r w:rsidR="00C9166B">
          <w:rPr>
            <w:noProof/>
            <w:webHidden/>
          </w:rPr>
          <w:instrText xml:space="preserve"> PAGEREF _Toc36752006 \h </w:instrText>
        </w:r>
        <w:r w:rsidR="00C9166B">
          <w:rPr>
            <w:noProof/>
            <w:webHidden/>
          </w:rPr>
        </w:r>
        <w:r w:rsidR="00C9166B">
          <w:rPr>
            <w:noProof/>
            <w:webHidden/>
          </w:rPr>
          <w:fldChar w:fldCharType="separate"/>
        </w:r>
        <w:r w:rsidR="00C9166B">
          <w:rPr>
            <w:noProof/>
            <w:webHidden/>
          </w:rPr>
          <w:t>32</w:t>
        </w:r>
        <w:r w:rsidR="00C9166B">
          <w:rPr>
            <w:noProof/>
            <w:webHidden/>
          </w:rPr>
          <w:fldChar w:fldCharType="end"/>
        </w:r>
      </w:hyperlink>
    </w:p>
    <w:p w14:paraId="258965D8" w14:textId="77777777" w:rsidR="00C9166B" w:rsidRDefault="00196AA0">
      <w:pPr>
        <w:pStyle w:val="TOC3"/>
        <w:tabs>
          <w:tab w:val="left" w:pos="880"/>
          <w:tab w:val="right" w:leader="dot" w:pos="8296"/>
        </w:tabs>
        <w:rPr>
          <w:rFonts w:asciiTheme="minorHAnsi" w:eastAsiaTheme="minorEastAsia" w:hAnsiTheme="minorHAnsi"/>
          <w:noProof/>
          <w:sz w:val="22"/>
          <w:szCs w:val="20"/>
          <w:lang w:eastAsia="en-IN"/>
        </w:rPr>
      </w:pPr>
      <w:hyperlink w:anchor="_Toc36752007" w:history="1">
        <w:r w:rsidR="00C9166B" w:rsidRPr="00B83C92">
          <w:rPr>
            <w:rStyle w:val="Hyperlink"/>
            <w:rFonts w:eastAsia="Times New Roman" w:cs="Times New Roman"/>
            <w:b/>
            <w:bCs/>
            <w:noProof/>
            <w:lang w:val="en-US" w:bidi="ar-SA"/>
          </w:rPr>
          <w:t>B.</w:t>
        </w:r>
        <w:r w:rsidR="00C9166B">
          <w:rPr>
            <w:rFonts w:asciiTheme="minorHAnsi" w:eastAsiaTheme="minorEastAsia" w:hAnsiTheme="minorHAnsi"/>
            <w:noProof/>
            <w:sz w:val="22"/>
            <w:szCs w:val="20"/>
            <w:lang w:eastAsia="en-IN"/>
          </w:rPr>
          <w:tab/>
        </w:r>
        <w:r w:rsidR="00C9166B" w:rsidRPr="00B83C92">
          <w:rPr>
            <w:rStyle w:val="Hyperlink"/>
            <w:rFonts w:eastAsia="Times New Roman" w:cs="Times New Roman"/>
            <w:noProof/>
            <w:lang w:val="en-US" w:bidi="ar-SA"/>
          </w:rPr>
          <w:t>Research Design</w:t>
        </w:r>
        <w:r w:rsidR="00C9166B">
          <w:rPr>
            <w:noProof/>
            <w:webHidden/>
          </w:rPr>
          <w:tab/>
        </w:r>
        <w:r w:rsidR="00C9166B">
          <w:rPr>
            <w:noProof/>
            <w:webHidden/>
          </w:rPr>
          <w:fldChar w:fldCharType="begin"/>
        </w:r>
        <w:r w:rsidR="00C9166B">
          <w:rPr>
            <w:noProof/>
            <w:webHidden/>
          </w:rPr>
          <w:instrText xml:space="preserve"> PAGEREF _Toc36752007 \h </w:instrText>
        </w:r>
        <w:r w:rsidR="00C9166B">
          <w:rPr>
            <w:noProof/>
            <w:webHidden/>
          </w:rPr>
        </w:r>
        <w:r w:rsidR="00C9166B">
          <w:rPr>
            <w:noProof/>
            <w:webHidden/>
          </w:rPr>
          <w:fldChar w:fldCharType="separate"/>
        </w:r>
        <w:r w:rsidR="00C9166B">
          <w:rPr>
            <w:noProof/>
            <w:webHidden/>
          </w:rPr>
          <w:t>32</w:t>
        </w:r>
        <w:r w:rsidR="00C9166B">
          <w:rPr>
            <w:noProof/>
            <w:webHidden/>
          </w:rPr>
          <w:fldChar w:fldCharType="end"/>
        </w:r>
      </w:hyperlink>
    </w:p>
    <w:p w14:paraId="2314D54E"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2008" w:history="1">
        <w:r w:rsidR="00C9166B" w:rsidRPr="00B83C92">
          <w:rPr>
            <w:rStyle w:val="Hyperlink"/>
            <w:rFonts w:cs="Times New Roman"/>
            <w:noProof/>
          </w:rPr>
          <w:t>2 Correlation</w:t>
        </w:r>
        <w:r w:rsidR="00C9166B">
          <w:rPr>
            <w:noProof/>
            <w:webHidden/>
          </w:rPr>
          <w:tab/>
        </w:r>
        <w:r w:rsidR="00C9166B">
          <w:rPr>
            <w:noProof/>
            <w:webHidden/>
          </w:rPr>
          <w:fldChar w:fldCharType="begin"/>
        </w:r>
        <w:r w:rsidR="00C9166B">
          <w:rPr>
            <w:noProof/>
            <w:webHidden/>
          </w:rPr>
          <w:instrText xml:space="preserve"> PAGEREF _Toc36752008 \h </w:instrText>
        </w:r>
        <w:r w:rsidR="00C9166B">
          <w:rPr>
            <w:noProof/>
            <w:webHidden/>
          </w:rPr>
        </w:r>
        <w:r w:rsidR="00C9166B">
          <w:rPr>
            <w:noProof/>
            <w:webHidden/>
          </w:rPr>
          <w:fldChar w:fldCharType="separate"/>
        </w:r>
        <w:r w:rsidR="00C9166B">
          <w:rPr>
            <w:noProof/>
            <w:webHidden/>
          </w:rPr>
          <w:t>34</w:t>
        </w:r>
        <w:r w:rsidR="00C9166B">
          <w:rPr>
            <w:noProof/>
            <w:webHidden/>
          </w:rPr>
          <w:fldChar w:fldCharType="end"/>
        </w:r>
      </w:hyperlink>
    </w:p>
    <w:p w14:paraId="7147CFE6"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2009" w:history="1">
        <w:r w:rsidR="00C9166B" w:rsidRPr="00B83C92">
          <w:rPr>
            <w:rStyle w:val="Hyperlink"/>
            <w:noProof/>
          </w:rPr>
          <w:t>Conclusion</w:t>
        </w:r>
        <w:r w:rsidR="00C9166B">
          <w:rPr>
            <w:noProof/>
            <w:webHidden/>
          </w:rPr>
          <w:tab/>
        </w:r>
        <w:r w:rsidR="00C9166B">
          <w:rPr>
            <w:noProof/>
            <w:webHidden/>
          </w:rPr>
          <w:fldChar w:fldCharType="begin"/>
        </w:r>
        <w:r w:rsidR="00C9166B">
          <w:rPr>
            <w:noProof/>
            <w:webHidden/>
          </w:rPr>
          <w:instrText xml:space="preserve"> PAGEREF _Toc36752009 \h </w:instrText>
        </w:r>
        <w:r w:rsidR="00C9166B">
          <w:rPr>
            <w:noProof/>
            <w:webHidden/>
          </w:rPr>
        </w:r>
        <w:r w:rsidR="00C9166B">
          <w:rPr>
            <w:noProof/>
            <w:webHidden/>
          </w:rPr>
          <w:fldChar w:fldCharType="separate"/>
        </w:r>
        <w:r w:rsidR="00C9166B">
          <w:rPr>
            <w:noProof/>
            <w:webHidden/>
          </w:rPr>
          <w:t>35</w:t>
        </w:r>
        <w:r w:rsidR="00C9166B">
          <w:rPr>
            <w:noProof/>
            <w:webHidden/>
          </w:rPr>
          <w:fldChar w:fldCharType="end"/>
        </w:r>
      </w:hyperlink>
    </w:p>
    <w:p w14:paraId="6AFF9E18"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2010" w:history="1">
        <w:r w:rsidR="00C9166B" w:rsidRPr="00B83C92">
          <w:rPr>
            <w:rStyle w:val="Hyperlink"/>
            <w:noProof/>
          </w:rPr>
          <w:t>11. Annexures to the Report</w:t>
        </w:r>
        <w:r w:rsidR="00C9166B">
          <w:rPr>
            <w:noProof/>
            <w:webHidden/>
          </w:rPr>
          <w:tab/>
        </w:r>
        <w:r w:rsidR="00C9166B">
          <w:rPr>
            <w:noProof/>
            <w:webHidden/>
          </w:rPr>
          <w:fldChar w:fldCharType="begin"/>
        </w:r>
        <w:r w:rsidR="00C9166B">
          <w:rPr>
            <w:noProof/>
            <w:webHidden/>
          </w:rPr>
          <w:instrText xml:space="preserve"> PAGEREF _Toc36752010 \h </w:instrText>
        </w:r>
        <w:r w:rsidR="00C9166B">
          <w:rPr>
            <w:noProof/>
            <w:webHidden/>
          </w:rPr>
        </w:r>
        <w:r w:rsidR="00C9166B">
          <w:rPr>
            <w:noProof/>
            <w:webHidden/>
          </w:rPr>
          <w:fldChar w:fldCharType="separate"/>
        </w:r>
        <w:r w:rsidR="00C9166B">
          <w:rPr>
            <w:noProof/>
            <w:webHidden/>
          </w:rPr>
          <w:t>37</w:t>
        </w:r>
        <w:r w:rsidR="00C9166B">
          <w:rPr>
            <w:noProof/>
            <w:webHidden/>
          </w:rPr>
          <w:fldChar w:fldCharType="end"/>
        </w:r>
      </w:hyperlink>
    </w:p>
    <w:p w14:paraId="6B60DC27"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2011" w:history="1">
        <w:r w:rsidR="00C9166B" w:rsidRPr="00B83C92">
          <w:rPr>
            <w:rStyle w:val="Hyperlink"/>
            <w:rFonts w:cs="Times New Roman"/>
            <w:noProof/>
          </w:rPr>
          <w:t>Annexures I- Financials of all five significant competitors</w:t>
        </w:r>
        <w:r w:rsidR="00C9166B">
          <w:rPr>
            <w:noProof/>
            <w:webHidden/>
          </w:rPr>
          <w:tab/>
        </w:r>
        <w:r w:rsidR="00C9166B">
          <w:rPr>
            <w:noProof/>
            <w:webHidden/>
          </w:rPr>
          <w:fldChar w:fldCharType="begin"/>
        </w:r>
        <w:r w:rsidR="00C9166B">
          <w:rPr>
            <w:noProof/>
            <w:webHidden/>
          </w:rPr>
          <w:instrText xml:space="preserve"> PAGEREF _Toc36752011 \h </w:instrText>
        </w:r>
        <w:r w:rsidR="00C9166B">
          <w:rPr>
            <w:noProof/>
            <w:webHidden/>
          </w:rPr>
        </w:r>
        <w:r w:rsidR="00C9166B">
          <w:rPr>
            <w:noProof/>
            <w:webHidden/>
          </w:rPr>
          <w:fldChar w:fldCharType="separate"/>
        </w:r>
        <w:r w:rsidR="00C9166B">
          <w:rPr>
            <w:noProof/>
            <w:webHidden/>
          </w:rPr>
          <w:t>37</w:t>
        </w:r>
        <w:r w:rsidR="00C9166B">
          <w:rPr>
            <w:noProof/>
            <w:webHidden/>
          </w:rPr>
          <w:fldChar w:fldCharType="end"/>
        </w:r>
      </w:hyperlink>
    </w:p>
    <w:p w14:paraId="7DEAB17C" w14:textId="77777777" w:rsidR="00C9166B" w:rsidRDefault="00196AA0">
      <w:pPr>
        <w:pStyle w:val="TOC2"/>
        <w:tabs>
          <w:tab w:val="right" w:leader="dot" w:pos="8296"/>
        </w:tabs>
        <w:rPr>
          <w:rFonts w:asciiTheme="minorHAnsi" w:eastAsiaTheme="minorEastAsia" w:hAnsiTheme="minorHAnsi"/>
          <w:noProof/>
          <w:sz w:val="22"/>
          <w:szCs w:val="20"/>
          <w:lang w:eastAsia="en-IN"/>
        </w:rPr>
      </w:pPr>
      <w:hyperlink w:anchor="_Toc36752012" w:history="1">
        <w:r w:rsidR="00C9166B" w:rsidRPr="00B83C92">
          <w:rPr>
            <w:rStyle w:val="Hyperlink"/>
            <w:rFonts w:cs="Times New Roman"/>
            <w:noProof/>
          </w:rPr>
          <w:t>Annexures II: Questionnaire on a survey of the key ratios</w:t>
        </w:r>
        <w:r w:rsidR="00C9166B">
          <w:rPr>
            <w:noProof/>
            <w:webHidden/>
          </w:rPr>
          <w:tab/>
        </w:r>
        <w:r w:rsidR="00C9166B">
          <w:rPr>
            <w:noProof/>
            <w:webHidden/>
          </w:rPr>
          <w:fldChar w:fldCharType="begin"/>
        </w:r>
        <w:r w:rsidR="00C9166B">
          <w:rPr>
            <w:noProof/>
            <w:webHidden/>
          </w:rPr>
          <w:instrText xml:space="preserve"> PAGEREF _Toc36752012 \h </w:instrText>
        </w:r>
        <w:r w:rsidR="00C9166B">
          <w:rPr>
            <w:noProof/>
            <w:webHidden/>
          </w:rPr>
        </w:r>
        <w:r w:rsidR="00C9166B">
          <w:rPr>
            <w:noProof/>
            <w:webHidden/>
          </w:rPr>
          <w:fldChar w:fldCharType="separate"/>
        </w:r>
        <w:r w:rsidR="00C9166B">
          <w:rPr>
            <w:noProof/>
            <w:webHidden/>
          </w:rPr>
          <w:t>42</w:t>
        </w:r>
        <w:r w:rsidR="00C9166B">
          <w:rPr>
            <w:noProof/>
            <w:webHidden/>
          </w:rPr>
          <w:fldChar w:fldCharType="end"/>
        </w:r>
      </w:hyperlink>
    </w:p>
    <w:p w14:paraId="2FA7E2DA" w14:textId="77777777" w:rsidR="00C9166B" w:rsidRDefault="00196AA0">
      <w:pPr>
        <w:pStyle w:val="TOC1"/>
        <w:tabs>
          <w:tab w:val="right" w:leader="dot" w:pos="8296"/>
        </w:tabs>
        <w:rPr>
          <w:rFonts w:asciiTheme="minorHAnsi" w:eastAsiaTheme="minorEastAsia" w:hAnsiTheme="minorHAnsi"/>
          <w:noProof/>
          <w:sz w:val="22"/>
          <w:szCs w:val="20"/>
          <w:lang w:eastAsia="en-IN"/>
        </w:rPr>
      </w:pPr>
      <w:hyperlink w:anchor="_Toc36752013" w:history="1">
        <w:r w:rsidR="00C9166B" w:rsidRPr="00B83C92">
          <w:rPr>
            <w:rStyle w:val="Hyperlink"/>
            <w:noProof/>
          </w:rPr>
          <w:t>12. References</w:t>
        </w:r>
        <w:r w:rsidR="00C9166B">
          <w:rPr>
            <w:noProof/>
            <w:webHidden/>
          </w:rPr>
          <w:tab/>
        </w:r>
        <w:r w:rsidR="00C9166B">
          <w:rPr>
            <w:noProof/>
            <w:webHidden/>
          </w:rPr>
          <w:fldChar w:fldCharType="begin"/>
        </w:r>
        <w:r w:rsidR="00C9166B">
          <w:rPr>
            <w:noProof/>
            <w:webHidden/>
          </w:rPr>
          <w:instrText xml:space="preserve"> PAGEREF _Toc36752013 \h </w:instrText>
        </w:r>
        <w:r w:rsidR="00C9166B">
          <w:rPr>
            <w:noProof/>
            <w:webHidden/>
          </w:rPr>
        </w:r>
        <w:r w:rsidR="00C9166B">
          <w:rPr>
            <w:noProof/>
            <w:webHidden/>
          </w:rPr>
          <w:fldChar w:fldCharType="separate"/>
        </w:r>
        <w:r w:rsidR="00C9166B">
          <w:rPr>
            <w:noProof/>
            <w:webHidden/>
          </w:rPr>
          <w:t>44</w:t>
        </w:r>
        <w:r w:rsidR="00C9166B">
          <w:rPr>
            <w:noProof/>
            <w:webHidden/>
          </w:rPr>
          <w:fldChar w:fldCharType="end"/>
        </w:r>
      </w:hyperlink>
    </w:p>
    <w:p w14:paraId="56B681F6" w14:textId="77777777" w:rsidR="006564AA" w:rsidRDefault="00037F74">
      <w:pPr>
        <w:tabs>
          <w:tab w:val="right" w:pos="8306"/>
        </w:tabs>
        <w:rPr>
          <w:b/>
          <w:bCs/>
          <w:noProof/>
        </w:rPr>
      </w:pPr>
      <w:r>
        <w:rPr>
          <w:b/>
          <w:bCs/>
          <w:noProof/>
        </w:rPr>
        <w:fldChar w:fldCharType="end"/>
      </w:r>
    </w:p>
    <w:p w14:paraId="32A4A01F" w14:textId="77777777" w:rsidR="006564AA" w:rsidRDefault="00037F74">
      <w:pPr>
        <w:pStyle w:val="Heading1"/>
        <w:numPr>
          <w:ilvl w:val="0"/>
          <w:numId w:val="7"/>
        </w:numPr>
        <w:spacing w:before="0"/>
        <w:rPr>
          <w:szCs w:val="36"/>
        </w:rPr>
      </w:pPr>
      <w:bookmarkStart w:id="2" w:name="_Toc36751984"/>
      <w:r>
        <w:rPr>
          <w:szCs w:val="36"/>
        </w:rPr>
        <w:lastRenderedPageBreak/>
        <w:t>Introduction</w:t>
      </w:r>
      <w:bookmarkEnd w:id="2"/>
    </w:p>
    <w:p w14:paraId="709F925C" w14:textId="77777777" w:rsidR="006564AA" w:rsidRDefault="00037F74" w:rsidP="006F196C">
      <w:pPr>
        <w:spacing w:line="360" w:lineRule="auto"/>
        <w:jc w:val="both"/>
      </w:pPr>
      <w:r>
        <w:t>Oil and Gas industry is one of the most critical industry which affect the health of the economy both globally and nationwide because of its unique combination of attributes, i.e. oil and gas are the global commodities. As they are shipped all over the world, global supply and demand determine the prices of these commodities. Due to the irregular accumulation of oil reserves around the globe, the reserves are restricted to some countries. The other countries not meeting per capita demand for oil reserves are bound to import from the countries having an abundance of oil reserves. Increase in the population leading to higher consumption of fuel and petroleum products, further increasing dependence on Imports. The following are the major importers and exporters of crude oil:</w:t>
      </w:r>
    </w:p>
    <w:p w14:paraId="34BED01B" w14:textId="77777777" w:rsidR="006F196C" w:rsidRPr="006F196C" w:rsidRDefault="006F196C" w:rsidP="006F196C">
      <w:pPr>
        <w:spacing w:line="360" w:lineRule="auto"/>
        <w:jc w:val="both"/>
      </w:pPr>
      <w:r>
        <w:t>Figure 1: Importers</w:t>
      </w:r>
    </w:p>
    <w:p w14:paraId="174258E1" w14:textId="77777777" w:rsidR="006564AA" w:rsidRDefault="00037F74">
      <w:pPr>
        <w:spacing w:line="360" w:lineRule="auto"/>
        <w:jc w:val="both"/>
        <w:rPr>
          <w:rFonts w:cs="Times New Roman"/>
          <w:szCs w:val="24"/>
        </w:rPr>
      </w:pPr>
      <w:r>
        <w:rPr>
          <w:rFonts w:cs="Times New Roman"/>
          <w:noProof/>
        </w:rPr>
        <w:drawing>
          <wp:inline distT="0" distB="0" distL="114300" distR="114300" wp14:anchorId="0E8A7507" wp14:editId="70B83A59">
            <wp:extent cx="4465320" cy="2346960"/>
            <wp:effectExtent l="0" t="0" r="11430" b="15240"/>
            <wp:docPr id="1027"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5864A3" w14:textId="77777777" w:rsidR="006564AA" w:rsidRDefault="00037F74">
      <w:pPr>
        <w:rPr>
          <w:rFonts w:cs="Times New Roman"/>
          <w:sz w:val="20"/>
        </w:rPr>
      </w:pPr>
      <w:r>
        <w:rPr>
          <w:rFonts w:cs="Times New Roman"/>
          <w:sz w:val="20"/>
        </w:rPr>
        <w:fldChar w:fldCharType="begin"/>
      </w:r>
      <w:r>
        <w:rPr>
          <w:rFonts w:cs="Times New Roman"/>
          <w:sz w:val="20"/>
        </w:rPr>
        <w:instrText xml:space="preserve">CITATION Sou \l 16393 </w:instrText>
      </w:r>
      <w:r>
        <w:rPr>
          <w:rFonts w:cs="Times New Roman"/>
          <w:sz w:val="20"/>
        </w:rPr>
        <w:fldChar w:fldCharType="separate"/>
      </w:r>
      <w:r>
        <w:rPr>
          <w:rFonts w:cs="Times New Roman"/>
          <w:noProof/>
          <w:sz w:val="20"/>
        </w:rPr>
        <w:t>(Source-worldstopexports.com, 2019)</w:t>
      </w:r>
      <w:r>
        <w:rPr>
          <w:rFonts w:cs="Times New Roman"/>
          <w:sz w:val="20"/>
        </w:rPr>
        <w:fldChar w:fldCharType="end"/>
      </w:r>
    </w:p>
    <w:p w14:paraId="4519A432" w14:textId="77777777" w:rsidR="006564AA" w:rsidRDefault="006564AA">
      <w:pPr>
        <w:pStyle w:val="Caption"/>
        <w:jc w:val="both"/>
        <w:rPr>
          <w:szCs w:val="24"/>
        </w:rPr>
      </w:pPr>
    </w:p>
    <w:p w14:paraId="03BCE9FC" w14:textId="77777777" w:rsidR="006F196C" w:rsidRPr="006F196C" w:rsidRDefault="006F196C" w:rsidP="006F196C">
      <w:r>
        <w:t>Figure 2: Exporters</w:t>
      </w:r>
    </w:p>
    <w:p w14:paraId="01691788" w14:textId="77777777" w:rsidR="006564AA" w:rsidRDefault="00037F74">
      <w:pPr>
        <w:rPr>
          <w:rFonts w:cs="Times New Roman"/>
        </w:rPr>
      </w:pPr>
      <w:r>
        <w:rPr>
          <w:rFonts w:cs="Times New Roman"/>
          <w:noProof/>
        </w:rPr>
        <w:drawing>
          <wp:anchor distT="0" distB="0" distL="114300" distR="114300" simplePos="0" relativeHeight="251662336" behindDoc="0" locked="0" layoutInCell="1" allowOverlap="1" wp14:anchorId="66A359FF" wp14:editId="23C07A9C">
            <wp:simplePos x="0" y="0"/>
            <wp:positionH relativeFrom="margin">
              <wp:align>left</wp:align>
            </wp:positionH>
            <wp:positionV relativeFrom="paragraph">
              <wp:posOffset>4445</wp:posOffset>
            </wp:positionV>
            <wp:extent cx="4526280" cy="2225040"/>
            <wp:effectExtent l="0" t="0" r="7620" b="3810"/>
            <wp:wrapSquare wrapText="bothSides"/>
            <wp:docPr id="1029"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37B86B9D" w14:textId="77777777" w:rsidR="006564AA" w:rsidRDefault="006564AA">
      <w:pPr>
        <w:rPr>
          <w:rFonts w:cs="Times New Roman"/>
        </w:rPr>
      </w:pPr>
    </w:p>
    <w:p w14:paraId="39052A26" w14:textId="77777777" w:rsidR="006564AA" w:rsidRDefault="006564AA">
      <w:pPr>
        <w:rPr>
          <w:rFonts w:cs="Times New Roman"/>
        </w:rPr>
      </w:pPr>
    </w:p>
    <w:p w14:paraId="162EB705" w14:textId="77777777" w:rsidR="006564AA" w:rsidRDefault="006564AA">
      <w:pPr>
        <w:rPr>
          <w:rFonts w:cs="Times New Roman"/>
        </w:rPr>
      </w:pPr>
    </w:p>
    <w:p w14:paraId="192FEBAC" w14:textId="77777777" w:rsidR="006564AA" w:rsidRDefault="006564AA">
      <w:pPr>
        <w:rPr>
          <w:rFonts w:cs="Times New Roman"/>
        </w:rPr>
      </w:pPr>
    </w:p>
    <w:p w14:paraId="5E70E971" w14:textId="77777777" w:rsidR="006564AA" w:rsidRDefault="006564AA">
      <w:pPr>
        <w:rPr>
          <w:rFonts w:cs="Times New Roman"/>
        </w:rPr>
      </w:pPr>
    </w:p>
    <w:p w14:paraId="2CB88A97" w14:textId="77777777" w:rsidR="006564AA" w:rsidRDefault="006564AA">
      <w:pPr>
        <w:rPr>
          <w:rFonts w:cs="Times New Roman"/>
        </w:rPr>
      </w:pPr>
    </w:p>
    <w:p w14:paraId="3EA983F8" w14:textId="77777777" w:rsidR="006564AA" w:rsidRDefault="006564AA">
      <w:pPr>
        <w:rPr>
          <w:rFonts w:cs="Times New Roman"/>
        </w:rPr>
      </w:pPr>
    </w:p>
    <w:p w14:paraId="08389504" w14:textId="77777777" w:rsidR="006564AA" w:rsidRDefault="006564AA">
      <w:pPr>
        <w:rPr>
          <w:rFonts w:cs="Times New Roman"/>
        </w:rPr>
      </w:pPr>
    </w:p>
    <w:p w14:paraId="7DB97EB6" w14:textId="77777777" w:rsidR="006564AA" w:rsidRDefault="006564AA">
      <w:pPr>
        <w:rPr>
          <w:rFonts w:cs="Times New Roman"/>
        </w:rPr>
      </w:pPr>
    </w:p>
    <w:p w14:paraId="503EF82A" w14:textId="77777777" w:rsidR="006564AA" w:rsidRDefault="006564AA">
      <w:pPr>
        <w:rPr>
          <w:rFonts w:cs="Times New Roman"/>
        </w:rPr>
      </w:pPr>
    </w:p>
    <w:p w14:paraId="1AC33A67" w14:textId="77777777" w:rsidR="006564AA" w:rsidRDefault="006564AA">
      <w:pPr>
        <w:rPr>
          <w:rFonts w:cs="Times New Roman"/>
        </w:rPr>
      </w:pPr>
    </w:p>
    <w:p w14:paraId="4EA43E69" w14:textId="77777777" w:rsidR="006564AA" w:rsidRDefault="006564AA">
      <w:pPr>
        <w:rPr>
          <w:rFonts w:cs="Times New Roman"/>
        </w:rPr>
      </w:pPr>
    </w:p>
    <w:p w14:paraId="0DFB1671" w14:textId="77777777" w:rsidR="006564AA" w:rsidRDefault="00037F74">
      <w:pPr>
        <w:spacing w:line="360" w:lineRule="auto"/>
        <w:jc w:val="both"/>
        <w:rPr>
          <w:rFonts w:cs="Times New Roman"/>
          <w:sz w:val="20"/>
        </w:rPr>
      </w:pPr>
      <w:r>
        <w:rPr>
          <w:rFonts w:cs="Times New Roman"/>
          <w:sz w:val="20"/>
        </w:rPr>
        <w:fldChar w:fldCharType="begin"/>
      </w:r>
      <w:r>
        <w:rPr>
          <w:rFonts w:cs="Times New Roman"/>
          <w:sz w:val="20"/>
        </w:rPr>
        <w:instrText xml:space="preserve">CITATION Sou19 \l 16393 </w:instrText>
      </w:r>
      <w:r>
        <w:rPr>
          <w:rFonts w:cs="Times New Roman"/>
          <w:sz w:val="20"/>
        </w:rPr>
        <w:fldChar w:fldCharType="separate"/>
      </w:r>
      <w:r>
        <w:rPr>
          <w:rFonts w:cs="Times New Roman"/>
          <w:noProof/>
          <w:sz w:val="20"/>
        </w:rPr>
        <w:t>(Source-worldstopexports.com, 2019)</w:t>
      </w:r>
      <w:r>
        <w:rPr>
          <w:rFonts w:cs="Times New Roman"/>
          <w:sz w:val="20"/>
        </w:rPr>
        <w:fldChar w:fldCharType="end"/>
      </w:r>
    </w:p>
    <w:p w14:paraId="7498ADC9" w14:textId="77777777" w:rsidR="006564AA" w:rsidRDefault="00037F74">
      <w:pPr>
        <w:pStyle w:val="Heading2"/>
        <w:spacing w:before="0"/>
        <w:rPr>
          <w:rFonts w:cs="Times New Roman"/>
        </w:rPr>
      </w:pPr>
      <w:bookmarkStart w:id="3" w:name="_Toc36751985"/>
      <w:r>
        <w:rPr>
          <w:rFonts w:cs="Times New Roman"/>
        </w:rPr>
        <w:lastRenderedPageBreak/>
        <w:t>1.1 OPEC and Non-OPEC countries</w:t>
      </w:r>
      <w:bookmarkEnd w:id="3"/>
    </w:p>
    <w:p w14:paraId="204FF5D4" w14:textId="77777777" w:rsidR="006564AA" w:rsidRDefault="00037F74">
      <w:pPr>
        <w:spacing w:after="100" w:afterAutospacing="1" w:line="360" w:lineRule="auto"/>
        <w:jc w:val="both"/>
        <w:rPr>
          <w:rFonts w:cs="Times New Roman"/>
          <w:szCs w:val="24"/>
        </w:rPr>
      </w:pPr>
      <w:r>
        <w:rPr>
          <w:rFonts w:cs="Times New Roman"/>
          <w:szCs w:val="24"/>
        </w:rPr>
        <w:t>The Organization of Petroleum Exporting Countries is a permanent intergovernmental organization. Currently, there are 14 countries. The organization aims to coordinate, unify the petroleum policies and stabilize the oil markets to provide an efficient, economic and regular supply of petroleum to consumers. According to the oil and gas technical report, 79.4% of oil reserves are locating in OPEC member countries, with the bulk of oil reserves in the Middle East. OPEC produces 42% of the world's crude oil output. The OPEC tries to influence the prices through its price volume strategy- the absence of sources of energy and a lack of a viable economic alternative. The cartel has the world's lowest barrel production cost.</w:t>
      </w:r>
    </w:p>
    <w:p w14:paraId="36967898" w14:textId="77777777" w:rsidR="006564AA" w:rsidRDefault="00037F74">
      <w:pPr>
        <w:spacing w:after="100" w:afterAutospacing="1" w:line="360" w:lineRule="auto"/>
        <w:jc w:val="both"/>
        <w:rPr>
          <w:rFonts w:cs="Times New Roman"/>
          <w:szCs w:val="24"/>
        </w:rPr>
      </w:pPr>
      <w:r>
        <w:rPr>
          <w:rFonts w:cs="Times New Roman"/>
          <w:szCs w:val="24"/>
        </w:rPr>
        <w:t xml:space="preserve">Non-OPEC countries are countries that hold the world's Oil production outside OPEC. Non-OPEC countries such as the USA and Russia are the primary producer of oil-producing 13000-18000 barrels per day. These countries are not bound by the agreements of OPEC and profoundly influence the prices of oil. </w:t>
      </w:r>
    </w:p>
    <w:p w14:paraId="459D29FF" w14:textId="77777777" w:rsidR="006564AA" w:rsidRDefault="00037F74">
      <w:pPr>
        <w:pStyle w:val="Heading2"/>
      </w:pPr>
      <w:bookmarkStart w:id="4" w:name="_Toc36751986"/>
      <w:r>
        <w:t>1.2 Indian Economy</w:t>
      </w:r>
      <w:bookmarkEnd w:id="4"/>
    </w:p>
    <w:p w14:paraId="3961001E" w14:textId="77777777" w:rsidR="006F196C" w:rsidRDefault="00037F74" w:rsidP="006F196C">
      <w:pPr>
        <w:spacing w:after="100" w:afterAutospacing="1" w:line="360" w:lineRule="auto"/>
        <w:jc w:val="both"/>
        <w:rPr>
          <w:rFonts w:cs="Times New Roman"/>
          <w:szCs w:val="24"/>
        </w:rPr>
      </w:pPr>
      <w:r>
        <w:rPr>
          <w:rFonts w:cs="Times New Roman"/>
          <w:szCs w:val="24"/>
        </w:rPr>
        <w:t>The Oil and Gas Industry is classified in Upstream (Production), Downstream (Refining), and Midstream (Operational) segments, where India has estimated Crude Oil Reserves of 594.49 Million Metric tonnes. World’s Oil Production estimates to 2.92 Lac Million barrels out of which, Indian Oil Industry accounts for 0.92%, i.e., 2398.05 Million Barrels Production. India has natural gas production of 32.06 Billion Cubic Meters (BCM). Annual oil consumption is 4.69 million per day, and natural gas is 54.20 BCM. Key players, including the public sector and private sector, are actively involved in the oil and gas industry. Private companies own 35.36% of the total refining capacity of 249.40 m, whereas, State-owned ONGC dominates the upstream segment accounting for 58.26% of the country's total output (FY20</w:t>
      </w:r>
      <w:r w:rsidR="00CE6604">
        <w:rPr>
          <w:rFonts w:cs="Times New Roman"/>
          <w:szCs w:val="24"/>
        </w:rPr>
        <w:t>)</w:t>
      </w:r>
    </w:p>
    <w:p w14:paraId="594E48A0" w14:textId="77777777" w:rsidR="005A2A84" w:rsidRDefault="005A2A84">
      <w:pPr>
        <w:rPr>
          <w:rFonts w:cs="Times New Roman"/>
          <w:szCs w:val="24"/>
        </w:rPr>
      </w:pPr>
      <w:r>
        <w:rPr>
          <w:rFonts w:cs="Times New Roman"/>
          <w:szCs w:val="24"/>
        </w:rPr>
        <w:br w:type="page"/>
      </w:r>
    </w:p>
    <w:p w14:paraId="2B451823" w14:textId="77777777" w:rsidR="005A2A84" w:rsidRPr="00CE6604" w:rsidRDefault="005A2A84" w:rsidP="006F196C">
      <w:pPr>
        <w:spacing w:after="100" w:afterAutospacing="1" w:line="360" w:lineRule="auto"/>
        <w:jc w:val="both"/>
        <w:rPr>
          <w:rFonts w:cs="Times New Roman"/>
          <w:szCs w:val="24"/>
        </w:rPr>
      </w:pPr>
    </w:p>
    <w:p w14:paraId="14BBD3C7" w14:textId="77777777" w:rsidR="006564AA" w:rsidRPr="00F108DF" w:rsidRDefault="00037F74" w:rsidP="00F108DF">
      <w:pPr>
        <w:spacing w:after="100" w:afterAutospacing="1" w:line="360" w:lineRule="auto"/>
        <w:rPr>
          <w:rFonts w:cs="Times New Roman"/>
          <w:noProof/>
        </w:rPr>
      </w:pPr>
      <w:r>
        <w:rPr>
          <w:rFonts w:cs="Times New Roman"/>
        </w:rPr>
        <w:fldChar w:fldCharType="begin"/>
      </w:r>
      <w:r>
        <w:rPr>
          <w:rFonts w:cs="Times New Roman"/>
        </w:rPr>
        <w:instrText xml:space="preserve"> CITATION IOC19 \l 16393 </w:instrText>
      </w:r>
      <w:r>
        <w:rPr>
          <w:rFonts w:cs="Times New Roman"/>
        </w:rPr>
        <w:fldChar w:fldCharType="separate"/>
      </w:r>
      <w:r>
        <w:rPr>
          <w:rFonts w:cs="Times New Roman"/>
          <w:noProof/>
        </w:rPr>
        <w:t xml:space="preserve"> </w:t>
      </w:r>
      <w:r w:rsidR="006F196C">
        <w:rPr>
          <w:rFonts w:cs="Times New Roman"/>
          <w:noProof/>
        </w:rPr>
        <w:t>Figure 3: Oil and Gas Production in India</w:t>
      </w:r>
      <w:r w:rsidR="006F196C">
        <w:rPr>
          <w:rFonts w:cs="Times New Roman"/>
          <w:noProof/>
          <w:szCs w:val="24"/>
        </w:rPr>
        <w:drawing>
          <wp:inline distT="0" distB="0" distL="114300" distR="114300" wp14:anchorId="2A2C6686" wp14:editId="0465F0D5">
            <wp:extent cx="5212080" cy="3604260"/>
            <wp:effectExtent l="0" t="0" r="7620" b="15240"/>
            <wp:docPr id="1031"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57185D">
        <w:rPr>
          <w:rFonts w:cs="Times New Roman"/>
          <w:noProof/>
          <w:sz w:val="20"/>
          <w:szCs w:val="16"/>
        </w:rPr>
        <w:t xml:space="preserve">(IOCL Annual Report, 2018-19) </w:t>
      </w:r>
      <w:r>
        <w:rPr>
          <w:rFonts w:cs="Times New Roman"/>
        </w:rPr>
        <w:fldChar w:fldCharType="end"/>
      </w:r>
    </w:p>
    <w:p w14:paraId="04B843B3" w14:textId="77777777" w:rsidR="006564AA" w:rsidRDefault="00037F74" w:rsidP="008B1140">
      <w:pPr>
        <w:pStyle w:val="Heading1"/>
      </w:pPr>
      <w:bookmarkStart w:id="5" w:name="_Toc36751987"/>
      <w:r>
        <w:t>2. Literature Review</w:t>
      </w:r>
      <w:bookmarkEnd w:id="5"/>
    </w:p>
    <w:p w14:paraId="2C09EBAB" w14:textId="77777777" w:rsidR="006564AA" w:rsidRDefault="00037F74">
      <w:pPr>
        <w:spacing w:line="360" w:lineRule="auto"/>
        <w:jc w:val="both"/>
        <w:rPr>
          <w:rFonts w:cs="Times New Roman"/>
          <w:szCs w:val="24"/>
        </w:rPr>
      </w:pPr>
      <w:r>
        <w:rPr>
          <w:rFonts w:cs="Times New Roman"/>
          <w:szCs w:val="24"/>
        </w:rPr>
        <w:t>Since the global financial recession from the second half of 2008, worldwide oil companies are facing a severe economic environment, which had shown a steep fall in energy investment, weakening final demand and falling cashflows. The same countries that pushed up the price of oil in 2008 with their ravenous desire helped bring oil prices down in 2014. China, whose rapid growth and an unquenchable thirst for oil declined.</w:t>
      </w:r>
    </w:p>
    <w:p w14:paraId="13A2B718" w14:textId="77777777" w:rsidR="006564AA" w:rsidRDefault="00037F74">
      <w:pPr>
        <w:spacing w:line="360" w:lineRule="auto"/>
        <w:jc w:val="both"/>
        <w:rPr>
          <w:rFonts w:cs="Times New Roman"/>
          <w:szCs w:val="24"/>
        </w:rPr>
      </w:pPr>
      <w:r>
        <w:rPr>
          <w:rFonts w:cs="Times New Roman"/>
          <w:szCs w:val="24"/>
        </w:rPr>
        <w:t>Oil prices crashed more than 9% as major producing nations failed to agree on supply cuts aimed at addressing the collapse in global demand caused by the coronavirus outbreak.</w:t>
      </w:r>
      <w:r w:rsidR="00876A28">
        <w:rPr>
          <w:rFonts w:cs="Times New Roman"/>
          <w:szCs w:val="24"/>
        </w:rPr>
        <w:t xml:space="preserve"> </w:t>
      </w:r>
      <w:r>
        <w:rPr>
          <w:rFonts w:cs="Times New Roman"/>
          <w:szCs w:val="24"/>
        </w:rPr>
        <w:t>At the same time, along with crisis, the oil and gas industry had undergone through series of events associated with many environmental, social and political issues such as oil spills, civil unrest in some region as the Middle East and Russia.</w:t>
      </w:r>
    </w:p>
    <w:p w14:paraId="6456E17E" w14:textId="77777777" w:rsidR="006564AA" w:rsidRDefault="00037F74">
      <w:pPr>
        <w:spacing w:line="360" w:lineRule="auto"/>
        <w:jc w:val="both"/>
        <w:rPr>
          <w:rFonts w:cs="Times New Roman"/>
          <w:szCs w:val="24"/>
        </w:rPr>
      </w:pPr>
      <w:r>
        <w:rPr>
          <w:rFonts w:cs="Times New Roman"/>
          <w:szCs w:val="24"/>
        </w:rPr>
        <w:t xml:space="preserve">The main subject for discussion is the effect of Crude oil prices on macroeconomics, the impact of the stock return on the market. Today, the impact of crude oil prices on </w:t>
      </w:r>
      <w:r>
        <w:rPr>
          <w:rFonts w:cs="Times New Roman"/>
          <w:szCs w:val="24"/>
        </w:rPr>
        <w:lastRenderedPageBreak/>
        <w:t>the economy is known by numerous studies each is developing a special relationship between costs, economic and financial factors.</w:t>
      </w:r>
    </w:p>
    <w:p w14:paraId="74158D71" w14:textId="77777777" w:rsidR="006564AA" w:rsidRDefault="00037F74" w:rsidP="002F015C">
      <w:pPr>
        <w:spacing w:line="360" w:lineRule="auto"/>
        <w:jc w:val="both"/>
      </w:pPr>
      <w:r>
        <w:rPr>
          <w:rFonts w:cs="Times New Roman"/>
          <w:szCs w:val="24"/>
        </w:rPr>
        <w:t xml:space="preserve">On the other hand, concerned to oil producers, it was noticed that limited studies are devoted to integrated oil company’s performance where </w:t>
      </w:r>
      <w:proofErr w:type="spellStart"/>
      <w:r>
        <w:rPr>
          <w:rFonts w:cs="Times New Roman"/>
          <w:szCs w:val="24"/>
        </w:rPr>
        <w:t>Lameira</w:t>
      </w:r>
      <w:proofErr w:type="spellEnd"/>
      <w:r>
        <w:rPr>
          <w:rFonts w:cs="Times New Roman"/>
          <w:szCs w:val="24"/>
        </w:rPr>
        <w:t xml:space="preserve"> (2012) and Olivier (2014) conducted studies by applying standard financial ratios and multiple regression analysis about price volatility showing the negative effect of the financial crisis on oil companies. The same prospects have also been shared by Simkins B.J(2013), where he believes that "any other analysis in the oil and gas industry is grossly inadequate unless the energy ratio analysis is implemented".</w:t>
      </w:r>
      <w:r>
        <w:t xml:space="preserve"> </w:t>
      </w:r>
    </w:p>
    <w:p w14:paraId="79E00CC0" w14:textId="77777777" w:rsidR="006564AA" w:rsidRDefault="00037F74" w:rsidP="00F108DF">
      <w:pPr>
        <w:spacing w:line="360" w:lineRule="auto"/>
        <w:jc w:val="both"/>
        <w:rPr>
          <w:rFonts w:cs="Times New Roman"/>
          <w:szCs w:val="24"/>
        </w:rPr>
      </w:pPr>
      <w:r>
        <w:rPr>
          <w:rFonts w:cs="Times New Roman"/>
          <w:szCs w:val="24"/>
        </w:rPr>
        <w:t>According to Drake (2010), financial statement analysis is the selection, evaluation, and interpretation of financial data, along with other pertinent information, to assist in investment and business decision-making.</w:t>
      </w:r>
      <w:r w:rsidR="00876A28">
        <w:rPr>
          <w:rFonts w:cs="Times New Roman"/>
          <w:szCs w:val="24"/>
        </w:rPr>
        <w:t xml:space="preserve"> </w:t>
      </w:r>
      <w:r>
        <w:rPr>
          <w:rFonts w:cs="Times New Roman"/>
          <w:szCs w:val="24"/>
        </w:rPr>
        <w:t xml:space="preserve">Megginson, Nash and </w:t>
      </w:r>
      <w:proofErr w:type="spellStart"/>
      <w:r>
        <w:rPr>
          <w:rFonts w:cs="Times New Roman"/>
          <w:szCs w:val="24"/>
        </w:rPr>
        <w:t>Randenborgh</w:t>
      </w:r>
      <w:proofErr w:type="spellEnd"/>
      <w:r>
        <w:rPr>
          <w:rFonts w:cs="Times New Roman"/>
          <w:szCs w:val="24"/>
        </w:rPr>
        <w:t xml:space="preserve"> (1994), Earle and </w:t>
      </w:r>
      <w:proofErr w:type="spellStart"/>
      <w:r>
        <w:rPr>
          <w:rFonts w:cs="Times New Roman"/>
          <w:szCs w:val="24"/>
        </w:rPr>
        <w:t>Estrin</w:t>
      </w:r>
      <w:proofErr w:type="spellEnd"/>
      <w:r>
        <w:rPr>
          <w:rFonts w:cs="Times New Roman"/>
          <w:szCs w:val="24"/>
        </w:rPr>
        <w:t xml:space="preserve"> (1997), Singh, (1995), and</w:t>
      </w:r>
      <w:r w:rsidR="00876A28">
        <w:rPr>
          <w:rFonts w:cs="Times New Roman"/>
          <w:szCs w:val="24"/>
        </w:rPr>
        <w:t xml:space="preserve"> </w:t>
      </w:r>
      <w:r>
        <w:rPr>
          <w:rFonts w:cs="Times New Roman"/>
          <w:szCs w:val="24"/>
        </w:rPr>
        <w:t>Deventer and Malatesta (1998) followed ratio analysis for the evaluation of the financial and operating performance of selected companies. The following are the key ratios for the oil and gas industry:</w:t>
      </w:r>
    </w:p>
    <w:p w14:paraId="235626C0" w14:textId="77777777" w:rsidR="00F108DF" w:rsidRDefault="00F108DF" w:rsidP="00F108DF">
      <w:pPr>
        <w:spacing w:line="360" w:lineRule="auto"/>
        <w:jc w:val="both"/>
        <w:rPr>
          <w:rFonts w:cs="Times New Roman"/>
          <w:szCs w:val="24"/>
        </w:rPr>
      </w:pPr>
    </w:p>
    <w:p w14:paraId="3B19571C" w14:textId="77777777" w:rsidR="00F108DF" w:rsidRPr="00F108DF" w:rsidRDefault="00F108DF" w:rsidP="00F108DF">
      <w:pPr>
        <w:spacing w:line="360" w:lineRule="auto"/>
        <w:jc w:val="both"/>
        <w:rPr>
          <w:rFonts w:cs="Times New Roman"/>
          <w:szCs w:val="24"/>
        </w:rPr>
      </w:pPr>
      <w:r>
        <w:rPr>
          <w:rFonts w:cs="Times New Roman"/>
          <w:szCs w:val="24"/>
        </w:rPr>
        <w:t>Table 1: Key Ratios of Oil and Gas Industry</w:t>
      </w:r>
    </w:p>
    <w:tbl>
      <w:tblPr>
        <w:tblStyle w:val="TableGrid"/>
        <w:tblW w:w="8359" w:type="dxa"/>
        <w:tblLook w:val="04A0" w:firstRow="1" w:lastRow="0" w:firstColumn="1" w:lastColumn="0" w:noHBand="0" w:noVBand="1"/>
      </w:tblPr>
      <w:tblGrid>
        <w:gridCol w:w="2547"/>
        <w:gridCol w:w="5812"/>
      </w:tblGrid>
      <w:tr w:rsidR="003379AA" w14:paraId="65515AB8" w14:textId="77777777">
        <w:trPr>
          <w:trHeight w:val="412"/>
        </w:trPr>
        <w:tc>
          <w:tcPr>
            <w:tcW w:w="2547" w:type="dxa"/>
          </w:tcPr>
          <w:p w14:paraId="562FB253" w14:textId="77777777" w:rsidR="006564AA" w:rsidRDefault="00037F74">
            <w:pPr>
              <w:spacing w:line="360" w:lineRule="auto"/>
              <w:jc w:val="both"/>
              <w:rPr>
                <w:rFonts w:cs="Times New Roman"/>
                <w:szCs w:val="24"/>
              </w:rPr>
            </w:pPr>
            <w:r>
              <w:rPr>
                <w:rFonts w:cs="Times New Roman"/>
                <w:szCs w:val="24"/>
              </w:rPr>
              <w:t xml:space="preserve">Key ratios </w:t>
            </w:r>
          </w:p>
        </w:tc>
        <w:tc>
          <w:tcPr>
            <w:tcW w:w="5812" w:type="dxa"/>
          </w:tcPr>
          <w:p w14:paraId="7ED8FC3B" w14:textId="77777777" w:rsidR="006564AA" w:rsidRDefault="00037F74">
            <w:pPr>
              <w:spacing w:line="360" w:lineRule="auto"/>
              <w:jc w:val="both"/>
              <w:rPr>
                <w:rFonts w:cs="Times New Roman"/>
                <w:szCs w:val="24"/>
              </w:rPr>
            </w:pPr>
            <w:r>
              <w:rPr>
                <w:rFonts w:cs="Times New Roman"/>
                <w:szCs w:val="24"/>
              </w:rPr>
              <w:t>Importance</w:t>
            </w:r>
          </w:p>
        </w:tc>
      </w:tr>
      <w:tr w:rsidR="003379AA" w14:paraId="217B3DCE" w14:textId="77777777" w:rsidTr="00F108DF">
        <w:trPr>
          <w:trHeight w:val="768"/>
        </w:trPr>
        <w:tc>
          <w:tcPr>
            <w:tcW w:w="2547" w:type="dxa"/>
          </w:tcPr>
          <w:p w14:paraId="7D122546" w14:textId="77777777" w:rsidR="006564AA" w:rsidRDefault="00037F74">
            <w:pPr>
              <w:spacing w:line="360" w:lineRule="auto"/>
              <w:jc w:val="both"/>
              <w:rPr>
                <w:rFonts w:cs="Times New Roman"/>
                <w:szCs w:val="24"/>
              </w:rPr>
            </w:pPr>
            <w:r>
              <w:rPr>
                <w:rFonts w:cs="Times New Roman"/>
                <w:szCs w:val="24"/>
              </w:rPr>
              <w:t>Debt / Equity</w:t>
            </w:r>
          </w:p>
        </w:tc>
        <w:tc>
          <w:tcPr>
            <w:tcW w:w="5812" w:type="dxa"/>
          </w:tcPr>
          <w:p w14:paraId="3C2CE5DE" w14:textId="77777777" w:rsidR="006564AA" w:rsidRDefault="00037F74">
            <w:pPr>
              <w:spacing w:line="360" w:lineRule="auto"/>
              <w:jc w:val="both"/>
              <w:rPr>
                <w:rFonts w:cs="Times New Roman"/>
                <w:szCs w:val="24"/>
              </w:rPr>
            </w:pPr>
            <w:r>
              <w:rPr>
                <w:rFonts w:cs="Times New Roman"/>
                <w:szCs w:val="24"/>
              </w:rPr>
              <w:t>It measures the degree to which a company is financing its operations through debt versus wholly-owned funds.</w:t>
            </w:r>
          </w:p>
        </w:tc>
      </w:tr>
      <w:tr w:rsidR="003379AA" w14:paraId="295C8131" w14:textId="77777777" w:rsidTr="00F108DF">
        <w:trPr>
          <w:trHeight w:val="780"/>
        </w:trPr>
        <w:tc>
          <w:tcPr>
            <w:tcW w:w="2547" w:type="dxa"/>
          </w:tcPr>
          <w:p w14:paraId="0FFEDE9B" w14:textId="77777777" w:rsidR="006564AA" w:rsidRDefault="00037F74">
            <w:pPr>
              <w:spacing w:line="360" w:lineRule="auto"/>
              <w:jc w:val="both"/>
              <w:rPr>
                <w:rFonts w:cs="Times New Roman"/>
                <w:szCs w:val="24"/>
              </w:rPr>
            </w:pPr>
            <w:r>
              <w:rPr>
                <w:rFonts w:cs="Times New Roman"/>
                <w:szCs w:val="24"/>
              </w:rPr>
              <w:t>Interest Coverage Ratio</w:t>
            </w:r>
          </w:p>
        </w:tc>
        <w:tc>
          <w:tcPr>
            <w:tcW w:w="5812" w:type="dxa"/>
          </w:tcPr>
          <w:p w14:paraId="3FAEA0D2" w14:textId="77777777" w:rsidR="006564AA" w:rsidRDefault="00037F74">
            <w:pPr>
              <w:spacing w:line="360" w:lineRule="auto"/>
              <w:jc w:val="both"/>
              <w:rPr>
                <w:rFonts w:cs="Times New Roman"/>
                <w:szCs w:val="24"/>
              </w:rPr>
            </w:pPr>
            <w:r>
              <w:rPr>
                <w:rFonts w:cs="Times New Roman"/>
                <w:color w:val="111111"/>
                <w:szCs w:val="24"/>
                <w:shd w:val="clear" w:color="auto" w:fill="FFFFFF"/>
              </w:rPr>
              <w:t>The interest coverage ratio is used to determine a firm's ability to pay off its interest liabilities on outstanding debt</w:t>
            </w:r>
          </w:p>
        </w:tc>
      </w:tr>
      <w:tr w:rsidR="003379AA" w14:paraId="12433701" w14:textId="77777777">
        <w:trPr>
          <w:trHeight w:val="837"/>
        </w:trPr>
        <w:tc>
          <w:tcPr>
            <w:tcW w:w="2547" w:type="dxa"/>
          </w:tcPr>
          <w:p w14:paraId="5CD4F3AA" w14:textId="77777777" w:rsidR="006564AA" w:rsidRDefault="00037F74">
            <w:pPr>
              <w:spacing w:line="360" w:lineRule="auto"/>
              <w:jc w:val="both"/>
              <w:rPr>
                <w:rFonts w:cs="Times New Roman"/>
                <w:szCs w:val="24"/>
              </w:rPr>
            </w:pPr>
            <w:r>
              <w:rPr>
                <w:rFonts w:cs="Times New Roman"/>
                <w:szCs w:val="24"/>
              </w:rPr>
              <w:t>Return on Equity</w:t>
            </w:r>
          </w:p>
        </w:tc>
        <w:tc>
          <w:tcPr>
            <w:tcW w:w="5812" w:type="dxa"/>
          </w:tcPr>
          <w:p w14:paraId="7094A9CE" w14:textId="77777777" w:rsidR="006564AA" w:rsidRDefault="00037F74">
            <w:pPr>
              <w:spacing w:line="360" w:lineRule="auto"/>
              <w:jc w:val="both"/>
              <w:rPr>
                <w:rFonts w:cs="Times New Roman"/>
                <w:szCs w:val="24"/>
              </w:rPr>
            </w:pPr>
            <w:r>
              <w:rPr>
                <w:rFonts w:eastAsia="Times New Roman" w:cs="Times New Roman"/>
                <w:color w:val="111111"/>
                <w:szCs w:val="24"/>
                <w:shd w:val="clear" w:color="auto" w:fill="FFFFFF"/>
                <w:lang w:eastAsia="en-IN"/>
              </w:rPr>
              <w:t>ROE is a measure of profit relative to its shareholder equity.</w:t>
            </w:r>
          </w:p>
        </w:tc>
      </w:tr>
      <w:tr w:rsidR="003379AA" w14:paraId="7B4B4667" w14:textId="77777777">
        <w:trPr>
          <w:trHeight w:val="412"/>
        </w:trPr>
        <w:tc>
          <w:tcPr>
            <w:tcW w:w="2547" w:type="dxa"/>
          </w:tcPr>
          <w:p w14:paraId="37A1DBE2" w14:textId="77777777" w:rsidR="006564AA" w:rsidRDefault="00037F74">
            <w:pPr>
              <w:spacing w:line="360" w:lineRule="auto"/>
              <w:jc w:val="both"/>
              <w:rPr>
                <w:rFonts w:cs="Times New Roman"/>
                <w:szCs w:val="24"/>
              </w:rPr>
            </w:pPr>
            <w:r>
              <w:rPr>
                <w:rFonts w:cs="Times New Roman"/>
                <w:szCs w:val="24"/>
              </w:rPr>
              <w:t>Return on Assets</w:t>
            </w:r>
          </w:p>
        </w:tc>
        <w:tc>
          <w:tcPr>
            <w:tcW w:w="5812" w:type="dxa"/>
          </w:tcPr>
          <w:p w14:paraId="577D419F" w14:textId="77777777" w:rsidR="006564AA" w:rsidRDefault="00D5146F">
            <w:pPr>
              <w:spacing w:line="360" w:lineRule="auto"/>
              <w:jc w:val="both"/>
              <w:rPr>
                <w:rFonts w:cs="Times New Roman"/>
                <w:szCs w:val="24"/>
              </w:rPr>
            </w:pPr>
            <w:r>
              <w:rPr>
                <w:rFonts w:cs="Times New Roman"/>
                <w:szCs w:val="24"/>
              </w:rPr>
              <w:t>ROA shows how profitable a company’s assets are in generating revenues.</w:t>
            </w:r>
          </w:p>
        </w:tc>
      </w:tr>
      <w:tr w:rsidR="003379AA" w14:paraId="0D3034FF" w14:textId="77777777">
        <w:trPr>
          <w:trHeight w:val="837"/>
        </w:trPr>
        <w:tc>
          <w:tcPr>
            <w:tcW w:w="2547" w:type="dxa"/>
          </w:tcPr>
          <w:p w14:paraId="11D8CEDD" w14:textId="77777777" w:rsidR="006564AA" w:rsidRDefault="00037F74">
            <w:pPr>
              <w:spacing w:line="360" w:lineRule="auto"/>
              <w:jc w:val="both"/>
              <w:rPr>
                <w:rFonts w:cs="Times New Roman"/>
                <w:szCs w:val="24"/>
              </w:rPr>
            </w:pPr>
            <w:r>
              <w:rPr>
                <w:rFonts w:cs="Times New Roman"/>
                <w:szCs w:val="24"/>
              </w:rPr>
              <w:t>Profit Margin on Sales</w:t>
            </w:r>
          </w:p>
        </w:tc>
        <w:tc>
          <w:tcPr>
            <w:tcW w:w="5812" w:type="dxa"/>
          </w:tcPr>
          <w:p w14:paraId="4584A810" w14:textId="77777777" w:rsidR="006564AA" w:rsidRDefault="00037F74">
            <w:pPr>
              <w:spacing w:line="360" w:lineRule="auto"/>
              <w:jc w:val="both"/>
              <w:rPr>
                <w:rFonts w:cs="Times New Roman"/>
                <w:szCs w:val="24"/>
              </w:rPr>
            </w:pPr>
            <w:r>
              <w:rPr>
                <w:rFonts w:cs="Times New Roman"/>
                <w:color w:val="222222"/>
                <w:szCs w:val="24"/>
                <w:shd w:val="clear" w:color="auto" w:fill="FFFFFF"/>
              </w:rPr>
              <w:t xml:space="preserve">Profit Margin on Sales is the most significant matrix to analyse the company's profitability.  </w:t>
            </w:r>
          </w:p>
        </w:tc>
      </w:tr>
      <w:tr w:rsidR="003379AA" w14:paraId="7D84175F" w14:textId="77777777">
        <w:trPr>
          <w:trHeight w:val="1250"/>
        </w:trPr>
        <w:tc>
          <w:tcPr>
            <w:tcW w:w="2547" w:type="dxa"/>
          </w:tcPr>
          <w:p w14:paraId="0D6DE38C" w14:textId="77777777" w:rsidR="006564AA" w:rsidRDefault="00037F74">
            <w:pPr>
              <w:spacing w:line="360" w:lineRule="auto"/>
              <w:jc w:val="both"/>
              <w:rPr>
                <w:rFonts w:cs="Times New Roman"/>
                <w:szCs w:val="24"/>
              </w:rPr>
            </w:pPr>
            <w:r>
              <w:rPr>
                <w:rFonts w:cs="Times New Roman"/>
                <w:szCs w:val="24"/>
              </w:rPr>
              <w:t>Cash Accrual Ratio</w:t>
            </w:r>
          </w:p>
        </w:tc>
        <w:tc>
          <w:tcPr>
            <w:tcW w:w="5812" w:type="dxa"/>
          </w:tcPr>
          <w:p w14:paraId="4BBF1B38" w14:textId="77777777" w:rsidR="006564AA" w:rsidRDefault="00037F74">
            <w:pPr>
              <w:spacing w:line="360" w:lineRule="auto"/>
              <w:jc w:val="both"/>
              <w:rPr>
                <w:rFonts w:cs="Times New Roman"/>
                <w:szCs w:val="24"/>
              </w:rPr>
            </w:pPr>
            <w:r>
              <w:rPr>
                <w:rFonts w:cs="Times New Roman"/>
                <w:szCs w:val="24"/>
              </w:rPr>
              <w:t>The Cash Accrual Ratio is a way to identify firms with low non-cash or accrual-derived earnings relative to their cash flow.</w:t>
            </w:r>
          </w:p>
        </w:tc>
      </w:tr>
    </w:tbl>
    <w:p w14:paraId="4F818428" w14:textId="77777777" w:rsidR="006564AA" w:rsidRDefault="00037F74" w:rsidP="00F108DF">
      <w:pPr>
        <w:spacing w:line="360" w:lineRule="auto"/>
        <w:rPr>
          <w:rFonts w:cs="Times New Roman"/>
          <w:sz w:val="20"/>
        </w:rPr>
      </w:pPr>
      <w:r>
        <w:rPr>
          <w:rFonts w:cs="Times New Roman"/>
          <w:sz w:val="20"/>
        </w:rPr>
        <w:fldChar w:fldCharType="begin"/>
      </w:r>
      <w:r>
        <w:rPr>
          <w:rFonts w:cs="Times New Roman"/>
          <w:sz w:val="20"/>
        </w:rPr>
        <w:instrText xml:space="preserve">CITATION Inv \l 16393 </w:instrText>
      </w:r>
      <w:r>
        <w:rPr>
          <w:rFonts w:cs="Times New Roman"/>
          <w:sz w:val="20"/>
        </w:rPr>
        <w:fldChar w:fldCharType="separate"/>
      </w:r>
      <w:r>
        <w:rPr>
          <w:rFonts w:cs="Times New Roman"/>
          <w:noProof/>
          <w:sz w:val="20"/>
        </w:rPr>
        <w:t>(Investopedia.com, 2018)</w:t>
      </w:r>
      <w:r>
        <w:rPr>
          <w:rFonts w:cs="Times New Roman"/>
          <w:sz w:val="20"/>
        </w:rPr>
        <w:fldChar w:fldCharType="end"/>
      </w:r>
    </w:p>
    <w:p w14:paraId="36B7DB0F" w14:textId="77777777" w:rsidR="00876A28" w:rsidRPr="00F108DF" w:rsidRDefault="00876A28" w:rsidP="00876A28">
      <w:pPr>
        <w:rPr>
          <w:rFonts w:cs="Times New Roman"/>
          <w:sz w:val="20"/>
        </w:rPr>
      </w:pPr>
      <w:r>
        <w:rPr>
          <w:rFonts w:cs="Times New Roman"/>
          <w:sz w:val="20"/>
        </w:rPr>
        <w:br w:type="page"/>
      </w:r>
    </w:p>
    <w:p w14:paraId="465B90D6" w14:textId="77777777" w:rsidR="006564AA" w:rsidRDefault="00037F74" w:rsidP="002F015C">
      <w:pPr>
        <w:spacing w:line="360" w:lineRule="auto"/>
        <w:jc w:val="both"/>
      </w:pPr>
      <w:r>
        <w:lastRenderedPageBreak/>
        <w:t>The task of managing the interest of shareholders have remained one of the critical aspects in determining the Returns on Stock. The rising pressure on Performance of the company is directly proportionate to the returns in the stock market.</w:t>
      </w:r>
    </w:p>
    <w:p w14:paraId="41D03909" w14:textId="77777777" w:rsidR="006564AA" w:rsidRDefault="00037F74" w:rsidP="00F108DF">
      <w:pPr>
        <w:spacing w:line="360" w:lineRule="auto"/>
        <w:jc w:val="both"/>
      </w:pPr>
      <w:r>
        <w:t>As found in the literature that sound financial doesn't show the efficiency and management of the company. However, to understand the real performance, correlation with stock return indicator is assessed.</w:t>
      </w:r>
    </w:p>
    <w:p w14:paraId="6C28D932" w14:textId="77777777" w:rsidR="00F108DF" w:rsidRDefault="00F108DF" w:rsidP="00F108DF">
      <w:pPr>
        <w:spacing w:line="360" w:lineRule="auto"/>
        <w:jc w:val="both"/>
      </w:pPr>
    </w:p>
    <w:p w14:paraId="76214594" w14:textId="77777777" w:rsidR="00F108DF" w:rsidRPr="00F108DF" w:rsidRDefault="00F108DF" w:rsidP="00F108DF">
      <w:pPr>
        <w:spacing w:line="360" w:lineRule="auto"/>
        <w:jc w:val="both"/>
      </w:pPr>
      <w:r>
        <w:t>Table 2: Parameters</w:t>
      </w:r>
    </w:p>
    <w:tbl>
      <w:tblPr>
        <w:tblStyle w:val="TableGrid"/>
        <w:tblW w:w="8359" w:type="dxa"/>
        <w:tblLook w:val="04A0" w:firstRow="1" w:lastRow="0" w:firstColumn="1" w:lastColumn="0" w:noHBand="0" w:noVBand="1"/>
      </w:tblPr>
      <w:tblGrid>
        <w:gridCol w:w="3180"/>
        <w:gridCol w:w="2344"/>
        <w:gridCol w:w="2835"/>
      </w:tblGrid>
      <w:tr w:rsidR="003379AA" w14:paraId="12CEFE96" w14:textId="77777777">
        <w:trPr>
          <w:trHeight w:val="419"/>
        </w:trPr>
        <w:tc>
          <w:tcPr>
            <w:tcW w:w="3180" w:type="dxa"/>
          </w:tcPr>
          <w:p w14:paraId="757726B0" w14:textId="77777777" w:rsidR="006564AA" w:rsidRDefault="00037F74">
            <w:pPr>
              <w:spacing w:line="360" w:lineRule="auto"/>
              <w:jc w:val="both"/>
              <w:rPr>
                <w:rFonts w:cs="Times New Roman"/>
                <w:szCs w:val="24"/>
              </w:rPr>
            </w:pPr>
            <w:r>
              <w:rPr>
                <w:rFonts w:cs="Times New Roman"/>
                <w:szCs w:val="24"/>
              </w:rPr>
              <w:t>Ratios</w:t>
            </w:r>
          </w:p>
        </w:tc>
        <w:tc>
          <w:tcPr>
            <w:tcW w:w="2344" w:type="dxa"/>
          </w:tcPr>
          <w:p w14:paraId="77142BBD" w14:textId="77777777" w:rsidR="006564AA" w:rsidRDefault="00037F74">
            <w:pPr>
              <w:spacing w:line="360" w:lineRule="auto"/>
              <w:jc w:val="both"/>
              <w:rPr>
                <w:rFonts w:cs="Times New Roman"/>
                <w:szCs w:val="24"/>
              </w:rPr>
            </w:pPr>
            <w:r>
              <w:rPr>
                <w:rFonts w:cs="Times New Roman"/>
                <w:szCs w:val="24"/>
              </w:rPr>
              <w:t>Correlation</w:t>
            </w:r>
          </w:p>
        </w:tc>
        <w:tc>
          <w:tcPr>
            <w:tcW w:w="2835" w:type="dxa"/>
          </w:tcPr>
          <w:p w14:paraId="5BDEF0F6" w14:textId="77777777" w:rsidR="006564AA" w:rsidRDefault="00037F74">
            <w:pPr>
              <w:spacing w:line="360" w:lineRule="auto"/>
              <w:jc w:val="both"/>
              <w:rPr>
                <w:rFonts w:cs="Times New Roman"/>
                <w:szCs w:val="24"/>
              </w:rPr>
            </w:pPr>
            <w:r>
              <w:rPr>
                <w:rFonts w:cs="Times New Roman"/>
                <w:szCs w:val="24"/>
              </w:rPr>
              <w:t>Analysis</w:t>
            </w:r>
          </w:p>
        </w:tc>
      </w:tr>
      <w:tr w:rsidR="003379AA" w14:paraId="105A77E2" w14:textId="77777777">
        <w:trPr>
          <w:trHeight w:val="431"/>
        </w:trPr>
        <w:tc>
          <w:tcPr>
            <w:tcW w:w="3180" w:type="dxa"/>
          </w:tcPr>
          <w:p w14:paraId="2A098594" w14:textId="77777777" w:rsidR="006564AA" w:rsidRDefault="00037F74">
            <w:pPr>
              <w:spacing w:line="360" w:lineRule="auto"/>
              <w:jc w:val="both"/>
              <w:rPr>
                <w:rFonts w:cs="Times New Roman"/>
                <w:szCs w:val="24"/>
              </w:rPr>
            </w:pPr>
            <w:r>
              <w:rPr>
                <w:rFonts w:cs="Times New Roman"/>
                <w:szCs w:val="24"/>
              </w:rPr>
              <w:t>Debt/Equity</w:t>
            </w:r>
          </w:p>
        </w:tc>
        <w:tc>
          <w:tcPr>
            <w:tcW w:w="2344" w:type="dxa"/>
            <w:vMerge w:val="restart"/>
          </w:tcPr>
          <w:p w14:paraId="4A564460" w14:textId="77777777" w:rsidR="006564AA" w:rsidRDefault="00037F74">
            <w:pPr>
              <w:spacing w:line="360" w:lineRule="auto"/>
              <w:jc w:val="both"/>
              <w:rPr>
                <w:rFonts w:cs="Times New Roman"/>
                <w:szCs w:val="24"/>
              </w:rPr>
            </w:pPr>
            <w:r>
              <w:rPr>
                <w:rFonts w:cs="Times New Roman"/>
                <w:szCs w:val="24"/>
              </w:rPr>
              <w:t>Price Earnings Ratio,</w:t>
            </w:r>
          </w:p>
          <w:p w14:paraId="6A89E6E5" w14:textId="77777777" w:rsidR="006564AA" w:rsidRDefault="00037F74">
            <w:pPr>
              <w:spacing w:line="360" w:lineRule="auto"/>
              <w:jc w:val="both"/>
              <w:rPr>
                <w:rFonts w:cs="Times New Roman"/>
                <w:szCs w:val="24"/>
              </w:rPr>
            </w:pPr>
            <w:r>
              <w:rPr>
                <w:rFonts w:cs="Times New Roman"/>
                <w:szCs w:val="24"/>
              </w:rPr>
              <w:t>EPS</w:t>
            </w:r>
          </w:p>
        </w:tc>
        <w:tc>
          <w:tcPr>
            <w:tcW w:w="2835" w:type="dxa"/>
            <w:vMerge w:val="restart"/>
          </w:tcPr>
          <w:p w14:paraId="476BDF18" w14:textId="77777777" w:rsidR="006564AA" w:rsidRDefault="00037F74">
            <w:pPr>
              <w:spacing w:line="360" w:lineRule="auto"/>
              <w:jc w:val="both"/>
              <w:rPr>
                <w:rFonts w:cs="Times New Roman"/>
                <w:szCs w:val="24"/>
              </w:rPr>
            </w:pPr>
            <w:r>
              <w:rPr>
                <w:rFonts w:cs="Times New Roman"/>
                <w:szCs w:val="24"/>
              </w:rPr>
              <w:t xml:space="preserve"> The various ratios of the company are impacting both PE Ratio and Earnings per share of the companies. </w:t>
            </w:r>
          </w:p>
        </w:tc>
      </w:tr>
      <w:tr w:rsidR="003379AA" w14:paraId="0E54E5E3" w14:textId="77777777">
        <w:trPr>
          <w:trHeight w:val="419"/>
        </w:trPr>
        <w:tc>
          <w:tcPr>
            <w:tcW w:w="3180" w:type="dxa"/>
          </w:tcPr>
          <w:p w14:paraId="79B5DC9C" w14:textId="77777777" w:rsidR="006564AA" w:rsidRDefault="00037F74">
            <w:pPr>
              <w:spacing w:line="360" w:lineRule="auto"/>
              <w:jc w:val="both"/>
              <w:rPr>
                <w:rFonts w:cs="Times New Roman"/>
                <w:szCs w:val="24"/>
              </w:rPr>
            </w:pPr>
            <w:r>
              <w:rPr>
                <w:rFonts w:cs="Times New Roman"/>
                <w:szCs w:val="24"/>
              </w:rPr>
              <w:t>Interest Coverage Ratio</w:t>
            </w:r>
          </w:p>
        </w:tc>
        <w:tc>
          <w:tcPr>
            <w:tcW w:w="2344" w:type="dxa"/>
            <w:vMerge/>
          </w:tcPr>
          <w:p w14:paraId="50DD3FC3" w14:textId="77777777" w:rsidR="006564AA" w:rsidRDefault="006564AA">
            <w:pPr>
              <w:spacing w:line="360" w:lineRule="auto"/>
              <w:jc w:val="both"/>
              <w:rPr>
                <w:rFonts w:cs="Times New Roman"/>
                <w:szCs w:val="24"/>
              </w:rPr>
            </w:pPr>
          </w:p>
        </w:tc>
        <w:tc>
          <w:tcPr>
            <w:tcW w:w="2835" w:type="dxa"/>
            <w:vMerge/>
          </w:tcPr>
          <w:p w14:paraId="52E3F5AE" w14:textId="77777777" w:rsidR="006564AA" w:rsidRDefault="006564AA">
            <w:pPr>
              <w:spacing w:line="360" w:lineRule="auto"/>
              <w:jc w:val="both"/>
              <w:rPr>
                <w:rFonts w:cs="Times New Roman"/>
                <w:szCs w:val="24"/>
              </w:rPr>
            </w:pPr>
          </w:p>
        </w:tc>
      </w:tr>
      <w:tr w:rsidR="003379AA" w14:paraId="2D162F18" w14:textId="77777777">
        <w:trPr>
          <w:trHeight w:val="419"/>
        </w:trPr>
        <w:tc>
          <w:tcPr>
            <w:tcW w:w="3180" w:type="dxa"/>
          </w:tcPr>
          <w:p w14:paraId="6A03E87D" w14:textId="77777777" w:rsidR="006564AA" w:rsidRDefault="00037F74">
            <w:pPr>
              <w:spacing w:line="360" w:lineRule="auto"/>
              <w:jc w:val="both"/>
              <w:rPr>
                <w:rFonts w:cs="Times New Roman"/>
                <w:szCs w:val="24"/>
              </w:rPr>
            </w:pPr>
            <w:r>
              <w:rPr>
                <w:rFonts w:cs="Times New Roman"/>
                <w:szCs w:val="24"/>
              </w:rPr>
              <w:t>Return on Assets</w:t>
            </w:r>
          </w:p>
        </w:tc>
        <w:tc>
          <w:tcPr>
            <w:tcW w:w="2344" w:type="dxa"/>
            <w:vMerge/>
          </w:tcPr>
          <w:p w14:paraId="32FAF800" w14:textId="77777777" w:rsidR="006564AA" w:rsidRDefault="006564AA">
            <w:pPr>
              <w:spacing w:line="360" w:lineRule="auto"/>
              <w:jc w:val="both"/>
              <w:rPr>
                <w:rFonts w:cs="Times New Roman"/>
                <w:szCs w:val="24"/>
              </w:rPr>
            </w:pPr>
          </w:p>
        </w:tc>
        <w:tc>
          <w:tcPr>
            <w:tcW w:w="2835" w:type="dxa"/>
            <w:vMerge/>
          </w:tcPr>
          <w:p w14:paraId="6108E3C0" w14:textId="77777777" w:rsidR="006564AA" w:rsidRDefault="006564AA">
            <w:pPr>
              <w:spacing w:line="360" w:lineRule="auto"/>
              <w:jc w:val="both"/>
              <w:rPr>
                <w:rFonts w:cs="Times New Roman"/>
                <w:szCs w:val="24"/>
              </w:rPr>
            </w:pPr>
          </w:p>
        </w:tc>
      </w:tr>
      <w:tr w:rsidR="003379AA" w14:paraId="10469AA4" w14:textId="77777777">
        <w:trPr>
          <w:trHeight w:val="431"/>
        </w:trPr>
        <w:tc>
          <w:tcPr>
            <w:tcW w:w="3180" w:type="dxa"/>
          </w:tcPr>
          <w:p w14:paraId="4719663D" w14:textId="77777777" w:rsidR="006564AA" w:rsidRDefault="00037F74">
            <w:pPr>
              <w:spacing w:line="360" w:lineRule="auto"/>
              <w:jc w:val="both"/>
              <w:rPr>
                <w:rFonts w:cs="Times New Roman"/>
                <w:szCs w:val="24"/>
              </w:rPr>
            </w:pPr>
            <w:r>
              <w:rPr>
                <w:rFonts w:cs="Times New Roman"/>
                <w:szCs w:val="24"/>
              </w:rPr>
              <w:t>Return on Equity</w:t>
            </w:r>
          </w:p>
        </w:tc>
        <w:tc>
          <w:tcPr>
            <w:tcW w:w="2344" w:type="dxa"/>
            <w:vMerge/>
          </w:tcPr>
          <w:p w14:paraId="347406AE" w14:textId="77777777" w:rsidR="006564AA" w:rsidRDefault="006564AA">
            <w:pPr>
              <w:spacing w:line="360" w:lineRule="auto"/>
              <w:jc w:val="both"/>
              <w:rPr>
                <w:rFonts w:cs="Times New Roman"/>
                <w:szCs w:val="24"/>
              </w:rPr>
            </w:pPr>
          </w:p>
        </w:tc>
        <w:tc>
          <w:tcPr>
            <w:tcW w:w="2835" w:type="dxa"/>
            <w:vMerge/>
          </w:tcPr>
          <w:p w14:paraId="623116DA" w14:textId="77777777" w:rsidR="006564AA" w:rsidRDefault="006564AA">
            <w:pPr>
              <w:spacing w:line="360" w:lineRule="auto"/>
              <w:jc w:val="both"/>
              <w:rPr>
                <w:rFonts w:cs="Times New Roman"/>
                <w:szCs w:val="24"/>
              </w:rPr>
            </w:pPr>
          </w:p>
        </w:tc>
      </w:tr>
      <w:tr w:rsidR="003379AA" w14:paraId="2E26E948" w14:textId="77777777">
        <w:trPr>
          <w:trHeight w:val="419"/>
        </w:trPr>
        <w:tc>
          <w:tcPr>
            <w:tcW w:w="3180" w:type="dxa"/>
          </w:tcPr>
          <w:p w14:paraId="7FA73933" w14:textId="77777777" w:rsidR="006564AA" w:rsidRDefault="00037F74">
            <w:pPr>
              <w:spacing w:line="360" w:lineRule="auto"/>
              <w:jc w:val="both"/>
              <w:rPr>
                <w:rFonts w:cs="Times New Roman"/>
                <w:szCs w:val="24"/>
              </w:rPr>
            </w:pPr>
            <w:r>
              <w:rPr>
                <w:rFonts w:cs="Times New Roman"/>
                <w:szCs w:val="24"/>
              </w:rPr>
              <w:t>Net Cash Accrual Ratio</w:t>
            </w:r>
          </w:p>
        </w:tc>
        <w:tc>
          <w:tcPr>
            <w:tcW w:w="2344" w:type="dxa"/>
            <w:vMerge/>
          </w:tcPr>
          <w:p w14:paraId="4D4A5F80" w14:textId="77777777" w:rsidR="006564AA" w:rsidRDefault="006564AA">
            <w:pPr>
              <w:spacing w:line="360" w:lineRule="auto"/>
              <w:jc w:val="both"/>
              <w:rPr>
                <w:rFonts w:cs="Times New Roman"/>
                <w:szCs w:val="24"/>
              </w:rPr>
            </w:pPr>
          </w:p>
        </w:tc>
        <w:tc>
          <w:tcPr>
            <w:tcW w:w="2835" w:type="dxa"/>
            <w:vMerge/>
          </w:tcPr>
          <w:p w14:paraId="393E82A6" w14:textId="77777777" w:rsidR="006564AA" w:rsidRDefault="006564AA">
            <w:pPr>
              <w:spacing w:line="360" w:lineRule="auto"/>
              <w:jc w:val="both"/>
              <w:rPr>
                <w:rFonts w:cs="Times New Roman"/>
                <w:szCs w:val="24"/>
              </w:rPr>
            </w:pPr>
          </w:p>
        </w:tc>
      </w:tr>
      <w:tr w:rsidR="003379AA" w14:paraId="48628766" w14:textId="77777777">
        <w:trPr>
          <w:trHeight w:val="419"/>
        </w:trPr>
        <w:tc>
          <w:tcPr>
            <w:tcW w:w="3180" w:type="dxa"/>
          </w:tcPr>
          <w:p w14:paraId="25D033DE" w14:textId="77777777" w:rsidR="006564AA" w:rsidRDefault="00037F74">
            <w:pPr>
              <w:spacing w:line="360" w:lineRule="auto"/>
              <w:jc w:val="both"/>
              <w:rPr>
                <w:rFonts w:cs="Times New Roman"/>
                <w:szCs w:val="24"/>
              </w:rPr>
            </w:pPr>
            <w:r>
              <w:rPr>
                <w:rFonts w:cs="Times New Roman"/>
                <w:szCs w:val="24"/>
              </w:rPr>
              <w:t>Profit Margin on Sales</w:t>
            </w:r>
          </w:p>
        </w:tc>
        <w:tc>
          <w:tcPr>
            <w:tcW w:w="2344" w:type="dxa"/>
            <w:vMerge/>
          </w:tcPr>
          <w:p w14:paraId="3F6294C7" w14:textId="77777777" w:rsidR="006564AA" w:rsidRDefault="006564AA">
            <w:pPr>
              <w:spacing w:line="360" w:lineRule="auto"/>
              <w:jc w:val="both"/>
              <w:rPr>
                <w:rFonts w:cs="Times New Roman"/>
                <w:szCs w:val="24"/>
              </w:rPr>
            </w:pPr>
          </w:p>
        </w:tc>
        <w:tc>
          <w:tcPr>
            <w:tcW w:w="2835" w:type="dxa"/>
            <w:vMerge/>
          </w:tcPr>
          <w:p w14:paraId="43F27AEC" w14:textId="77777777" w:rsidR="006564AA" w:rsidRDefault="006564AA">
            <w:pPr>
              <w:spacing w:line="360" w:lineRule="auto"/>
              <w:jc w:val="both"/>
              <w:rPr>
                <w:rFonts w:cs="Times New Roman"/>
                <w:szCs w:val="24"/>
              </w:rPr>
            </w:pPr>
          </w:p>
        </w:tc>
      </w:tr>
    </w:tbl>
    <w:p w14:paraId="06F141D4" w14:textId="77777777" w:rsidR="006564AA" w:rsidRDefault="00037F74">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0771976" w14:textId="77777777" w:rsidR="006564AA" w:rsidRDefault="00B834D0" w:rsidP="008B1140">
      <w:pPr>
        <w:pStyle w:val="Heading1"/>
      </w:pPr>
      <w:bookmarkStart w:id="6" w:name="_Toc36751988"/>
      <w:r>
        <w:lastRenderedPageBreak/>
        <w:t>3</w:t>
      </w:r>
      <w:r w:rsidR="00037F74">
        <w:t>. Industry Scenario</w:t>
      </w:r>
      <w:bookmarkEnd w:id="6"/>
    </w:p>
    <w:p w14:paraId="2418AD98" w14:textId="77777777" w:rsidR="006564AA" w:rsidRDefault="006564AA">
      <w:pPr>
        <w:rPr>
          <w:rFonts w:cs="Times New Roman"/>
        </w:rPr>
      </w:pPr>
    </w:p>
    <w:p w14:paraId="61C85F15" w14:textId="77777777" w:rsidR="006564AA" w:rsidRDefault="00037F74">
      <w:pPr>
        <w:spacing w:before="100" w:beforeAutospacing="1" w:after="100" w:afterAutospacing="1" w:line="360" w:lineRule="auto"/>
        <w:jc w:val="both"/>
        <w:rPr>
          <w:rFonts w:cs="Times New Roman"/>
          <w:szCs w:val="24"/>
        </w:rPr>
      </w:pPr>
      <w:r>
        <w:rPr>
          <w:rFonts w:cs="Times New Roman"/>
          <w:szCs w:val="24"/>
        </w:rPr>
        <w:t>The World’s dependence on oil and gas is increasing as global economies and infrastructure continue to rely heavily on petroleum-based products. The oil and gas sector contributes15% to the GDP of India. With a high rate of economic growth, India has become a significant consumer in the world and the largest refiner in India. The most massive volumes of products of the oil and gas industry are fuel oil and gasoline(petrol). Petroleum is the primary material for a multitude of chemical products, including pharmaceutical, fertilizer, solvents, and plastics. The oil and gas global supply-chain includes activities such as domestic and international transportation, ordering and inventory visibility and control, import and export facilitation, and information technology.</w:t>
      </w:r>
    </w:p>
    <w:p w14:paraId="5EF491AD" w14:textId="77777777" w:rsidR="006564AA" w:rsidRDefault="00037F74">
      <w:pPr>
        <w:spacing w:before="100" w:beforeAutospacing="1" w:after="100" w:afterAutospacing="1" w:line="360" w:lineRule="auto"/>
        <w:jc w:val="both"/>
        <w:rPr>
          <w:rFonts w:cs="Times New Roman"/>
          <w:szCs w:val="24"/>
        </w:rPr>
      </w:pPr>
      <w:r>
        <w:rPr>
          <w:rFonts w:cs="Times New Roman"/>
          <w:szCs w:val="24"/>
        </w:rPr>
        <w:t>The oil and gas supply chain are analysed through three different industry sectors:</w:t>
      </w:r>
    </w:p>
    <w:p w14:paraId="67858D03" w14:textId="77777777" w:rsidR="006564AA" w:rsidRPr="00F108DF" w:rsidRDefault="00F108DF" w:rsidP="00F108DF">
      <w:pPr>
        <w:spacing w:before="100" w:beforeAutospacing="1" w:after="100" w:afterAutospacing="1" w:line="360" w:lineRule="auto"/>
        <w:jc w:val="both"/>
        <w:rPr>
          <w:rFonts w:cs="Times New Roman"/>
          <w:szCs w:val="24"/>
        </w:rPr>
      </w:pPr>
      <w:r>
        <w:rPr>
          <w:rFonts w:cs="Times New Roman"/>
          <w:szCs w:val="24"/>
        </w:rPr>
        <w:t>Figure 6: Industry Sector of Oil and Gas Supply</w:t>
      </w:r>
    </w:p>
    <w:p w14:paraId="097F8CE7" w14:textId="77777777" w:rsidR="006564AA" w:rsidRDefault="00037F74">
      <w:pPr>
        <w:spacing w:before="100" w:beforeAutospacing="1" w:after="100" w:afterAutospacing="1"/>
        <w:jc w:val="both"/>
        <w:rPr>
          <w:rFonts w:cs="Times New Roman"/>
          <w:noProof/>
          <w:szCs w:val="24"/>
        </w:rPr>
      </w:pPr>
      <w:r>
        <w:rPr>
          <w:rFonts w:cs="Times New Roman"/>
          <w:noProof/>
          <w:szCs w:val="24"/>
        </w:rPr>
        <w:drawing>
          <wp:inline distT="0" distB="0" distL="0" distR="0" wp14:anchorId="55D4E029" wp14:editId="62A87B5B">
            <wp:extent cx="4594860" cy="1699260"/>
            <wp:effectExtent l="76200" t="57150" r="91440" b="110490"/>
            <wp:docPr id="1037" name="Diagram 1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D4D211A" w14:textId="77777777" w:rsidR="006564AA" w:rsidRDefault="006564AA"/>
    <w:p w14:paraId="12FBE293" w14:textId="77777777" w:rsidR="006564AA" w:rsidRDefault="00037F74" w:rsidP="004909B4">
      <w:pPr>
        <w:pStyle w:val="ListParagraph"/>
        <w:numPr>
          <w:ilvl w:val="0"/>
          <w:numId w:val="28"/>
        </w:numPr>
        <w:spacing w:line="360" w:lineRule="auto"/>
        <w:ind w:left="567" w:hanging="567"/>
        <w:jc w:val="both"/>
        <w:rPr>
          <w:rFonts w:cs="Times New Roman"/>
          <w:szCs w:val="24"/>
        </w:rPr>
      </w:pPr>
      <w:r>
        <w:rPr>
          <w:rFonts w:cs="Times New Roman"/>
          <w:b/>
          <w:bCs/>
          <w:szCs w:val="24"/>
        </w:rPr>
        <w:t>Upstream</w:t>
      </w:r>
      <w:r>
        <w:rPr>
          <w:rFonts w:cs="Times New Roman"/>
          <w:szCs w:val="24"/>
        </w:rPr>
        <w:t>- The Upstream sector is responsible for finding crude oil and natural gas deposits. It includes all the activities, including drinking well, trucking supplies, and environmental research. Major companies such as ExxonMobil, BP, Shell have integrated into upstream activities.</w:t>
      </w:r>
    </w:p>
    <w:p w14:paraId="642FEC41" w14:textId="77777777" w:rsidR="006564AA" w:rsidRDefault="00037F74" w:rsidP="004909B4">
      <w:pPr>
        <w:pStyle w:val="ListParagraph"/>
        <w:numPr>
          <w:ilvl w:val="0"/>
          <w:numId w:val="28"/>
        </w:numPr>
        <w:spacing w:line="360" w:lineRule="auto"/>
        <w:ind w:left="567" w:hanging="567"/>
        <w:jc w:val="both"/>
        <w:rPr>
          <w:rFonts w:cs="Times New Roman"/>
          <w:szCs w:val="24"/>
        </w:rPr>
      </w:pPr>
      <w:r>
        <w:rPr>
          <w:rFonts w:cs="Times New Roman"/>
          <w:b/>
          <w:bCs/>
          <w:szCs w:val="24"/>
        </w:rPr>
        <w:t>Midstream</w:t>
      </w:r>
      <w:r>
        <w:rPr>
          <w:rFonts w:cs="Times New Roman"/>
          <w:szCs w:val="24"/>
        </w:rPr>
        <w:t>- Midstream segment in the oil and gas supply chain, includes operations such as processing, storing, transporting, distribution of oil and gas. Significant companies are RIL, IOCL, HPCL, Essar oil, etc.</w:t>
      </w:r>
    </w:p>
    <w:p w14:paraId="1D876510" w14:textId="77777777" w:rsidR="006564AA" w:rsidRDefault="006564AA">
      <w:pPr>
        <w:pStyle w:val="ListParagraph"/>
        <w:spacing w:line="360" w:lineRule="auto"/>
        <w:jc w:val="both"/>
        <w:rPr>
          <w:rFonts w:cs="Times New Roman"/>
          <w:szCs w:val="24"/>
        </w:rPr>
      </w:pPr>
    </w:p>
    <w:p w14:paraId="6E3CDC6B" w14:textId="77777777" w:rsidR="006564AA" w:rsidRDefault="00037F74" w:rsidP="004909B4">
      <w:pPr>
        <w:pStyle w:val="ListParagraph"/>
        <w:numPr>
          <w:ilvl w:val="0"/>
          <w:numId w:val="28"/>
        </w:numPr>
        <w:spacing w:line="360" w:lineRule="auto"/>
        <w:ind w:left="567" w:hanging="567"/>
        <w:jc w:val="both"/>
        <w:rPr>
          <w:rFonts w:cs="Times New Roman"/>
          <w:szCs w:val="24"/>
        </w:rPr>
      </w:pPr>
      <w:r>
        <w:rPr>
          <w:rFonts w:cs="Times New Roman"/>
          <w:b/>
          <w:bCs/>
          <w:szCs w:val="24"/>
        </w:rPr>
        <w:lastRenderedPageBreak/>
        <w:t>Downstream</w:t>
      </w:r>
      <w:r>
        <w:rPr>
          <w:rFonts w:cs="Times New Roman"/>
          <w:szCs w:val="24"/>
        </w:rPr>
        <w:t>- Downstream refers to the filtering of raw materials. It means a refining of oil and purification of gas along with this marketing and distribution of these products in the form of natural gas, gasoline, lubricants, jet fuel, etc. Major companies involved are IOCL, BPCL, Shell, etc.</w:t>
      </w:r>
    </w:p>
    <w:p w14:paraId="2FE0EB42" w14:textId="77777777" w:rsidR="006564AA" w:rsidRDefault="006564AA">
      <w:pPr>
        <w:rPr>
          <w:rFonts w:cs="Times New Roman"/>
        </w:rPr>
      </w:pPr>
    </w:p>
    <w:p w14:paraId="62AE1C84" w14:textId="77777777" w:rsidR="00952C16" w:rsidRPr="00CE6604" w:rsidRDefault="00B834D0" w:rsidP="008B1140">
      <w:pPr>
        <w:pStyle w:val="Heading1"/>
        <w:rPr>
          <w:szCs w:val="24"/>
        </w:rPr>
      </w:pPr>
      <w:bookmarkStart w:id="7" w:name="_Toc36751989"/>
      <w:r>
        <w:t>4</w:t>
      </w:r>
      <w:r w:rsidR="00952C16">
        <w:t>. Market scenario</w:t>
      </w:r>
      <w:bookmarkEnd w:id="7"/>
    </w:p>
    <w:p w14:paraId="4C88D01D" w14:textId="77777777" w:rsidR="00952C16" w:rsidRPr="00037F74" w:rsidRDefault="00952C16" w:rsidP="00952C16">
      <w:pPr>
        <w:jc w:val="both"/>
        <w:rPr>
          <w:rFonts w:cs="Times New Roman"/>
          <w:szCs w:val="24"/>
        </w:rPr>
      </w:pPr>
      <w:r>
        <w:rPr>
          <w:rFonts w:cs="Times New Roman"/>
          <w:szCs w:val="24"/>
        </w:rPr>
        <w:t xml:space="preserve"> </w:t>
      </w:r>
    </w:p>
    <w:p w14:paraId="37A4D269" w14:textId="77777777" w:rsidR="00797714" w:rsidRDefault="00952C16" w:rsidP="00952C16">
      <w:pPr>
        <w:spacing w:line="360" w:lineRule="auto"/>
        <w:jc w:val="both"/>
        <w:rPr>
          <w:rFonts w:cs="Times New Roman"/>
          <w:szCs w:val="24"/>
        </w:rPr>
      </w:pPr>
      <w:r w:rsidRPr="00037F74">
        <w:rPr>
          <w:rFonts w:cs="Times New Roman"/>
          <w:szCs w:val="24"/>
        </w:rPr>
        <w:t>In FY 2018-19 and FY 2019-20, Indian economy and also the International Markets have been through many unexpected highs and lows due to rising global and financial volatility, trade disputes, etc. International disbalance and chaos have caused approx. 20% fall in Crude Oil Prices and much abysmal price targets are estimated in the near future. In India, the Price fall is considered to be repercussions of fall in the automobile sector, International oil trade policies, International disputes and price wars, and most importantly, Covid-19 pandemic outbreak. The viral disease outbreak has affected the largest Oil importers, locked out major transport facilities and manufacturing activities around the world due to which the demand crashed, and so did the oil prices, to establish equilibrium, supply cuts and price drops are strategies opted by Exporting countries. The Equity markets across the globe are also following crashing trends of oil due to fear of global recession and slowdown having an adverse impact on economies. In this situation of crises, India has an advantageous position like other crude oil importers. As the prices are falling, India is building a strategic petroleum reserve which can meet the country'</w:t>
      </w:r>
      <w:r>
        <w:rPr>
          <w:rFonts w:cs="Times New Roman"/>
          <w:szCs w:val="24"/>
        </w:rPr>
        <w:t xml:space="preserve">s demand of </w:t>
      </w:r>
      <w:r w:rsidRPr="00037F74">
        <w:rPr>
          <w:rFonts w:cs="Times New Roman"/>
          <w:szCs w:val="24"/>
        </w:rPr>
        <w:t>9.5 days</w:t>
      </w:r>
      <w:r>
        <w:rPr>
          <w:rFonts w:cs="Times New Roman"/>
          <w:szCs w:val="24"/>
        </w:rPr>
        <w:t>.</w:t>
      </w:r>
    </w:p>
    <w:p w14:paraId="4928D2DF" w14:textId="77777777" w:rsidR="00797714" w:rsidRDefault="00797714">
      <w:pPr>
        <w:rPr>
          <w:rFonts w:cs="Times New Roman"/>
          <w:szCs w:val="24"/>
        </w:rPr>
      </w:pPr>
      <w:r>
        <w:rPr>
          <w:rFonts w:cs="Times New Roman"/>
          <w:szCs w:val="24"/>
        </w:rPr>
        <w:br w:type="page"/>
      </w:r>
    </w:p>
    <w:p w14:paraId="3E2E8EDA" w14:textId="77777777" w:rsidR="00797714" w:rsidRDefault="00952C16" w:rsidP="00F435A4">
      <w:pPr>
        <w:spacing w:line="360" w:lineRule="auto"/>
        <w:rPr>
          <w:rFonts w:cs="Times New Roman"/>
          <w:szCs w:val="24"/>
        </w:rPr>
      </w:pPr>
      <w:r>
        <w:rPr>
          <w:rFonts w:cs="Times New Roman"/>
          <w:szCs w:val="24"/>
        </w:rPr>
        <w:lastRenderedPageBreak/>
        <w:t>Figure 7: Factors for the Growing Industry</w:t>
      </w:r>
    </w:p>
    <w:p w14:paraId="1B2B12DF" w14:textId="77777777" w:rsidR="00952C16" w:rsidRDefault="00797714" w:rsidP="00952C16">
      <w:pPr>
        <w:spacing w:line="360" w:lineRule="auto"/>
        <w:rPr>
          <w:rFonts w:cs="Times New Roman"/>
          <w:szCs w:val="24"/>
        </w:rPr>
      </w:pPr>
      <w:r>
        <w:rPr>
          <w:rFonts w:cs="Times New Roman"/>
          <w:noProof/>
          <w:szCs w:val="24"/>
        </w:rPr>
        <w:drawing>
          <wp:inline distT="0" distB="0" distL="0" distR="0" wp14:anchorId="74913290" wp14:editId="014DBCB8">
            <wp:extent cx="5166360" cy="3977640"/>
            <wp:effectExtent l="0" t="0" r="0" b="3810"/>
            <wp:docPr id="1038" name="Diagram 1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E7FA809" w14:textId="77777777" w:rsidR="00DC1D4D" w:rsidRDefault="00D5146F" w:rsidP="00DC1D4D">
      <w:pPr>
        <w:pStyle w:val="Heading2"/>
        <w:rPr>
          <w:rFonts w:cs="Times New Roman"/>
        </w:rPr>
      </w:pPr>
      <w:bookmarkStart w:id="8" w:name="_Toc36751990"/>
      <w:r>
        <w:rPr>
          <w:rFonts w:cs="Times New Roman"/>
        </w:rPr>
        <w:t xml:space="preserve">4.1 </w:t>
      </w:r>
      <w:r w:rsidR="00DC1D4D">
        <w:rPr>
          <w:rFonts w:cs="Times New Roman"/>
        </w:rPr>
        <w:t>Drivers of oil price globally</w:t>
      </w:r>
      <w:bookmarkEnd w:id="8"/>
    </w:p>
    <w:p w14:paraId="625E55DB" w14:textId="77777777" w:rsidR="00DC1D4D" w:rsidRPr="00F108DF" w:rsidRDefault="00DC1D4D" w:rsidP="00DC1D4D">
      <w:r>
        <w:t>Figure 8: Reasons for the volatility of Oil Prices</w:t>
      </w:r>
    </w:p>
    <w:p w14:paraId="5810A4AC" w14:textId="77777777" w:rsidR="00DC1D4D" w:rsidRDefault="00DC1D4D" w:rsidP="00DC1D4D">
      <w:pPr>
        <w:pStyle w:val="Caption"/>
        <w:rPr>
          <w:rFonts w:cs="Times New Roman"/>
          <w:sz w:val="32"/>
          <w:szCs w:val="32"/>
        </w:rPr>
      </w:pPr>
      <w:r>
        <w:rPr>
          <w:rFonts w:eastAsia="Times New Roman" w:cs="Times New Roman"/>
          <w:b w:val="0"/>
          <w:bCs w:val="0"/>
          <w:noProof/>
          <w:color w:val="000000"/>
          <w:szCs w:val="24"/>
          <w:shd w:val="clear" w:color="auto" w:fill="FFFFFF"/>
          <w:lang w:eastAsia="en-IN"/>
        </w:rPr>
        <w:drawing>
          <wp:inline distT="0" distB="0" distL="0" distR="0" wp14:anchorId="1E4DA2CE" wp14:editId="236B8903">
            <wp:extent cx="5265420" cy="2240280"/>
            <wp:effectExtent l="0" t="0" r="0" b="7620"/>
            <wp:docPr id="1039"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18A4CD4" w14:textId="77777777" w:rsidR="00DC1D4D" w:rsidRDefault="00DC1D4D" w:rsidP="00DC1D4D">
      <w:pPr>
        <w:spacing w:line="360" w:lineRule="auto"/>
        <w:jc w:val="both"/>
      </w:pPr>
      <w:r>
        <w:t>Technology: The development and application of advanced technology is vital to the modern industry task of finding and developing oil and gas resources. The reservoirs are covered with thousands of feet of rock that makes it difficult to "see" the deposits. But the development of three-dimensional (3D) seismic, coupled with significant increases in computational power allow the industry to develop fairly accurate models of the subsurface.</w:t>
      </w:r>
    </w:p>
    <w:p w14:paraId="01B21B8A" w14:textId="77777777" w:rsidR="00DC1D4D" w:rsidRDefault="00DC1D4D" w:rsidP="00DC1D4D">
      <w:pPr>
        <w:spacing w:line="360" w:lineRule="auto"/>
        <w:jc w:val="both"/>
      </w:pPr>
    </w:p>
    <w:p w14:paraId="28D72B4A" w14:textId="77777777" w:rsidR="00CC7439" w:rsidRDefault="00DC1D4D" w:rsidP="00CC7439">
      <w:pPr>
        <w:spacing w:line="360" w:lineRule="auto"/>
        <w:jc w:val="both"/>
      </w:pPr>
      <w:r>
        <w:lastRenderedPageBreak/>
        <w:t>Political issues</w:t>
      </w:r>
      <w:r w:rsidR="00CC7439">
        <w:t xml:space="preserve">: </w:t>
      </w:r>
      <w:r w:rsidR="00CC7439" w:rsidRPr="00CC7439">
        <w:t>The geopolitical battle is no longer over access to resources but about global market share. With lower incomes, governments in oil producing countries can no longer lavish subsidies and other perks on their local populations. This might lead to domestic instability and repression– although it might also drive reforms in some producing countries desperate to shore up strained budgets and diversify away from oil.</w:t>
      </w:r>
    </w:p>
    <w:p w14:paraId="61A48B87" w14:textId="77777777" w:rsidR="00CC7439" w:rsidRDefault="00CC7439" w:rsidP="00CC7439">
      <w:pPr>
        <w:spacing w:line="360" w:lineRule="auto"/>
        <w:jc w:val="both"/>
      </w:pPr>
    </w:p>
    <w:p w14:paraId="00899C21" w14:textId="77777777" w:rsidR="00DC1D4D" w:rsidRPr="00DC1D4D" w:rsidRDefault="00DC1D4D" w:rsidP="00CC7439">
      <w:pPr>
        <w:spacing w:line="360" w:lineRule="auto"/>
        <w:jc w:val="both"/>
      </w:pPr>
      <w:r>
        <w:t>Natural Causes</w:t>
      </w:r>
      <w:r w:rsidR="00CC7439">
        <w:t xml:space="preserve">: </w:t>
      </w:r>
      <w:r>
        <w:t>Burning of fossil fuel-oil, coal, and gas is one of the biggest challenges affecting climate change. Extreme weather conditions, rising oceans, and high temperatures are the major issues. The government has encouraged to shift to the use of renewable resources. In budget 2020, Govt has removed 20% import duty, which was imposed earlier.</w:t>
      </w:r>
    </w:p>
    <w:p w14:paraId="3A37488C" w14:textId="77777777" w:rsidR="00DC1D4D" w:rsidRPr="0016144F" w:rsidRDefault="00DC1D4D" w:rsidP="00DC1D4D"/>
    <w:p w14:paraId="75E7034A" w14:textId="77777777" w:rsidR="00B834D0" w:rsidRDefault="00B834D0" w:rsidP="008B1140">
      <w:pPr>
        <w:pStyle w:val="Heading1"/>
      </w:pPr>
      <w:bookmarkStart w:id="9" w:name="_Toc36751991"/>
      <w:r>
        <w:t xml:space="preserve">5. The </w:t>
      </w:r>
      <w:r w:rsidRPr="00952C16">
        <w:t>Government</w:t>
      </w:r>
      <w:r>
        <w:t xml:space="preserve"> Framework</w:t>
      </w:r>
      <w:bookmarkEnd w:id="9"/>
      <w:r>
        <w:t xml:space="preserve"> </w:t>
      </w:r>
    </w:p>
    <w:p w14:paraId="3A7630C9" w14:textId="77777777" w:rsidR="00B834D0" w:rsidRDefault="00B834D0" w:rsidP="00B834D0">
      <w:pPr>
        <w:spacing w:line="360" w:lineRule="auto"/>
        <w:jc w:val="both"/>
        <w:rPr>
          <w:rFonts w:cs="Times New Roman"/>
        </w:rPr>
      </w:pPr>
    </w:p>
    <w:p w14:paraId="633A4F15" w14:textId="77777777" w:rsidR="00B834D0" w:rsidRDefault="00B834D0" w:rsidP="00B834D0">
      <w:pPr>
        <w:pStyle w:val="ListParagraph"/>
        <w:numPr>
          <w:ilvl w:val="0"/>
          <w:numId w:val="9"/>
        </w:numPr>
        <w:spacing w:line="360" w:lineRule="auto"/>
        <w:ind w:left="426" w:hanging="426"/>
        <w:jc w:val="both"/>
        <w:rPr>
          <w:rFonts w:cs="Times New Roman"/>
          <w:szCs w:val="24"/>
        </w:rPr>
      </w:pPr>
      <w:r>
        <w:rPr>
          <w:rFonts w:cs="Times New Roman"/>
          <w:szCs w:val="24"/>
        </w:rPr>
        <w:t>The Oil and Gas industry in India is strictly regulated by the Ministry of Petroleum and Natural Gas, Government of India subject to each link in the chain from an exploration of crude oil to its distribution. There are several leading public sector and private sector companies. The pricing of petroleum is regulated by The Petroleum and Natural Gas Regulatory Body (PNGRB).</w:t>
      </w:r>
    </w:p>
    <w:p w14:paraId="4EF8BE15" w14:textId="77777777" w:rsidR="00B834D0" w:rsidRDefault="00B834D0" w:rsidP="00B834D0">
      <w:pPr>
        <w:pStyle w:val="ListParagraph"/>
        <w:numPr>
          <w:ilvl w:val="0"/>
          <w:numId w:val="9"/>
        </w:numPr>
        <w:spacing w:line="360" w:lineRule="auto"/>
        <w:ind w:left="426" w:hanging="426"/>
        <w:jc w:val="both"/>
        <w:rPr>
          <w:rFonts w:eastAsia="Times New Roman" w:cs="Times New Roman"/>
          <w:color w:val="000000"/>
          <w:szCs w:val="24"/>
          <w:shd w:val="clear" w:color="auto" w:fill="FFFFFF"/>
          <w:lang w:eastAsia="en-IN"/>
        </w:rPr>
      </w:pPr>
      <w:r>
        <w:rPr>
          <w:rFonts w:cs="Times New Roman"/>
          <w:szCs w:val="24"/>
        </w:rPr>
        <w:t>Under this framework VAT and Excise duty have been levied on the oil industry currently on an average 25% VAT collected by the State Govt along with Excise Duty</w:t>
      </w:r>
      <w:r>
        <w:rPr>
          <w:rFonts w:eastAsia="Times New Roman" w:cs="Times New Roman"/>
          <w:color w:val="000000"/>
          <w:szCs w:val="24"/>
          <w:shd w:val="clear" w:color="auto" w:fill="FFFFFF"/>
          <w:lang w:eastAsia="en-IN"/>
        </w:rPr>
        <w:t xml:space="preserve"> levied on standard petrol is Rs 19.48. In contrast, on branded gasoline, it is Rs 20.66. The price of oil is determined based on the cost of crude oil, taxes imposed by the central and state governments along with the dealer's commission, and the consumer is charging the VAT. As taxes on fuel is the primary source of revenue for Government, the input tax credit is taken by the Government itself because of this. The Government is not taking the oil industry in the GST regime. Currently by charging such tax Govt is yearly earning Rs 20000 cr. of revenue.</w:t>
      </w:r>
    </w:p>
    <w:p w14:paraId="37A10339" w14:textId="77777777" w:rsidR="00B834D0" w:rsidRPr="00CE6604" w:rsidRDefault="00B834D0" w:rsidP="00B834D0">
      <w:pPr>
        <w:pStyle w:val="ListParagraph"/>
        <w:numPr>
          <w:ilvl w:val="0"/>
          <w:numId w:val="9"/>
        </w:numPr>
        <w:spacing w:line="360" w:lineRule="auto"/>
        <w:ind w:left="426" w:hanging="426"/>
        <w:jc w:val="both"/>
        <w:rPr>
          <w:rFonts w:cs="Times New Roman"/>
          <w:szCs w:val="24"/>
        </w:rPr>
      </w:pPr>
      <w:r>
        <w:rPr>
          <w:rFonts w:eastAsia="Times New Roman" w:cs="Times New Roman"/>
          <w:color w:val="000000"/>
          <w:szCs w:val="24"/>
          <w:shd w:val="clear" w:color="auto" w:fill="FFFFFF"/>
          <w:lang w:eastAsia="en-IN"/>
        </w:rPr>
        <w:t>The government has encouraged to shift to the use of renewable resources. In budget 2020, Govt has removed 20% import duty, which was imposed earlier.</w:t>
      </w:r>
    </w:p>
    <w:p w14:paraId="37056225" w14:textId="77777777" w:rsidR="00B834D0" w:rsidRDefault="00B834D0" w:rsidP="00B834D0">
      <w:pPr>
        <w:spacing w:line="360" w:lineRule="auto"/>
        <w:jc w:val="both"/>
        <w:rPr>
          <w:rFonts w:cs="Times New Roman"/>
          <w:szCs w:val="24"/>
        </w:rPr>
      </w:pPr>
    </w:p>
    <w:p w14:paraId="6493075F" w14:textId="77777777" w:rsidR="00B834D0" w:rsidRDefault="00B834D0" w:rsidP="00B834D0">
      <w:pPr>
        <w:spacing w:line="360" w:lineRule="auto"/>
        <w:jc w:val="both"/>
        <w:rPr>
          <w:rFonts w:cs="Times New Roman"/>
          <w:szCs w:val="24"/>
        </w:rPr>
      </w:pPr>
    </w:p>
    <w:p w14:paraId="778EB0DC" w14:textId="77777777" w:rsidR="00952C16" w:rsidRDefault="00B834D0" w:rsidP="00952C16">
      <w:pPr>
        <w:pStyle w:val="Heading1"/>
      </w:pPr>
      <w:bookmarkStart w:id="10" w:name="_Toc36751992"/>
      <w:r>
        <w:lastRenderedPageBreak/>
        <w:t>6</w:t>
      </w:r>
      <w:r w:rsidR="00952C16">
        <w:t>. Major Companies</w:t>
      </w:r>
      <w:bookmarkEnd w:id="10"/>
    </w:p>
    <w:p w14:paraId="3823D099" w14:textId="77777777" w:rsidR="00952C16" w:rsidRDefault="00952C16" w:rsidP="00952C16">
      <w:pPr>
        <w:rPr>
          <w:rFonts w:cs="Times New Roman"/>
        </w:rPr>
      </w:pPr>
    </w:p>
    <w:p w14:paraId="51064DFB" w14:textId="77777777" w:rsidR="00952C16" w:rsidRDefault="00B834D0" w:rsidP="00952C16">
      <w:pPr>
        <w:pStyle w:val="Heading2"/>
        <w:rPr>
          <w:rFonts w:cs="Times New Roman"/>
        </w:rPr>
      </w:pPr>
      <w:bookmarkStart w:id="11" w:name="_Toc36751993"/>
      <w:r>
        <w:rPr>
          <w:rFonts w:cs="Times New Roman"/>
        </w:rPr>
        <w:t>6</w:t>
      </w:r>
      <w:r w:rsidR="00952C16">
        <w:rPr>
          <w:rFonts w:cs="Times New Roman"/>
        </w:rPr>
        <w:t>.1 BPCL</w:t>
      </w:r>
      <w:bookmarkEnd w:id="11"/>
    </w:p>
    <w:p w14:paraId="79EA6C33" w14:textId="77777777" w:rsidR="00952C16" w:rsidRDefault="00952C16" w:rsidP="00952C16">
      <w:pPr>
        <w:spacing w:line="360" w:lineRule="auto"/>
        <w:jc w:val="both"/>
        <w:rPr>
          <w:rFonts w:cs="Times New Roman"/>
        </w:rPr>
      </w:pPr>
      <w:r>
        <w:rPr>
          <w:rFonts w:cs="Times New Roman"/>
          <w:szCs w:val="24"/>
        </w:rPr>
        <w:t xml:space="preserve">BPCL was incorporated on November 3, 1952, as a private limited company with the name </w:t>
      </w:r>
      <w:proofErr w:type="spellStart"/>
      <w:r>
        <w:rPr>
          <w:rFonts w:cs="Times New Roman"/>
          <w:szCs w:val="24"/>
        </w:rPr>
        <w:t>Burmah</w:t>
      </w:r>
      <w:proofErr w:type="spellEnd"/>
      <w:r>
        <w:rPr>
          <w:rFonts w:cs="Times New Roman"/>
          <w:szCs w:val="24"/>
        </w:rPr>
        <w:t xml:space="preserve"> Shell Refineries Ltd. On January 24, 1976, the </w:t>
      </w:r>
      <w:proofErr w:type="spellStart"/>
      <w:r>
        <w:rPr>
          <w:rFonts w:cs="Times New Roman"/>
          <w:szCs w:val="24"/>
        </w:rPr>
        <w:t>Burmah</w:t>
      </w:r>
      <w:proofErr w:type="spellEnd"/>
      <w:r>
        <w:rPr>
          <w:rFonts w:cs="Times New Roman"/>
          <w:szCs w:val="24"/>
        </w:rPr>
        <w:t xml:space="preserve"> Shell Group of Companies was taken over by the Government of India to form Bharat Refineries Ltd. On August 1, 1977, the company was renamed Bharat Petroleum Corporation Ltd.</w:t>
      </w:r>
    </w:p>
    <w:p w14:paraId="3145CE73" w14:textId="77777777" w:rsidR="00952C16" w:rsidRDefault="00952C16" w:rsidP="00952C16">
      <w:pPr>
        <w:spacing w:line="360" w:lineRule="auto"/>
        <w:jc w:val="both"/>
        <w:rPr>
          <w:rFonts w:cs="Times New Roman"/>
        </w:rPr>
      </w:pPr>
    </w:p>
    <w:p w14:paraId="5E0DD73C" w14:textId="77777777" w:rsidR="00952C16" w:rsidRDefault="00952C16" w:rsidP="00952C16">
      <w:pPr>
        <w:spacing w:line="360" w:lineRule="auto"/>
        <w:jc w:val="both"/>
        <w:rPr>
          <w:rFonts w:cs="Times New Roman"/>
          <w:szCs w:val="24"/>
        </w:rPr>
      </w:pPr>
      <w:r>
        <w:rPr>
          <w:rFonts w:cs="Times New Roman"/>
          <w:szCs w:val="24"/>
        </w:rPr>
        <w:t xml:space="preserve">BPCL operates in the petroleum industry in India. They are engaged in the exploration and production of hydrocarbons. BPCL regularly imports its LPG requirements mainly from the Middle East. The import requirements include Gasoil, Kerosene, Gasoline, and Base oil. The company refineries consist of Mumbai Refinery, Kochi Refinery, </w:t>
      </w:r>
      <w:proofErr w:type="spellStart"/>
      <w:r>
        <w:rPr>
          <w:rFonts w:cs="Times New Roman"/>
          <w:szCs w:val="24"/>
        </w:rPr>
        <w:t>Numaligarh</w:t>
      </w:r>
      <w:proofErr w:type="spellEnd"/>
      <w:r>
        <w:rPr>
          <w:rFonts w:cs="Times New Roman"/>
          <w:szCs w:val="24"/>
        </w:rPr>
        <w:t xml:space="preserve"> Refinery, and Bina Refinery. Currently, NBPCL has a 20-21% market share in India.</w:t>
      </w:r>
    </w:p>
    <w:p w14:paraId="5407013F" w14:textId="77777777" w:rsidR="00952C16" w:rsidRPr="00DE2618" w:rsidRDefault="00952C16" w:rsidP="00952C16">
      <w:pPr>
        <w:rPr>
          <w:rFonts w:cs="Times New Roman"/>
          <w:szCs w:val="24"/>
        </w:rPr>
      </w:pPr>
      <w:r>
        <w:t>Figure 3: Refinery Throughput</w:t>
      </w:r>
    </w:p>
    <w:p w14:paraId="2BC7AFAB" w14:textId="77777777" w:rsidR="00952C16" w:rsidRDefault="00952C16" w:rsidP="00952C16">
      <w:pPr>
        <w:spacing w:line="276" w:lineRule="auto"/>
        <w:jc w:val="both"/>
        <w:rPr>
          <w:rFonts w:cs="Times New Roman"/>
          <w:szCs w:val="24"/>
        </w:rPr>
      </w:pPr>
      <w:r>
        <w:rPr>
          <w:rFonts w:cs="Times New Roman"/>
          <w:noProof/>
        </w:rPr>
        <w:drawing>
          <wp:inline distT="0" distB="0" distL="114300" distR="114300" wp14:anchorId="6F7404B4" wp14:editId="50E54FF5">
            <wp:extent cx="5151120" cy="2438400"/>
            <wp:effectExtent l="0" t="0" r="11430" b="0"/>
            <wp:docPr id="1033"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AB0E89" w14:textId="77777777" w:rsidR="00952C16" w:rsidRPr="0057185D" w:rsidRDefault="00952C16" w:rsidP="00952C16">
      <w:pPr>
        <w:rPr>
          <w:sz w:val="20"/>
          <w:szCs w:val="16"/>
        </w:rPr>
      </w:pPr>
      <w:r w:rsidRPr="0057185D">
        <w:rPr>
          <w:rFonts w:cs="Times New Roman"/>
          <w:sz w:val="20"/>
          <w:szCs w:val="16"/>
        </w:rPr>
        <w:fldChar w:fldCharType="begin"/>
      </w:r>
      <w:r w:rsidRPr="0057185D">
        <w:rPr>
          <w:rFonts w:cs="Times New Roman"/>
          <w:sz w:val="20"/>
          <w:szCs w:val="16"/>
        </w:rPr>
        <w:instrText xml:space="preserve"> CITATION BPC19 \l 16393 </w:instrText>
      </w:r>
      <w:r w:rsidRPr="0057185D">
        <w:rPr>
          <w:rFonts w:cs="Times New Roman"/>
          <w:sz w:val="20"/>
          <w:szCs w:val="16"/>
        </w:rPr>
        <w:fldChar w:fldCharType="separate"/>
      </w:r>
      <w:r w:rsidRPr="0057185D">
        <w:rPr>
          <w:rFonts w:cs="Times New Roman"/>
          <w:noProof/>
          <w:sz w:val="20"/>
          <w:szCs w:val="16"/>
        </w:rPr>
        <w:t>(BPCL Annual Report, 2018-19)</w:t>
      </w:r>
      <w:r w:rsidRPr="0057185D">
        <w:rPr>
          <w:rFonts w:cs="Times New Roman"/>
          <w:sz w:val="20"/>
          <w:szCs w:val="16"/>
        </w:rPr>
        <w:fldChar w:fldCharType="end"/>
      </w:r>
    </w:p>
    <w:p w14:paraId="0B596854" w14:textId="77777777" w:rsidR="00952C16" w:rsidRDefault="00952C16" w:rsidP="00952C16"/>
    <w:p w14:paraId="000407BB" w14:textId="77777777" w:rsidR="00952C16" w:rsidRDefault="00B834D0" w:rsidP="00952C16">
      <w:pPr>
        <w:pStyle w:val="Heading2"/>
        <w:rPr>
          <w:rFonts w:cs="Times New Roman"/>
        </w:rPr>
      </w:pPr>
      <w:bookmarkStart w:id="12" w:name="_Toc36751994"/>
      <w:r>
        <w:rPr>
          <w:rFonts w:cs="Times New Roman"/>
        </w:rPr>
        <w:t>6</w:t>
      </w:r>
      <w:r w:rsidR="00952C16">
        <w:rPr>
          <w:rFonts w:cs="Times New Roman"/>
        </w:rPr>
        <w:t>.2 IOCL</w:t>
      </w:r>
      <w:bookmarkEnd w:id="12"/>
    </w:p>
    <w:p w14:paraId="35A940AA" w14:textId="77777777" w:rsidR="00952C16" w:rsidRDefault="00952C16" w:rsidP="00952C16">
      <w:pPr>
        <w:spacing w:line="360" w:lineRule="auto"/>
        <w:jc w:val="both"/>
        <w:rPr>
          <w:rFonts w:cs="Times New Roman"/>
          <w:color w:val="000000"/>
          <w:szCs w:val="24"/>
          <w:shd w:val="clear" w:color="auto" w:fill="FFFFFF"/>
        </w:rPr>
      </w:pPr>
      <w:r>
        <w:rPr>
          <w:rFonts w:cs="Times New Roman"/>
          <w:color w:val="222222"/>
          <w:szCs w:val="24"/>
          <w:shd w:val="clear" w:color="auto" w:fill="FFFFFF"/>
        </w:rPr>
        <w:t>Indian Oil Corporation Limited, owned by the Government of India, is an oil and gas company, headquartered in New Delhi. It is the largest commercial oil company in the country; it retained the top spot for the highest-ranked PSU in Fortune "Global 500" list in 2019.</w:t>
      </w:r>
      <w:r>
        <w:rPr>
          <w:rFonts w:cs="Times New Roman"/>
          <w:szCs w:val="24"/>
        </w:rPr>
        <w:t xml:space="preserve"> The operating revenues of IOCL have been rising at a rate of 4.89% CAGR. </w:t>
      </w:r>
      <w:r>
        <w:rPr>
          <w:rFonts w:cs="Times New Roman"/>
          <w:color w:val="000000"/>
          <w:szCs w:val="24"/>
          <w:shd w:val="clear" w:color="auto" w:fill="FFFFFF"/>
        </w:rPr>
        <w:t xml:space="preserve">Indian Oil's business interests encompassing the entire hydrocarbon value chain- from refining, pipeline transportation &amp; marketing to exploration &amp; production of crude oil &amp; gas, petrochemicals, gas marketing, alternative energy sources, and globalization of downstream operations. Indian Oil accounts for nearly half of India's </w:t>
      </w:r>
      <w:r>
        <w:rPr>
          <w:rFonts w:cs="Times New Roman"/>
          <w:color w:val="000000"/>
          <w:szCs w:val="24"/>
          <w:shd w:val="clear" w:color="auto" w:fill="FFFFFF"/>
        </w:rPr>
        <w:lastRenderedPageBreak/>
        <w:t>petroleum products market share, with sales of about 90 million tonnes in 2018-19. Over 32% of national refining capacity and 71% downstream sector pipelines throughput capacity are with Indian Oil.</w:t>
      </w:r>
    </w:p>
    <w:p w14:paraId="39228849" w14:textId="77777777" w:rsidR="00952C16" w:rsidRPr="00CC7439" w:rsidRDefault="00952C16" w:rsidP="00CC7439">
      <w:pPr>
        <w:rPr>
          <w:rFonts w:cs="Times New Roman"/>
          <w:color w:val="000000"/>
          <w:szCs w:val="24"/>
          <w:shd w:val="clear" w:color="auto" w:fill="FFFFFF"/>
        </w:rPr>
      </w:pPr>
      <w:r>
        <w:rPr>
          <w:rFonts w:cs="Times New Roman"/>
          <w:szCs w:val="24"/>
        </w:rPr>
        <w:t>Figure 4: Crude Oil Import 2018-19</w:t>
      </w:r>
    </w:p>
    <w:p w14:paraId="7CD327A4" w14:textId="77777777" w:rsidR="00952C16" w:rsidRDefault="00952C16" w:rsidP="00952C16">
      <w:pPr>
        <w:spacing w:line="276" w:lineRule="auto"/>
        <w:jc w:val="both"/>
        <w:rPr>
          <w:rFonts w:cs="Times New Roman"/>
          <w:szCs w:val="24"/>
        </w:rPr>
      </w:pPr>
      <w:r>
        <w:rPr>
          <w:rFonts w:cs="Times New Roman"/>
          <w:noProof/>
          <w:szCs w:val="24"/>
          <w:lang w:eastAsia="en-IN"/>
        </w:rPr>
        <w:drawing>
          <wp:inline distT="0" distB="0" distL="114300" distR="114300" wp14:anchorId="08395515" wp14:editId="1A81A966">
            <wp:extent cx="5257800" cy="2987040"/>
            <wp:effectExtent l="0" t="0" r="0" b="3810"/>
            <wp:docPr id="1035"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BA4B796" w14:textId="77777777" w:rsidR="00952C16" w:rsidRPr="00F85057" w:rsidRDefault="00952C16" w:rsidP="00F85057">
      <w:pPr>
        <w:spacing w:line="276" w:lineRule="auto"/>
        <w:jc w:val="both"/>
        <w:rPr>
          <w:rFonts w:cs="Times New Roman"/>
          <w:sz w:val="20"/>
        </w:rPr>
      </w:pPr>
      <w:r w:rsidRPr="0057185D">
        <w:rPr>
          <w:rFonts w:cs="Times New Roman"/>
          <w:sz w:val="20"/>
          <w:szCs w:val="16"/>
        </w:rPr>
        <w:fldChar w:fldCharType="begin"/>
      </w:r>
      <w:r w:rsidRPr="0057185D">
        <w:rPr>
          <w:rFonts w:cs="Times New Roman"/>
          <w:sz w:val="20"/>
          <w:szCs w:val="16"/>
        </w:rPr>
        <w:instrText xml:space="preserve"> CITATION IOC191 \l 16393 </w:instrText>
      </w:r>
      <w:r w:rsidRPr="0057185D">
        <w:rPr>
          <w:rFonts w:cs="Times New Roman"/>
          <w:sz w:val="20"/>
          <w:szCs w:val="16"/>
        </w:rPr>
        <w:fldChar w:fldCharType="separate"/>
      </w:r>
      <w:r w:rsidRPr="0057185D">
        <w:rPr>
          <w:rFonts w:cs="Times New Roman"/>
          <w:noProof/>
          <w:sz w:val="20"/>
          <w:szCs w:val="16"/>
        </w:rPr>
        <w:t>(IOCL Annual Report, 2018-19)</w:t>
      </w:r>
      <w:r w:rsidRPr="0057185D">
        <w:rPr>
          <w:rFonts w:cs="Times New Roman"/>
          <w:sz w:val="20"/>
          <w:szCs w:val="16"/>
        </w:rPr>
        <w:fldChar w:fldCharType="end"/>
      </w:r>
    </w:p>
    <w:p w14:paraId="0923DCD2" w14:textId="77777777" w:rsidR="00952C16" w:rsidRDefault="00B834D0" w:rsidP="00952C16">
      <w:pPr>
        <w:pStyle w:val="Heading2"/>
        <w:spacing w:after="240"/>
        <w:rPr>
          <w:rFonts w:cs="Times New Roman"/>
        </w:rPr>
      </w:pPr>
      <w:bookmarkStart w:id="13" w:name="_Toc36751995"/>
      <w:r>
        <w:rPr>
          <w:rFonts w:cs="Times New Roman"/>
        </w:rPr>
        <w:t>6</w:t>
      </w:r>
      <w:r w:rsidR="00952C16">
        <w:rPr>
          <w:rFonts w:cs="Times New Roman"/>
        </w:rPr>
        <w:t>.3 Reliance Petroleum Ltd.</w:t>
      </w:r>
      <w:bookmarkEnd w:id="13"/>
    </w:p>
    <w:p w14:paraId="3FDB2A46" w14:textId="77777777" w:rsidR="00952C16" w:rsidRDefault="00952C16" w:rsidP="00952C16">
      <w:pPr>
        <w:spacing w:after="100" w:afterAutospacing="1" w:line="360" w:lineRule="auto"/>
        <w:jc w:val="both"/>
        <w:rPr>
          <w:rFonts w:cs="Times New Roman"/>
          <w:szCs w:val="24"/>
        </w:rPr>
      </w:pPr>
      <w:r>
        <w:rPr>
          <w:rFonts w:cs="Times New Roman"/>
          <w:szCs w:val="24"/>
        </w:rPr>
        <w:t>Reliance Petroleum Ltd. operating under Reliance Industries Ltd. is one of the most significant contributors to the Oil Industries in India. The company was founded in 2008, having headquarters in Ahmedabad, Gujarat, India, today has a countrywide operational network of 1,372 retail fuel outlets and 30 Aviation Fuel Stations.</w:t>
      </w:r>
    </w:p>
    <w:p w14:paraId="55F18BEE" w14:textId="77777777" w:rsidR="00952C16" w:rsidRDefault="00952C16" w:rsidP="00952C16">
      <w:pPr>
        <w:spacing w:line="360" w:lineRule="auto"/>
        <w:jc w:val="both"/>
        <w:rPr>
          <w:rFonts w:eastAsia="Times New Roman" w:cs="Times New Roman"/>
          <w:szCs w:val="24"/>
        </w:rPr>
      </w:pPr>
      <w:r>
        <w:rPr>
          <w:rFonts w:cs="Times New Roman"/>
          <w:szCs w:val="24"/>
        </w:rPr>
        <w:t>The Jamnagar Refinery owned by Reliance Industries is the World’s largest Oil Refinery having an aggregate refining capacity of 1.24 MBPD. Despite ownership, Reliance is also participating in multiple National &amp; International Ventures.</w:t>
      </w:r>
    </w:p>
    <w:p w14:paraId="2E9214C2" w14:textId="77777777" w:rsidR="00952C16" w:rsidRDefault="00952C16" w:rsidP="00952C16">
      <w:pPr>
        <w:spacing w:line="360" w:lineRule="auto"/>
        <w:jc w:val="both"/>
        <w:rPr>
          <w:rFonts w:cs="Times New Roman"/>
          <w:szCs w:val="24"/>
        </w:rPr>
      </w:pPr>
      <w:r>
        <w:rPr>
          <w:rFonts w:cs="Times New Roman"/>
          <w:szCs w:val="24"/>
        </w:rPr>
        <w:t>Reliance had 30% share in an unincorporated joint venture with BP Group (30%) and ONGC (40%) to operate in Panna Mukta Tapti in the region of Gulf of Khambhat (6% of India's oil production) </w:t>
      </w:r>
    </w:p>
    <w:p w14:paraId="35333483" w14:textId="77777777" w:rsidR="00952C16" w:rsidRDefault="00952C16" w:rsidP="00952C16">
      <w:pPr>
        <w:spacing w:after="100" w:afterAutospacing="1" w:line="360" w:lineRule="auto"/>
        <w:jc w:val="both"/>
        <w:rPr>
          <w:rFonts w:cs="Times New Roman"/>
          <w:szCs w:val="24"/>
        </w:rPr>
      </w:pPr>
      <w:r>
        <w:rPr>
          <w:rFonts w:cs="Times New Roman"/>
          <w:szCs w:val="24"/>
        </w:rPr>
        <w:t>Also has Joint ventures in North American shale plays Pioneer Natural Resources and Chevron</w:t>
      </w:r>
    </w:p>
    <w:p w14:paraId="08725DDC" w14:textId="77777777" w:rsidR="00952C16" w:rsidRDefault="00952C16" w:rsidP="00952C16">
      <w:pPr>
        <w:spacing w:before="100" w:beforeAutospacing="1" w:after="100" w:afterAutospacing="1" w:line="360" w:lineRule="auto"/>
        <w:jc w:val="both"/>
        <w:rPr>
          <w:rFonts w:cs="Times New Roman"/>
          <w:szCs w:val="24"/>
        </w:rPr>
      </w:pPr>
      <w:r>
        <w:rPr>
          <w:rFonts w:cs="Times New Roman"/>
          <w:b/>
          <w:bCs/>
          <w:szCs w:val="24"/>
        </w:rPr>
        <w:t>Current Strategies</w:t>
      </w:r>
    </w:p>
    <w:p w14:paraId="2687735A" w14:textId="77777777" w:rsidR="00952C16" w:rsidRDefault="00952C16" w:rsidP="00952C16">
      <w:pPr>
        <w:pStyle w:val="ListParagraph"/>
        <w:numPr>
          <w:ilvl w:val="0"/>
          <w:numId w:val="8"/>
        </w:numPr>
        <w:spacing w:line="360" w:lineRule="auto"/>
        <w:jc w:val="both"/>
        <w:rPr>
          <w:rFonts w:cs="Times New Roman"/>
          <w:szCs w:val="24"/>
        </w:rPr>
      </w:pPr>
      <w:r>
        <w:rPr>
          <w:rFonts w:cs="Times New Roman"/>
          <w:szCs w:val="24"/>
        </w:rPr>
        <w:lastRenderedPageBreak/>
        <w:t>RIL and BP have signed an agreement relating to mobility Joint Ventures, expecting to expand its current fuel retailing network up to 5,500 retail outlets and 45 aviation fuel stations.</w:t>
      </w:r>
    </w:p>
    <w:p w14:paraId="3561008A" w14:textId="77777777" w:rsidR="00952C16" w:rsidRDefault="00952C16" w:rsidP="00952C16">
      <w:pPr>
        <w:pStyle w:val="ListParagraph"/>
        <w:numPr>
          <w:ilvl w:val="0"/>
          <w:numId w:val="8"/>
        </w:numPr>
        <w:spacing w:line="360" w:lineRule="auto"/>
        <w:jc w:val="both"/>
        <w:rPr>
          <w:rFonts w:cs="Times New Roman"/>
          <w:szCs w:val="24"/>
        </w:rPr>
      </w:pPr>
      <w:r>
        <w:rPr>
          <w:rFonts w:cs="Times New Roman"/>
          <w:szCs w:val="24"/>
        </w:rPr>
        <w:t>RIL and Abu Dhabi National Oil Company (ADNOC) has signed a deal to explore the development of an Ethylene Dichloride (EDC), where RIL will provide it with expertise and entry to Indian vinyl markets against ADNOC's world-class Infrastructure in Ruwais.</w:t>
      </w:r>
    </w:p>
    <w:p w14:paraId="655E747D" w14:textId="77777777" w:rsidR="00952C16" w:rsidRDefault="00952C16" w:rsidP="00952C16">
      <w:pPr>
        <w:pStyle w:val="ListParagraph"/>
        <w:numPr>
          <w:ilvl w:val="0"/>
          <w:numId w:val="8"/>
        </w:numPr>
        <w:spacing w:line="360" w:lineRule="auto"/>
        <w:jc w:val="both"/>
        <w:rPr>
          <w:rFonts w:cs="Times New Roman"/>
          <w:szCs w:val="24"/>
        </w:rPr>
      </w:pPr>
      <w:r>
        <w:rPr>
          <w:rFonts w:cs="Times New Roman"/>
          <w:szCs w:val="24"/>
        </w:rPr>
        <w:t>The Operating rights of RIL under the Unincorporated Joint venture of Panna Mukta Oil and Gas Fields, the venture partners have handed over the rights back to the Government of India’s nominee ONGC.</w:t>
      </w:r>
    </w:p>
    <w:p w14:paraId="73A7CEC0" w14:textId="77777777" w:rsidR="00952C16" w:rsidRDefault="00952C16" w:rsidP="00952C16">
      <w:pPr>
        <w:spacing w:line="360" w:lineRule="auto"/>
        <w:jc w:val="both"/>
        <w:rPr>
          <w:rFonts w:cs="Times New Roman"/>
          <w:szCs w:val="24"/>
        </w:rPr>
      </w:pPr>
    </w:p>
    <w:p w14:paraId="07B398CF" w14:textId="77777777" w:rsidR="00952C16" w:rsidRPr="00F108DF" w:rsidRDefault="00952C16" w:rsidP="00952C16">
      <w:pPr>
        <w:spacing w:line="360" w:lineRule="auto"/>
        <w:jc w:val="both"/>
        <w:rPr>
          <w:rFonts w:cs="Times New Roman"/>
          <w:szCs w:val="24"/>
        </w:rPr>
      </w:pPr>
      <w:r>
        <w:rPr>
          <w:rFonts w:cs="Times New Roman"/>
          <w:szCs w:val="24"/>
        </w:rPr>
        <w:t>Figure 5: Product Portfolio</w:t>
      </w:r>
    </w:p>
    <w:p w14:paraId="0FF9F6D3" w14:textId="77777777" w:rsidR="00952C16" w:rsidRDefault="00952C16" w:rsidP="00952C16">
      <w:pPr>
        <w:spacing w:line="360" w:lineRule="auto"/>
        <w:ind w:left="-284"/>
        <w:jc w:val="both"/>
        <w:rPr>
          <w:rFonts w:cs="Times New Roman"/>
          <w:szCs w:val="24"/>
        </w:rPr>
      </w:pPr>
      <w:r>
        <w:rPr>
          <w:rFonts w:cs="Times New Roman"/>
          <w:noProof/>
          <w:szCs w:val="24"/>
        </w:rPr>
        <w:drawing>
          <wp:inline distT="0" distB="0" distL="0" distR="0" wp14:anchorId="7B4C6C51" wp14:editId="3DE45D75">
            <wp:extent cx="6169660" cy="4191000"/>
            <wp:effectExtent l="57150" t="0" r="0" b="0"/>
            <wp:docPr id="1036" name="Diagram 1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37EA3EB" w14:textId="77777777" w:rsidR="00952C16" w:rsidRDefault="00952C16" w:rsidP="00952C16">
      <w:pPr>
        <w:spacing w:line="276" w:lineRule="auto"/>
        <w:jc w:val="both"/>
        <w:rPr>
          <w:rFonts w:cs="Times New Roman"/>
          <w:sz w:val="20"/>
        </w:rPr>
      </w:pPr>
      <w:r w:rsidRPr="0057185D">
        <w:rPr>
          <w:rFonts w:cs="Times New Roman"/>
          <w:sz w:val="20"/>
          <w:szCs w:val="16"/>
        </w:rPr>
        <w:fldChar w:fldCharType="begin"/>
      </w:r>
      <w:r w:rsidRPr="0057185D">
        <w:rPr>
          <w:rFonts w:cs="Times New Roman"/>
          <w:sz w:val="20"/>
          <w:szCs w:val="16"/>
        </w:rPr>
        <w:instrText xml:space="preserve"> CITATION RIL19 \l 16393 </w:instrText>
      </w:r>
      <w:r w:rsidRPr="0057185D">
        <w:rPr>
          <w:rFonts w:cs="Times New Roman"/>
          <w:sz w:val="20"/>
          <w:szCs w:val="16"/>
        </w:rPr>
        <w:fldChar w:fldCharType="separate"/>
      </w:r>
      <w:r w:rsidRPr="0057185D">
        <w:rPr>
          <w:rFonts w:cs="Times New Roman"/>
          <w:noProof/>
          <w:sz w:val="20"/>
          <w:szCs w:val="16"/>
        </w:rPr>
        <w:t>(RIL Annual Report, 2018-19)</w:t>
      </w:r>
      <w:r w:rsidRPr="0057185D">
        <w:rPr>
          <w:rFonts w:cs="Times New Roman"/>
          <w:sz w:val="20"/>
          <w:szCs w:val="16"/>
        </w:rPr>
        <w:fldChar w:fldCharType="end"/>
      </w:r>
    </w:p>
    <w:p w14:paraId="2C6328BE" w14:textId="77777777" w:rsidR="00CC7439" w:rsidRDefault="00CC7439">
      <w:pPr>
        <w:rPr>
          <w:rFonts w:cs="Times New Roman"/>
          <w:sz w:val="20"/>
        </w:rPr>
      </w:pPr>
      <w:r>
        <w:rPr>
          <w:rFonts w:cs="Times New Roman"/>
          <w:sz w:val="20"/>
        </w:rPr>
        <w:br w:type="page"/>
      </w:r>
    </w:p>
    <w:p w14:paraId="731EC79A" w14:textId="77777777" w:rsidR="006564AA" w:rsidRDefault="00037F74">
      <w:pPr>
        <w:pStyle w:val="Heading1"/>
      </w:pPr>
      <w:bookmarkStart w:id="14" w:name="_Toc36751996"/>
      <w:r>
        <w:lastRenderedPageBreak/>
        <w:t>7. Competitors Analysis</w:t>
      </w:r>
      <w:bookmarkEnd w:id="14"/>
    </w:p>
    <w:p w14:paraId="7EDC6331" w14:textId="77777777" w:rsidR="006564AA" w:rsidRDefault="006564AA">
      <w:pPr>
        <w:rPr>
          <w:rFonts w:cs="Times New Roman"/>
        </w:rPr>
      </w:pPr>
    </w:p>
    <w:p w14:paraId="67D63F91" w14:textId="77777777" w:rsidR="006564AA" w:rsidRDefault="00037F74">
      <w:pPr>
        <w:pStyle w:val="Heading2"/>
        <w:rPr>
          <w:rFonts w:cs="Times New Roman"/>
        </w:rPr>
      </w:pPr>
      <w:bookmarkStart w:id="15" w:name="_Toc36751997"/>
      <w:r>
        <w:rPr>
          <w:rFonts w:cs="Times New Roman"/>
        </w:rPr>
        <w:t>7.1 Oil India Ltd</w:t>
      </w:r>
      <w:bookmarkEnd w:id="15"/>
    </w:p>
    <w:p w14:paraId="215185C1" w14:textId="77777777" w:rsidR="006564AA" w:rsidRDefault="006564AA">
      <w:pPr>
        <w:rPr>
          <w:rFonts w:cs="Times New Roman"/>
        </w:rPr>
      </w:pPr>
    </w:p>
    <w:p w14:paraId="4F84FC0D" w14:textId="77777777" w:rsidR="006564AA" w:rsidRDefault="00037F74">
      <w:pPr>
        <w:spacing w:line="360" w:lineRule="auto"/>
        <w:jc w:val="both"/>
        <w:rPr>
          <w:rFonts w:eastAsia="Calibri" w:cs="Times New Roman"/>
          <w:szCs w:val="24"/>
        </w:rPr>
      </w:pPr>
      <w:r>
        <w:rPr>
          <w:rFonts w:cs="Times New Roman"/>
          <w:szCs w:val="24"/>
        </w:rPr>
        <w:t>Oil India Ltd was incorporated as a private limited company on Feb 18, 1989, as Oil India Private Ltd.</w:t>
      </w:r>
    </w:p>
    <w:p w14:paraId="3BC66EBE" w14:textId="77777777" w:rsidR="006564AA" w:rsidRDefault="00037F74">
      <w:pPr>
        <w:spacing w:line="360" w:lineRule="auto"/>
        <w:jc w:val="both"/>
        <w:rPr>
          <w:rFonts w:cs="Times New Roman"/>
          <w:b/>
          <w:szCs w:val="24"/>
        </w:rPr>
      </w:pPr>
      <w:r>
        <w:rPr>
          <w:rFonts w:cs="Times New Roman"/>
          <w:szCs w:val="24"/>
        </w:rPr>
        <w:t>Today Oil India is a premier Indian National Oil Company engaged in the business of exploration, production of crude oil and natural gas, transportation, downstream (refining and marketing) and in producing non-conventional energy</w:t>
      </w:r>
      <w:r>
        <w:rPr>
          <w:rFonts w:cs="Times New Roman"/>
          <w:b/>
          <w:szCs w:val="24"/>
        </w:rPr>
        <w:t>.</w:t>
      </w:r>
    </w:p>
    <w:p w14:paraId="469337B4" w14:textId="77777777" w:rsidR="006564AA" w:rsidRDefault="00037F74">
      <w:pPr>
        <w:spacing w:line="360" w:lineRule="auto"/>
        <w:jc w:val="both"/>
        <w:rPr>
          <w:rFonts w:cs="Times New Roman"/>
          <w:color w:val="333333"/>
          <w:szCs w:val="24"/>
          <w:shd w:val="clear" w:color="auto" w:fill="FFFFFF"/>
        </w:rPr>
      </w:pPr>
      <w:r>
        <w:rPr>
          <w:rFonts w:cs="Times New Roman"/>
          <w:color w:val="333333"/>
          <w:szCs w:val="24"/>
          <w:shd w:val="clear" w:color="auto" w:fill="FFFFFF"/>
        </w:rPr>
        <w:t>Oil India Limited (OIL) is a pioneer in E&amp;P business and presently has large exploratory and producing acreage in India and abroad. OIL is the leading producer of oil and gas in the upper Assam Basin.</w:t>
      </w:r>
    </w:p>
    <w:p w14:paraId="18CCD593" w14:textId="77777777" w:rsidR="009B3E0B" w:rsidRDefault="00037F74" w:rsidP="00CE6604">
      <w:pPr>
        <w:pStyle w:val="NormalWeb"/>
        <w:shd w:val="clear" w:color="auto" w:fill="FFFFFF"/>
        <w:spacing w:before="0" w:beforeAutospacing="0" w:after="0" w:afterAutospacing="0" w:line="360" w:lineRule="auto"/>
        <w:jc w:val="both"/>
        <w:textAlignment w:val="baseline"/>
        <w:rPr>
          <w:color w:val="333333"/>
        </w:rPr>
      </w:pPr>
      <w:r>
        <w:rPr>
          <w:color w:val="333333"/>
        </w:rPr>
        <w:t>It has also recently acquired stakes in two significant producing assets from Rosneft Oil Company, the National Oil Company of the Russian Federation.  Oil India Ltd led a consortium of Indian Oil Corporation Limited and Bharat Petro-Resources Limited and completed the acquisition of 29.9%</w:t>
      </w:r>
      <w:r w:rsidR="00280AEE">
        <w:rPr>
          <w:color w:val="333333"/>
        </w:rPr>
        <w:t xml:space="preserve"> </w:t>
      </w:r>
      <w:r>
        <w:rPr>
          <w:color w:val="333333"/>
        </w:rPr>
        <w:t xml:space="preserve">and 23.9% stakes in LLC </w:t>
      </w:r>
      <w:proofErr w:type="spellStart"/>
      <w:r>
        <w:rPr>
          <w:color w:val="333333"/>
        </w:rPr>
        <w:t>Taas-Yuryakh</w:t>
      </w:r>
      <w:proofErr w:type="spellEnd"/>
      <w:r>
        <w:rPr>
          <w:color w:val="333333"/>
        </w:rPr>
        <w:t xml:space="preserve"> </w:t>
      </w:r>
      <w:proofErr w:type="spellStart"/>
      <w:r>
        <w:rPr>
          <w:color w:val="333333"/>
        </w:rPr>
        <w:t>Neftegazodobycha</w:t>
      </w:r>
      <w:proofErr w:type="spellEnd"/>
      <w:r>
        <w:rPr>
          <w:color w:val="333333"/>
        </w:rPr>
        <w:t xml:space="preserve"> and JSC </w:t>
      </w:r>
      <w:proofErr w:type="spellStart"/>
      <w:r>
        <w:rPr>
          <w:color w:val="333333"/>
        </w:rPr>
        <w:t>Vankorneft</w:t>
      </w:r>
      <w:proofErr w:type="spellEnd"/>
      <w:r>
        <w:rPr>
          <w:color w:val="333333"/>
        </w:rPr>
        <w:t xml:space="preserve"> respectively. With these acquisitions, crude oil production from Russia for Oil India Ltd would be around 1.7 MMT. </w:t>
      </w:r>
    </w:p>
    <w:p w14:paraId="052A326F" w14:textId="77777777" w:rsidR="006564AA" w:rsidRPr="0074288A" w:rsidRDefault="00536C8B" w:rsidP="00536C8B">
      <w:pPr>
        <w:rPr>
          <w:rFonts w:eastAsia="Times New Roman" w:cs="Times New Roman"/>
          <w:color w:val="333333"/>
          <w:szCs w:val="24"/>
          <w:lang w:val="en-US" w:bidi="ar-SA"/>
        </w:rPr>
      </w:pPr>
      <w:r>
        <w:rPr>
          <w:rFonts w:cs="Times New Roman"/>
          <w:bCs/>
        </w:rPr>
        <w:t>Figure 9: Oil India’s Shareholding Pattern</w:t>
      </w:r>
    </w:p>
    <w:p w14:paraId="3EDD917C" w14:textId="77777777" w:rsidR="006564AA" w:rsidRDefault="00037F74">
      <w:pPr>
        <w:jc w:val="both"/>
        <w:rPr>
          <w:rFonts w:cs="Times New Roman"/>
          <w:szCs w:val="24"/>
          <w:u w:val="single"/>
        </w:rPr>
      </w:pPr>
      <w:r>
        <w:rPr>
          <w:rFonts w:cs="Times New Roman"/>
          <w:noProof/>
          <w:szCs w:val="24"/>
          <w:u w:val="single"/>
        </w:rPr>
        <w:drawing>
          <wp:inline distT="0" distB="0" distL="114300" distR="114300" wp14:anchorId="7CE2190F" wp14:editId="08E84033">
            <wp:extent cx="4899660" cy="2369820"/>
            <wp:effectExtent l="0" t="0" r="15240" b="11430"/>
            <wp:docPr id="1041"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5230E9F" w14:textId="77777777" w:rsidR="006564AA" w:rsidRDefault="00037F74">
      <w:pPr>
        <w:rPr>
          <w:rFonts w:cs="Times New Roman"/>
          <w:bCs/>
          <w:sz w:val="20"/>
          <w:szCs w:val="16"/>
        </w:rPr>
      </w:pPr>
      <w:r w:rsidRPr="0057185D">
        <w:rPr>
          <w:rFonts w:cs="Times New Roman"/>
          <w:bCs/>
          <w:sz w:val="20"/>
          <w:szCs w:val="16"/>
        </w:rPr>
        <w:fldChar w:fldCharType="begin"/>
      </w:r>
      <w:r w:rsidRPr="0057185D">
        <w:rPr>
          <w:rFonts w:cs="Times New Roman"/>
          <w:bCs/>
          <w:sz w:val="20"/>
          <w:szCs w:val="16"/>
        </w:rPr>
        <w:instrText xml:space="preserve"> CITATION Oil19 \l 16393 </w:instrText>
      </w:r>
      <w:r w:rsidRPr="0057185D">
        <w:rPr>
          <w:rFonts w:cs="Times New Roman"/>
          <w:bCs/>
          <w:sz w:val="20"/>
          <w:szCs w:val="16"/>
        </w:rPr>
        <w:fldChar w:fldCharType="separate"/>
      </w:r>
      <w:r w:rsidRPr="0057185D">
        <w:rPr>
          <w:rFonts w:cs="Times New Roman"/>
          <w:noProof/>
          <w:sz w:val="20"/>
          <w:szCs w:val="16"/>
        </w:rPr>
        <w:t>(Oil India Annual Report, 2018-19)</w:t>
      </w:r>
      <w:r w:rsidRPr="0057185D">
        <w:rPr>
          <w:rFonts w:cs="Times New Roman"/>
          <w:bCs/>
          <w:sz w:val="20"/>
          <w:szCs w:val="16"/>
        </w:rPr>
        <w:fldChar w:fldCharType="end"/>
      </w:r>
    </w:p>
    <w:p w14:paraId="3CF4DC07" w14:textId="77777777" w:rsidR="006564AA" w:rsidRPr="0074288A" w:rsidRDefault="0074288A">
      <w:pPr>
        <w:rPr>
          <w:rFonts w:cs="Times New Roman"/>
          <w:bCs/>
          <w:sz w:val="20"/>
          <w:szCs w:val="16"/>
        </w:rPr>
      </w:pPr>
      <w:r>
        <w:rPr>
          <w:rFonts w:cs="Times New Roman"/>
          <w:bCs/>
          <w:sz w:val="20"/>
          <w:szCs w:val="16"/>
        </w:rPr>
        <w:br w:type="page"/>
      </w:r>
    </w:p>
    <w:p w14:paraId="18A9D276" w14:textId="77777777" w:rsidR="006564AA" w:rsidRDefault="00037F74">
      <w:pPr>
        <w:rPr>
          <w:rFonts w:cs="Times New Roman"/>
          <w:b/>
          <w:bCs/>
          <w:szCs w:val="24"/>
        </w:rPr>
      </w:pPr>
      <w:r>
        <w:rPr>
          <w:rFonts w:cs="Times New Roman"/>
          <w:b/>
          <w:bCs/>
          <w:szCs w:val="24"/>
        </w:rPr>
        <w:lastRenderedPageBreak/>
        <w:t xml:space="preserve">Financial Snapshot </w:t>
      </w:r>
    </w:p>
    <w:p w14:paraId="45FBAB25" w14:textId="77777777" w:rsidR="006564AA" w:rsidRDefault="006564AA">
      <w:pPr>
        <w:pStyle w:val="Caption"/>
        <w:rPr>
          <w:rFonts w:cs="Times New Roman"/>
          <w:sz w:val="22"/>
          <w:szCs w:val="22"/>
        </w:rPr>
      </w:pPr>
    </w:p>
    <w:p w14:paraId="62E17FB5" w14:textId="77777777" w:rsidR="00536C8B" w:rsidRPr="00536C8B" w:rsidRDefault="00536C8B" w:rsidP="00536C8B">
      <w:pPr>
        <w:rPr>
          <w:rFonts w:cs="Times New Roman"/>
          <w:bCs/>
        </w:rPr>
      </w:pPr>
      <w:r>
        <w:rPr>
          <w:rFonts w:cs="Times New Roman"/>
          <w:bCs/>
        </w:rPr>
        <w:t>Figure 10: Revenue of Oil India</w:t>
      </w:r>
    </w:p>
    <w:p w14:paraId="7FED37B7" w14:textId="77777777" w:rsidR="006564AA" w:rsidRDefault="00037F74">
      <w:pPr>
        <w:jc w:val="both"/>
        <w:rPr>
          <w:rFonts w:cs="Times New Roman"/>
          <w:b/>
          <w:szCs w:val="24"/>
        </w:rPr>
      </w:pPr>
      <w:r w:rsidRPr="00AC6D36">
        <w:rPr>
          <w:rFonts w:cs="Times New Roman"/>
          <w:b/>
          <w:noProof/>
          <w:szCs w:val="24"/>
        </w:rPr>
        <w:drawing>
          <wp:inline distT="0" distB="0" distL="114300" distR="114300" wp14:anchorId="50F39FCB" wp14:editId="2D462296">
            <wp:extent cx="5044440" cy="2735580"/>
            <wp:effectExtent l="0" t="0" r="3810" b="7620"/>
            <wp:docPr id="1043"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A7F5613" w14:textId="77777777" w:rsidR="00BC35F7" w:rsidRPr="00BC35F7" w:rsidRDefault="00037F74" w:rsidP="00536C8B">
      <w:pPr>
        <w:rPr>
          <w:rFonts w:cs="Times New Roman"/>
          <w:bCs/>
        </w:rPr>
      </w:pPr>
      <w:r w:rsidRPr="00536C8B">
        <w:rPr>
          <w:rFonts w:cs="Times New Roman"/>
          <w:bCs/>
          <w:sz w:val="20"/>
          <w:szCs w:val="16"/>
        </w:rPr>
        <w:fldChar w:fldCharType="begin"/>
      </w:r>
      <w:r w:rsidRPr="00536C8B">
        <w:rPr>
          <w:rFonts w:cs="Times New Roman"/>
          <w:bCs/>
          <w:sz w:val="20"/>
          <w:szCs w:val="16"/>
        </w:rPr>
        <w:instrText xml:space="preserve"> CITATION Oil19 \l 16393 </w:instrText>
      </w:r>
      <w:r w:rsidRPr="00536C8B">
        <w:rPr>
          <w:rFonts w:cs="Times New Roman"/>
          <w:bCs/>
          <w:sz w:val="20"/>
          <w:szCs w:val="16"/>
        </w:rPr>
        <w:fldChar w:fldCharType="separate"/>
      </w:r>
      <w:r w:rsidRPr="00536C8B">
        <w:rPr>
          <w:rFonts w:cs="Times New Roman"/>
          <w:noProof/>
          <w:sz w:val="20"/>
          <w:szCs w:val="16"/>
        </w:rPr>
        <w:t>(Oil India Annual Report, 2018-19)</w:t>
      </w:r>
      <w:r w:rsidRPr="00536C8B">
        <w:rPr>
          <w:rFonts w:cs="Times New Roman"/>
          <w:bCs/>
          <w:sz w:val="20"/>
          <w:szCs w:val="16"/>
        </w:rPr>
        <w:fldChar w:fldCharType="end"/>
      </w:r>
    </w:p>
    <w:p w14:paraId="1215F4A4" w14:textId="77777777" w:rsidR="00536C8B" w:rsidRDefault="00536C8B" w:rsidP="00EC1B9F">
      <w:pPr>
        <w:spacing w:line="360" w:lineRule="auto"/>
        <w:jc w:val="both"/>
        <w:rPr>
          <w:rFonts w:cs="Times New Roman"/>
          <w:bCs/>
          <w:szCs w:val="24"/>
        </w:rPr>
      </w:pPr>
    </w:p>
    <w:p w14:paraId="6F56F3F8" w14:textId="77777777" w:rsidR="006564AA" w:rsidRPr="00EC1B9F" w:rsidRDefault="00EC1B9F" w:rsidP="00EC1B9F">
      <w:pPr>
        <w:spacing w:line="360" w:lineRule="auto"/>
        <w:jc w:val="both"/>
        <w:rPr>
          <w:rFonts w:cs="Times New Roman"/>
          <w:bCs/>
          <w:szCs w:val="24"/>
        </w:rPr>
      </w:pPr>
      <w:r>
        <w:rPr>
          <w:rFonts w:cs="Times New Roman"/>
          <w:bCs/>
          <w:szCs w:val="24"/>
        </w:rPr>
        <w:t>The above figure shows the revenue earned by Oil India Ltd. through its major products such as Crude oil, LPG and Natural Gas. The company earns maximum revenue from crude oil.</w:t>
      </w:r>
    </w:p>
    <w:p w14:paraId="75DA5A5D" w14:textId="77777777" w:rsidR="006564AA" w:rsidRDefault="006564AA">
      <w:pPr>
        <w:jc w:val="center"/>
        <w:rPr>
          <w:rFonts w:cs="Times New Roman"/>
        </w:rPr>
      </w:pPr>
    </w:p>
    <w:p w14:paraId="54C9A9EE" w14:textId="77777777" w:rsidR="006564AA" w:rsidRDefault="00037F74">
      <w:pPr>
        <w:spacing w:line="360" w:lineRule="auto"/>
        <w:jc w:val="both"/>
        <w:rPr>
          <w:rFonts w:cs="Times New Roman"/>
          <w:szCs w:val="24"/>
        </w:rPr>
      </w:pPr>
      <w:r>
        <w:rPr>
          <w:rFonts w:cs="Times New Roman"/>
          <w:szCs w:val="24"/>
        </w:rPr>
        <w:t>During the year 2018-19, the sales of crude oil were 3.233MMT as compared to 3.327 MMT in the previous year. The price realization irrespective of crude oil increased to USD 68.5/BBL in the year 2018-19 as against USD 55.72/BBL in the year 2017-18 registering an increase of 12.78/BBL. As a result, revenue from crude oil has increased by 28.89% during the year, even though sales decreased marginally.</w:t>
      </w:r>
    </w:p>
    <w:p w14:paraId="5788EAF3" w14:textId="77777777" w:rsidR="006564AA" w:rsidRDefault="006564AA">
      <w:pPr>
        <w:spacing w:line="360" w:lineRule="auto"/>
        <w:jc w:val="both"/>
        <w:rPr>
          <w:rFonts w:cs="Times New Roman"/>
          <w:szCs w:val="24"/>
        </w:rPr>
      </w:pPr>
    </w:p>
    <w:p w14:paraId="3AAA3DCD" w14:textId="77777777" w:rsidR="006564AA" w:rsidRDefault="00037F74">
      <w:pPr>
        <w:spacing w:line="360" w:lineRule="auto"/>
        <w:jc w:val="both"/>
        <w:rPr>
          <w:rFonts w:eastAsia="Calibri" w:cs="Times New Roman"/>
          <w:b/>
          <w:szCs w:val="24"/>
          <w:u w:val="single"/>
        </w:rPr>
      </w:pPr>
      <w:r>
        <w:rPr>
          <w:rFonts w:cs="Times New Roman"/>
          <w:b/>
          <w:szCs w:val="24"/>
          <w:u w:val="single"/>
        </w:rPr>
        <w:t>Future Growth Strategies</w:t>
      </w:r>
    </w:p>
    <w:p w14:paraId="3011ACED" w14:textId="77777777" w:rsidR="006564AA" w:rsidRDefault="00037F74">
      <w:pPr>
        <w:spacing w:line="360" w:lineRule="auto"/>
        <w:jc w:val="both"/>
        <w:rPr>
          <w:rFonts w:cs="Times New Roman"/>
          <w:bCs/>
          <w:szCs w:val="24"/>
        </w:rPr>
      </w:pPr>
      <w:r>
        <w:rPr>
          <w:rFonts w:cs="Times New Roman"/>
          <w:color w:val="333333"/>
          <w:sz w:val="21"/>
          <w:szCs w:val="21"/>
        </w:rPr>
        <w:t xml:space="preserve"> </w:t>
      </w:r>
      <w:r>
        <w:rPr>
          <w:rFonts w:cs="Times New Roman"/>
          <w:color w:val="333333"/>
          <w:szCs w:val="24"/>
        </w:rPr>
        <w:t>Oil India Ltd has an ambitious growth plan to make the company an international E&amp;P player with operations at scale in at least two geographical clusters outside.</w:t>
      </w:r>
    </w:p>
    <w:p w14:paraId="3123D691" w14:textId="77777777" w:rsidR="006564AA" w:rsidRDefault="00037F74">
      <w:pPr>
        <w:spacing w:line="360" w:lineRule="auto"/>
        <w:jc w:val="both"/>
        <w:rPr>
          <w:rFonts w:cs="Times New Roman"/>
          <w:bCs/>
          <w:szCs w:val="24"/>
        </w:rPr>
      </w:pPr>
      <w:r>
        <w:rPr>
          <w:rFonts w:cs="Times New Roman"/>
          <w:color w:val="333333"/>
          <w:szCs w:val="24"/>
        </w:rPr>
        <w:t xml:space="preserve">India, higher production, reserves, and cash flows while being known globally for its capabilities to extract value from mature assets. In particular, the 2030 growth aspirations of the Company </w:t>
      </w:r>
      <w:proofErr w:type="gramStart"/>
      <w:r>
        <w:rPr>
          <w:rFonts w:cs="Times New Roman"/>
          <w:color w:val="333333"/>
          <w:szCs w:val="24"/>
        </w:rPr>
        <w:t>has</w:t>
      </w:r>
      <w:proofErr w:type="gramEnd"/>
      <w:r>
        <w:rPr>
          <w:rFonts w:cs="Times New Roman"/>
          <w:color w:val="333333"/>
          <w:szCs w:val="24"/>
        </w:rPr>
        <w:t xml:space="preserve"> set up a target to reach Production of 15 MMTOE in 2030 more than 50 per cent of which would be coming from outside the current Main Producing Area (MPA), including two or three sizeable clusters (1.5-2 MMTOE each) outside India.  </w:t>
      </w:r>
    </w:p>
    <w:p w14:paraId="46EB43AE" w14:textId="77777777" w:rsidR="006564AA" w:rsidRDefault="006564AA">
      <w:pPr>
        <w:rPr>
          <w:rFonts w:cs="Times New Roman"/>
        </w:rPr>
      </w:pPr>
    </w:p>
    <w:p w14:paraId="4A903D3B" w14:textId="77777777" w:rsidR="006564AA" w:rsidRDefault="00037F74">
      <w:pPr>
        <w:pStyle w:val="Heading2"/>
        <w:rPr>
          <w:rFonts w:cs="Times New Roman"/>
        </w:rPr>
      </w:pPr>
      <w:bookmarkStart w:id="16" w:name="_Toc36751998"/>
      <w:r>
        <w:rPr>
          <w:rFonts w:cs="Times New Roman"/>
        </w:rPr>
        <w:lastRenderedPageBreak/>
        <w:t xml:space="preserve">7.2 </w:t>
      </w:r>
      <w:proofErr w:type="spellStart"/>
      <w:r>
        <w:rPr>
          <w:rFonts w:cs="Times New Roman"/>
        </w:rPr>
        <w:t>Nayara</w:t>
      </w:r>
      <w:proofErr w:type="spellEnd"/>
      <w:r>
        <w:rPr>
          <w:rFonts w:cs="Times New Roman"/>
        </w:rPr>
        <w:t xml:space="preserve"> Energy (Essar Oil Ltd)</w:t>
      </w:r>
      <w:bookmarkEnd w:id="16"/>
    </w:p>
    <w:p w14:paraId="1A89E42A" w14:textId="77777777" w:rsidR="006564AA" w:rsidRDefault="006564AA">
      <w:pPr>
        <w:rPr>
          <w:rFonts w:cs="Times New Roman"/>
        </w:rPr>
      </w:pPr>
    </w:p>
    <w:p w14:paraId="3702F008" w14:textId="77777777" w:rsidR="006564AA" w:rsidRDefault="00037F74">
      <w:pPr>
        <w:spacing w:after="100" w:afterAutospacing="1" w:line="360" w:lineRule="auto"/>
        <w:ind w:right="4"/>
        <w:jc w:val="both"/>
        <w:rPr>
          <w:rFonts w:cs="Times New Roman"/>
          <w:szCs w:val="24"/>
        </w:rPr>
      </w:pPr>
      <w:r>
        <w:rPr>
          <w:rFonts w:cs="Times New Roman"/>
          <w:szCs w:val="24"/>
        </w:rPr>
        <w:t xml:space="preserve">Essar Oil Limited was incorporated as a public company in 1989 and is the second-largest non-state refinery in India by operating a significant refinery in </w:t>
      </w:r>
      <w:proofErr w:type="spellStart"/>
      <w:r>
        <w:rPr>
          <w:rFonts w:cs="Times New Roman"/>
          <w:szCs w:val="24"/>
        </w:rPr>
        <w:t>Vadinar</w:t>
      </w:r>
      <w:proofErr w:type="spellEnd"/>
      <w:r>
        <w:rPr>
          <w:rFonts w:cs="Times New Roman"/>
          <w:szCs w:val="24"/>
        </w:rPr>
        <w:t>, Gujarat. It is an integrated oil &amp; gas company with a presence across the hydrocarbon value chain and also engaged in the exploration and production of oil, gas, refining of crude oil and marketing of petroleum products.</w:t>
      </w:r>
    </w:p>
    <w:p w14:paraId="06BF3568" w14:textId="77777777" w:rsidR="006564AA" w:rsidRDefault="00037F74">
      <w:pPr>
        <w:spacing w:after="100" w:afterAutospacing="1" w:line="360" w:lineRule="auto"/>
        <w:ind w:right="4"/>
        <w:jc w:val="both"/>
        <w:rPr>
          <w:rFonts w:cs="Times New Roman"/>
          <w:szCs w:val="24"/>
        </w:rPr>
      </w:pPr>
      <w:r>
        <w:rPr>
          <w:rFonts w:cs="Times New Roman"/>
          <w:szCs w:val="24"/>
        </w:rPr>
        <w:t>The company had a portfolio of offshore &amp; offshore gas and oil blocks with 45,000 available for exploration and over 6,76,000 barrels per stream day of global crude refining capacity and a network of 3,500 retail fuel outlets in India &amp; now also growing their presence in onshore oil and coal bed methane blocks in Africa, Asia, and Australia. The company has product off-take and infrastructure sharing agreements with BPCL, HPCL, and IOCL.</w:t>
      </w:r>
    </w:p>
    <w:p w14:paraId="707089BB" w14:textId="77777777" w:rsidR="007B166B" w:rsidRDefault="00037F74" w:rsidP="007B166B">
      <w:pPr>
        <w:spacing w:after="100" w:afterAutospacing="1" w:line="360" w:lineRule="auto"/>
        <w:ind w:right="4"/>
        <w:jc w:val="both"/>
        <w:rPr>
          <w:rFonts w:cs="Times New Roman"/>
          <w:sz w:val="32"/>
          <w:szCs w:val="32"/>
        </w:rPr>
      </w:pPr>
      <w:bookmarkStart w:id="17" w:name="_Hlk35022760"/>
      <w:r>
        <w:rPr>
          <w:rFonts w:cs="Times New Roman"/>
          <w:szCs w:val="24"/>
        </w:rPr>
        <w:t xml:space="preserve">In 2018, the company name changed to </w:t>
      </w:r>
      <w:proofErr w:type="spellStart"/>
      <w:r>
        <w:rPr>
          <w:rFonts w:cs="Times New Roman"/>
          <w:szCs w:val="24"/>
        </w:rPr>
        <w:t>Nayara</w:t>
      </w:r>
      <w:proofErr w:type="spellEnd"/>
      <w:r>
        <w:rPr>
          <w:rFonts w:cs="Times New Roman"/>
          <w:szCs w:val="24"/>
        </w:rPr>
        <w:t xml:space="preserve"> Energy Ltd to have a new corporate identity, and now it is India's second-largest single-site refinery, constituting approx. 8% of India's refining capacity. </w:t>
      </w:r>
      <w:bookmarkEnd w:id="17"/>
      <w:r>
        <w:rPr>
          <w:rFonts w:cs="Times New Roman"/>
          <w:szCs w:val="24"/>
        </w:rPr>
        <w:t xml:space="preserve">The company received an "Excellent Energy Efficient Unit Award" by CII for Energy Management System. </w:t>
      </w:r>
    </w:p>
    <w:p w14:paraId="2860B88E" w14:textId="77777777" w:rsidR="00536C8B" w:rsidRPr="007B166B" w:rsidRDefault="00536C8B" w:rsidP="007B166B">
      <w:pPr>
        <w:spacing w:after="100" w:afterAutospacing="1" w:line="360" w:lineRule="auto"/>
        <w:ind w:right="4"/>
        <w:jc w:val="both"/>
        <w:rPr>
          <w:rFonts w:cs="Times New Roman"/>
          <w:sz w:val="32"/>
          <w:szCs w:val="32"/>
        </w:rPr>
      </w:pPr>
      <w:r>
        <w:rPr>
          <w:rFonts w:cs="Times New Roman"/>
          <w:bCs/>
        </w:rPr>
        <w:t>Figure 11: Shareholding Pattern in %</w:t>
      </w:r>
    </w:p>
    <w:p w14:paraId="2194EF89" w14:textId="77777777" w:rsidR="006564AA" w:rsidRDefault="00037F74">
      <w:pPr>
        <w:jc w:val="both"/>
        <w:rPr>
          <w:rFonts w:cs="Times New Roman"/>
          <w:b/>
          <w:bCs/>
          <w:szCs w:val="24"/>
        </w:rPr>
      </w:pPr>
      <w:r>
        <w:rPr>
          <w:rFonts w:cs="Times New Roman"/>
          <w:b/>
          <w:bCs/>
          <w:noProof/>
          <w:szCs w:val="24"/>
        </w:rPr>
        <w:drawing>
          <wp:inline distT="0" distB="0" distL="114300" distR="114300" wp14:anchorId="76A9A749" wp14:editId="658390B5">
            <wp:extent cx="4381500" cy="2362200"/>
            <wp:effectExtent l="0" t="0" r="0" b="0"/>
            <wp:docPr id="1045"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9B62D57" w14:textId="77777777" w:rsidR="006564AA" w:rsidRDefault="00037F74" w:rsidP="00536C8B">
      <w:pPr>
        <w:rPr>
          <w:rFonts w:cs="Times New Roman"/>
          <w:sz w:val="20"/>
          <w:szCs w:val="16"/>
        </w:rPr>
      </w:pPr>
      <w:r w:rsidRPr="0057185D">
        <w:rPr>
          <w:rFonts w:cs="Times New Roman"/>
          <w:sz w:val="20"/>
          <w:szCs w:val="16"/>
        </w:rPr>
        <w:fldChar w:fldCharType="begin"/>
      </w:r>
      <w:r w:rsidRPr="0057185D">
        <w:rPr>
          <w:rFonts w:cs="Times New Roman"/>
          <w:sz w:val="20"/>
          <w:szCs w:val="16"/>
        </w:rPr>
        <w:instrText xml:space="preserve"> CITATION Nay19 \l 16393 </w:instrText>
      </w:r>
      <w:r w:rsidRPr="0057185D">
        <w:rPr>
          <w:rFonts w:cs="Times New Roman"/>
          <w:sz w:val="20"/>
          <w:szCs w:val="16"/>
        </w:rPr>
        <w:fldChar w:fldCharType="separate"/>
      </w:r>
      <w:r w:rsidRPr="0057185D">
        <w:rPr>
          <w:rFonts w:cs="Times New Roman"/>
          <w:noProof/>
          <w:sz w:val="20"/>
          <w:szCs w:val="16"/>
        </w:rPr>
        <w:t>(Nayara Energy Annual Report, 2018-19)</w:t>
      </w:r>
      <w:r w:rsidRPr="0057185D">
        <w:rPr>
          <w:rFonts w:cs="Times New Roman"/>
          <w:sz w:val="20"/>
          <w:szCs w:val="16"/>
        </w:rPr>
        <w:fldChar w:fldCharType="end"/>
      </w:r>
    </w:p>
    <w:p w14:paraId="0CF642E4" w14:textId="77777777" w:rsidR="000B164E" w:rsidRDefault="000B164E">
      <w:pPr>
        <w:rPr>
          <w:rFonts w:cs="Times New Roman"/>
          <w:sz w:val="20"/>
          <w:szCs w:val="16"/>
        </w:rPr>
      </w:pPr>
      <w:r>
        <w:rPr>
          <w:rFonts w:cs="Times New Roman"/>
          <w:sz w:val="20"/>
          <w:szCs w:val="16"/>
        </w:rPr>
        <w:br w:type="page"/>
      </w:r>
    </w:p>
    <w:p w14:paraId="5E70E7F6" w14:textId="77777777" w:rsidR="006564AA" w:rsidRDefault="00037F74">
      <w:pPr>
        <w:spacing w:before="240" w:line="360" w:lineRule="auto"/>
        <w:ind w:right="4"/>
        <w:jc w:val="both"/>
        <w:rPr>
          <w:rFonts w:cs="Times New Roman"/>
          <w:color w:val="4F81BD"/>
        </w:rPr>
      </w:pPr>
      <w:r>
        <w:rPr>
          <w:rFonts w:cs="Times New Roman"/>
          <w:szCs w:val="24"/>
        </w:rPr>
        <w:lastRenderedPageBreak/>
        <w:t>In 2017, the company was acquired by Rosneft, Trafigura, and UCP Investment Group with a deal of $12.9 billion and had taken most of their debt and working capital and also grabbing a larger share of the retail fuel market in India. This deal will help Rosneft to have access to India's rising fuel retail market. This deal will help Russia to deepen economic ties with the Soviet era. After acquiring the stake, the owners aim to scale up the network of fuel outlets from 3,500 to 6,000 in India and to significantly improve the financial performance of the company and plan an asset development that will outline the investment opportunities in the refinery.</w:t>
      </w:r>
    </w:p>
    <w:p w14:paraId="2C7FBEFB" w14:textId="77777777" w:rsidR="006564AA" w:rsidRDefault="00037F74">
      <w:pPr>
        <w:pStyle w:val="ListParagraph"/>
        <w:spacing w:line="256" w:lineRule="auto"/>
        <w:ind w:left="0"/>
        <w:jc w:val="both"/>
        <w:rPr>
          <w:rFonts w:cs="Times New Roman"/>
          <w:b/>
          <w:bCs/>
          <w:szCs w:val="24"/>
        </w:rPr>
      </w:pPr>
      <w:r>
        <w:rPr>
          <w:rFonts w:cs="Times New Roman"/>
          <w:b/>
          <w:bCs/>
          <w:szCs w:val="24"/>
        </w:rPr>
        <w:t>Crude Throughput</w:t>
      </w:r>
    </w:p>
    <w:p w14:paraId="3BCE6B44" w14:textId="77777777" w:rsidR="00536C8B" w:rsidRPr="00536C8B" w:rsidRDefault="00536C8B" w:rsidP="00536C8B">
      <w:r>
        <w:rPr>
          <w:rFonts w:cs="Times New Roman"/>
          <w:bCs/>
        </w:rPr>
        <w:t>Figure 12: Production of Processed Oil of the Past Three Years</w:t>
      </w:r>
    </w:p>
    <w:p w14:paraId="78F5DF80" w14:textId="77777777" w:rsidR="006564AA" w:rsidRDefault="00037F74">
      <w:pPr>
        <w:pStyle w:val="Caption"/>
        <w:rPr>
          <w:rFonts w:cs="Times New Roman"/>
        </w:rPr>
      </w:pPr>
      <w:r>
        <w:rPr>
          <w:rFonts w:cs="Times New Roman"/>
          <w:b w:val="0"/>
          <w:bCs w:val="0"/>
          <w:noProof/>
          <w:szCs w:val="24"/>
        </w:rPr>
        <w:drawing>
          <wp:inline distT="0" distB="0" distL="114300" distR="114300" wp14:anchorId="03534CE5" wp14:editId="2DB99834">
            <wp:extent cx="5151120" cy="2423160"/>
            <wp:effectExtent l="0" t="0" r="11430" b="15240"/>
            <wp:docPr id="1047"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B8C1C80" w14:textId="77777777" w:rsidR="006564AA" w:rsidRPr="0057185D" w:rsidRDefault="00037F74" w:rsidP="00536C8B">
      <w:pPr>
        <w:rPr>
          <w:rFonts w:cs="Times New Roman"/>
          <w:bCs/>
          <w:sz w:val="20"/>
          <w:szCs w:val="16"/>
        </w:rPr>
      </w:pPr>
      <w:r w:rsidRPr="0057185D">
        <w:rPr>
          <w:rFonts w:cs="Times New Roman"/>
          <w:b/>
          <w:bCs/>
          <w:sz w:val="20"/>
          <w:szCs w:val="16"/>
        </w:rPr>
        <w:fldChar w:fldCharType="begin"/>
      </w:r>
      <w:r w:rsidRPr="0057185D">
        <w:rPr>
          <w:rFonts w:cs="Times New Roman"/>
          <w:sz w:val="20"/>
          <w:szCs w:val="16"/>
        </w:rPr>
        <w:instrText xml:space="preserve"> CITATION Nay19 \l 16393 </w:instrText>
      </w:r>
      <w:r w:rsidRPr="0057185D">
        <w:rPr>
          <w:rFonts w:cs="Times New Roman"/>
          <w:b/>
          <w:bCs/>
          <w:sz w:val="20"/>
          <w:szCs w:val="16"/>
        </w:rPr>
        <w:fldChar w:fldCharType="separate"/>
      </w:r>
      <w:r w:rsidRPr="0057185D">
        <w:rPr>
          <w:rFonts w:cs="Times New Roman"/>
          <w:noProof/>
          <w:sz w:val="20"/>
          <w:szCs w:val="16"/>
        </w:rPr>
        <w:t xml:space="preserve"> (Nayara Energy Annual Report, 2018-19) </w:t>
      </w:r>
      <w:r w:rsidRPr="0057185D">
        <w:rPr>
          <w:rFonts w:cs="Times New Roman"/>
          <w:b/>
          <w:bCs/>
          <w:sz w:val="20"/>
          <w:szCs w:val="16"/>
        </w:rPr>
        <w:fldChar w:fldCharType="end"/>
      </w:r>
    </w:p>
    <w:p w14:paraId="192E1CAA" w14:textId="77777777" w:rsidR="000B164E" w:rsidRDefault="000B164E" w:rsidP="00CE6604"/>
    <w:p w14:paraId="190E6826" w14:textId="77777777" w:rsidR="00102BB9" w:rsidRDefault="000B164E" w:rsidP="007D16A3">
      <w:r w:rsidRPr="000B164E">
        <w:t>It has been decreased from 20.69 MMT in the year 2018 to 18.9 MMT because of the turnaround.</w:t>
      </w:r>
    </w:p>
    <w:p w14:paraId="58BE2ABB" w14:textId="77777777" w:rsidR="00102BB9" w:rsidRDefault="00102BB9">
      <w:r>
        <w:br w:type="page"/>
      </w:r>
    </w:p>
    <w:p w14:paraId="127A393A" w14:textId="77777777" w:rsidR="00102BB9" w:rsidRDefault="00102BB9" w:rsidP="007D16A3"/>
    <w:p w14:paraId="75F2321F" w14:textId="77777777" w:rsidR="00536C8B" w:rsidRPr="00102BB9" w:rsidRDefault="00037F74" w:rsidP="007D16A3">
      <w:r w:rsidRPr="00536C8B">
        <w:rPr>
          <w:b/>
          <w:bCs/>
        </w:rPr>
        <w:t>Financial Snapshot</w:t>
      </w:r>
    </w:p>
    <w:p w14:paraId="6779B71C" w14:textId="77777777" w:rsidR="006564AA" w:rsidRPr="00536C8B" w:rsidRDefault="00536C8B" w:rsidP="00536C8B">
      <w:r>
        <w:t>Figure 13: Operating Income for the Last Three Years</w:t>
      </w:r>
    </w:p>
    <w:p w14:paraId="4372A415" w14:textId="77777777" w:rsidR="006564AA" w:rsidRPr="00C72A10" w:rsidRDefault="00037F74">
      <w:pPr>
        <w:spacing w:after="100" w:afterAutospacing="1" w:line="360" w:lineRule="auto"/>
        <w:jc w:val="both"/>
        <w:rPr>
          <w:rFonts w:cs="Times New Roman"/>
          <w:sz w:val="20"/>
          <w:szCs w:val="16"/>
        </w:rPr>
      </w:pPr>
      <w:r>
        <w:rPr>
          <w:rFonts w:cs="Times New Roman"/>
          <w:b/>
          <w:bCs/>
          <w:noProof/>
          <w:szCs w:val="24"/>
        </w:rPr>
        <w:drawing>
          <wp:inline distT="0" distB="0" distL="114300" distR="114300" wp14:anchorId="4410C069" wp14:editId="51B24B7E">
            <wp:extent cx="5196840" cy="3497580"/>
            <wp:effectExtent l="0" t="0" r="3810" b="7620"/>
            <wp:docPr id="1049"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Pr="00C72A10">
        <w:rPr>
          <w:rFonts w:cs="Times New Roman"/>
          <w:sz w:val="20"/>
          <w:szCs w:val="16"/>
        </w:rPr>
        <w:fldChar w:fldCharType="begin"/>
      </w:r>
      <w:r w:rsidRPr="00C72A10">
        <w:rPr>
          <w:rFonts w:cs="Times New Roman"/>
          <w:sz w:val="20"/>
          <w:szCs w:val="16"/>
        </w:rPr>
        <w:instrText xml:space="preserve"> CITATION Nay19 \l 16393 </w:instrText>
      </w:r>
      <w:r w:rsidRPr="00C72A10">
        <w:rPr>
          <w:rFonts w:cs="Times New Roman"/>
          <w:sz w:val="20"/>
          <w:szCs w:val="16"/>
        </w:rPr>
        <w:fldChar w:fldCharType="separate"/>
      </w:r>
      <w:r w:rsidRPr="00C72A10">
        <w:rPr>
          <w:rFonts w:cs="Times New Roman"/>
          <w:noProof/>
          <w:sz w:val="20"/>
          <w:szCs w:val="16"/>
        </w:rPr>
        <w:t>(Nayara Energy Annual Report, 2018-19)</w:t>
      </w:r>
      <w:r w:rsidRPr="00C72A10">
        <w:rPr>
          <w:rFonts w:cs="Times New Roman"/>
          <w:sz w:val="20"/>
          <w:szCs w:val="16"/>
        </w:rPr>
        <w:fldChar w:fldCharType="end"/>
      </w:r>
    </w:p>
    <w:p w14:paraId="200D9D96" w14:textId="77777777" w:rsidR="006564AA" w:rsidRDefault="00037F74">
      <w:pPr>
        <w:spacing w:before="240" w:after="100" w:afterAutospacing="1" w:line="360" w:lineRule="auto"/>
        <w:jc w:val="both"/>
        <w:rPr>
          <w:rFonts w:cs="Times New Roman"/>
          <w:szCs w:val="24"/>
        </w:rPr>
      </w:pPr>
      <w:r>
        <w:rPr>
          <w:rFonts w:cs="Times New Roman"/>
          <w:szCs w:val="24"/>
        </w:rPr>
        <w:t>The Revenue has increased from Rs 85,561.8 crores in 2017-18 to Rs 98,712.9 crores in 2018-19, which is almost 15%, which was mainly due to higher realization from the sale of petroleum products on account of higher product prices and higher domestic sales</w:t>
      </w:r>
    </w:p>
    <w:p w14:paraId="456342CE" w14:textId="77777777" w:rsidR="006564AA" w:rsidRDefault="00037F74">
      <w:pPr>
        <w:spacing w:line="360" w:lineRule="auto"/>
        <w:jc w:val="both"/>
        <w:rPr>
          <w:rFonts w:cs="Times New Roman"/>
          <w:b/>
          <w:szCs w:val="24"/>
        </w:rPr>
      </w:pPr>
      <w:r>
        <w:rPr>
          <w:rFonts w:cs="Times New Roman"/>
          <w:b/>
          <w:szCs w:val="24"/>
        </w:rPr>
        <w:t>Future Projections</w:t>
      </w:r>
    </w:p>
    <w:p w14:paraId="0C06C556" w14:textId="77777777" w:rsidR="006564AA" w:rsidRDefault="00037F74">
      <w:pPr>
        <w:spacing w:line="360" w:lineRule="auto"/>
        <w:jc w:val="both"/>
        <w:rPr>
          <w:rFonts w:cs="Times New Roman"/>
          <w:b/>
          <w:szCs w:val="24"/>
        </w:rPr>
      </w:pPr>
      <w:r>
        <w:rPr>
          <w:rFonts w:cs="Times New Roman"/>
          <w:szCs w:val="24"/>
        </w:rPr>
        <w:t xml:space="preserve">The company is planning to invest Rs 1.3 lakh crores in expanding its current 20 Million Tonne Per Annum (MTPA) </w:t>
      </w:r>
      <w:proofErr w:type="spellStart"/>
      <w:r>
        <w:rPr>
          <w:rFonts w:cs="Times New Roman"/>
          <w:szCs w:val="24"/>
        </w:rPr>
        <w:t>Vadinar</w:t>
      </w:r>
      <w:proofErr w:type="spellEnd"/>
      <w:r>
        <w:rPr>
          <w:rFonts w:cs="Times New Roman"/>
          <w:szCs w:val="24"/>
        </w:rPr>
        <w:t xml:space="preserve"> refinery capacity by an additional 26 MTPA and also adding a 10.75 MMTPA petrochemical complex. The expansion project will be completed by 2022 to 2024, and the total cost of the expansion project is estimated to be $20 billion. </w:t>
      </w:r>
      <w:proofErr w:type="spellStart"/>
      <w:r>
        <w:rPr>
          <w:rFonts w:cs="Times New Roman"/>
          <w:szCs w:val="24"/>
        </w:rPr>
        <w:t>Nayara</w:t>
      </w:r>
      <w:proofErr w:type="spellEnd"/>
      <w:r>
        <w:rPr>
          <w:rFonts w:cs="Times New Roman"/>
          <w:szCs w:val="24"/>
        </w:rPr>
        <w:t xml:space="preserve"> is also planning to invest $850 million to expand its </w:t>
      </w:r>
      <w:proofErr w:type="spellStart"/>
      <w:r>
        <w:rPr>
          <w:rFonts w:cs="Times New Roman"/>
          <w:szCs w:val="24"/>
        </w:rPr>
        <w:t>Vadinar</w:t>
      </w:r>
      <w:proofErr w:type="spellEnd"/>
      <w:r>
        <w:rPr>
          <w:rFonts w:cs="Times New Roman"/>
          <w:szCs w:val="24"/>
        </w:rPr>
        <w:t xml:space="preserve"> refinery to foray into the petrochemical business.</w:t>
      </w:r>
    </w:p>
    <w:p w14:paraId="7ACD2850" w14:textId="77777777" w:rsidR="006564AA" w:rsidRDefault="00037F74">
      <w:pPr>
        <w:pStyle w:val="Heading2"/>
        <w:rPr>
          <w:rFonts w:cs="Times New Roman"/>
        </w:rPr>
      </w:pPr>
      <w:bookmarkStart w:id="18" w:name="_Toc36751999"/>
      <w:r>
        <w:rPr>
          <w:rFonts w:cs="Times New Roman"/>
        </w:rPr>
        <w:t>7.3 ONGC</w:t>
      </w:r>
      <w:bookmarkEnd w:id="18"/>
    </w:p>
    <w:p w14:paraId="2B908E7C" w14:textId="77777777" w:rsidR="006564AA" w:rsidRDefault="006564AA">
      <w:pPr>
        <w:rPr>
          <w:rFonts w:cs="Times New Roman"/>
          <w:color w:val="555555"/>
          <w:shd w:val="clear" w:color="auto" w:fill="FFFFFF"/>
        </w:rPr>
      </w:pPr>
    </w:p>
    <w:p w14:paraId="63B6E39E" w14:textId="77777777" w:rsidR="006564AA" w:rsidRDefault="00037F74">
      <w:pPr>
        <w:spacing w:line="360" w:lineRule="auto"/>
        <w:jc w:val="both"/>
        <w:rPr>
          <w:rFonts w:cs="Times New Roman"/>
          <w:szCs w:val="24"/>
          <w:shd w:val="clear" w:color="auto" w:fill="FFFFFF"/>
        </w:rPr>
      </w:pPr>
      <w:r>
        <w:rPr>
          <w:rFonts w:cs="Times New Roman"/>
          <w:szCs w:val="24"/>
          <w:shd w:val="clear" w:color="auto" w:fill="FFFFFF"/>
        </w:rPr>
        <w:t>ONGC is the fully–integrated oil and gas company in India, operating along the entire hydrocarbon value chain.</w:t>
      </w:r>
      <w:r>
        <w:rPr>
          <w:rFonts w:cs="Times New Roman"/>
          <w:szCs w:val="24"/>
        </w:rPr>
        <w:t xml:space="preserve"> It is the largest crude oil and natural gas company in India under the administrative control of the ministry of petroleum and natural gas. As out </w:t>
      </w:r>
      <w:r>
        <w:rPr>
          <w:rFonts w:cs="Times New Roman"/>
          <w:szCs w:val="24"/>
        </w:rPr>
        <w:lastRenderedPageBreak/>
        <w:t>of the total production, this company contributes to 75%. Globally, ONGC ranks 18 in oil and gas operation</w:t>
      </w:r>
      <w:r>
        <w:rPr>
          <w:rFonts w:cs="Times New Roman"/>
          <w:szCs w:val="24"/>
          <w:shd w:val="clear" w:color="auto" w:fill="FFFFFF"/>
        </w:rPr>
        <w:t xml:space="preserve">s </w:t>
      </w:r>
    </w:p>
    <w:p w14:paraId="7A47038E" w14:textId="77777777" w:rsidR="006564AA" w:rsidRDefault="00037F74">
      <w:pPr>
        <w:spacing w:line="360" w:lineRule="auto"/>
        <w:jc w:val="both"/>
        <w:rPr>
          <w:rFonts w:cs="Times New Roman"/>
          <w:szCs w:val="24"/>
          <w:shd w:val="clear" w:color="auto" w:fill="FFFFFF"/>
        </w:rPr>
      </w:pPr>
      <w:r>
        <w:rPr>
          <w:rFonts w:cs="Times New Roman"/>
          <w:szCs w:val="24"/>
          <w:shd w:val="clear" w:color="auto" w:fill="FFFFFF"/>
        </w:rPr>
        <w:t>Some more key pointers are as follows:</w:t>
      </w:r>
    </w:p>
    <w:p w14:paraId="116052A7" w14:textId="77777777" w:rsidR="006564AA" w:rsidRDefault="00037F74">
      <w:pPr>
        <w:numPr>
          <w:ilvl w:val="0"/>
          <w:numId w:val="14"/>
        </w:numPr>
        <w:shd w:val="clear" w:color="auto" w:fill="FFFFFF"/>
        <w:spacing w:before="100" w:beforeAutospacing="1" w:after="150" w:line="360" w:lineRule="auto"/>
        <w:jc w:val="both"/>
        <w:rPr>
          <w:rFonts w:eastAsia="Times New Roman" w:cs="Times New Roman"/>
          <w:szCs w:val="24"/>
        </w:rPr>
      </w:pPr>
      <w:r>
        <w:rPr>
          <w:rFonts w:eastAsia="Times New Roman" w:cs="Times New Roman"/>
          <w:szCs w:val="24"/>
        </w:rPr>
        <w:t xml:space="preserve">Oil is the largest energy company in India has established 8.98 billion tonnes of in-place hydrocarbon reserves. It has to its credit more than 570 discoveries of oil and gas with Ultimate Reserves of 3.13 Billion Metric tonnes (BMT) of Oil Plus Oil Equivalent Gas (O+OEG) from residential acreages. </w:t>
      </w:r>
    </w:p>
    <w:p w14:paraId="374F9215" w14:textId="77777777" w:rsidR="006564AA" w:rsidRDefault="00037F74">
      <w:pPr>
        <w:numPr>
          <w:ilvl w:val="0"/>
          <w:numId w:val="14"/>
        </w:numPr>
        <w:shd w:val="clear" w:color="auto" w:fill="FFFFFF"/>
        <w:spacing w:before="100" w:beforeAutospacing="1" w:after="150" w:line="360" w:lineRule="auto"/>
        <w:jc w:val="both"/>
        <w:rPr>
          <w:rFonts w:eastAsia="Times New Roman" w:cs="Times New Roman"/>
          <w:szCs w:val="24"/>
        </w:rPr>
      </w:pPr>
      <w:r>
        <w:rPr>
          <w:rFonts w:eastAsia="Times New Roman" w:cs="Times New Roman"/>
          <w:szCs w:val="24"/>
        </w:rPr>
        <w:t>It has cumulatively produced 1042 Million Metric Tonnes (MMT) of crude and 715 Billion Cubic Meters (BCM) of Natural Gas.</w:t>
      </w:r>
    </w:p>
    <w:p w14:paraId="02A3F910" w14:textId="77777777" w:rsidR="006564AA" w:rsidRDefault="00037F74">
      <w:pPr>
        <w:numPr>
          <w:ilvl w:val="0"/>
          <w:numId w:val="14"/>
        </w:numPr>
        <w:shd w:val="clear" w:color="auto" w:fill="FFFFFF"/>
        <w:spacing w:before="100" w:beforeAutospacing="1" w:after="150" w:line="360" w:lineRule="auto"/>
        <w:jc w:val="both"/>
        <w:rPr>
          <w:rFonts w:eastAsia="Times New Roman" w:cs="Times New Roman"/>
          <w:szCs w:val="24"/>
        </w:rPr>
      </w:pPr>
      <w:r>
        <w:rPr>
          <w:rFonts w:eastAsia="Times New Roman" w:cs="Times New Roman"/>
          <w:szCs w:val="24"/>
        </w:rPr>
        <w:t xml:space="preserve">ONGC's wholly-owned subsidiary ONGC </w:t>
      </w:r>
      <w:proofErr w:type="spellStart"/>
      <w:r>
        <w:rPr>
          <w:rFonts w:eastAsia="Times New Roman" w:cs="Times New Roman"/>
          <w:szCs w:val="24"/>
        </w:rPr>
        <w:t>Videsh</w:t>
      </w:r>
      <w:proofErr w:type="spellEnd"/>
      <w:r>
        <w:rPr>
          <w:rFonts w:eastAsia="Times New Roman" w:cs="Times New Roman"/>
          <w:szCs w:val="24"/>
        </w:rPr>
        <w:t xml:space="preserve"> Ltd. (OVL) is the most prominent Indian multinational, with 41 Oil &amp; Gas projects in 20 countries. </w:t>
      </w:r>
    </w:p>
    <w:p w14:paraId="67968E96" w14:textId="77777777" w:rsidR="006564AA" w:rsidRDefault="00037F74">
      <w:pPr>
        <w:numPr>
          <w:ilvl w:val="0"/>
          <w:numId w:val="14"/>
        </w:numPr>
        <w:shd w:val="clear" w:color="auto" w:fill="FFFFFF"/>
        <w:spacing w:before="100" w:beforeAutospacing="1" w:after="150" w:line="360" w:lineRule="auto"/>
        <w:jc w:val="both"/>
        <w:rPr>
          <w:rFonts w:eastAsia="Times New Roman" w:cs="Times New Roman"/>
          <w:szCs w:val="24"/>
        </w:rPr>
      </w:pPr>
      <w:r>
        <w:rPr>
          <w:rFonts w:eastAsia="Times New Roman" w:cs="Times New Roman"/>
          <w:szCs w:val="24"/>
        </w:rPr>
        <w:t>ONGC produces over 1.26 million barrels of oil equivalent per day, contributing around 75% of India's domestic production</w:t>
      </w:r>
    </w:p>
    <w:p w14:paraId="15E8FE0B" w14:textId="77777777" w:rsidR="006564AA" w:rsidRDefault="00037F74">
      <w:pPr>
        <w:numPr>
          <w:ilvl w:val="0"/>
          <w:numId w:val="14"/>
        </w:numPr>
        <w:shd w:val="clear" w:color="auto" w:fill="FFFFFF"/>
        <w:spacing w:before="100" w:beforeAutospacing="1" w:after="150" w:line="360" w:lineRule="auto"/>
        <w:jc w:val="both"/>
        <w:rPr>
          <w:rFonts w:eastAsia="Times New Roman" w:cs="Times New Roman"/>
          <w:szCs w:val="24"/>
        </w:rPr>
      </w:pPr>
      <w:r>
        <w:rPr>
          <w:rFonts w:eastAsia="Times New Roman" w:cs="Times New Roman"/>
          <w:szCs w:val="24"/>
        </w:rPr>
        <w:t>ONGC possesses about 15% of the total Indian refining capacity.</w:t>
      </w:r>
    </w:p>
    <w:p w14:paraId="2666A58B" w14:textId="77777777" w:rsidR="006564AA" w:rsidRDefault="00037F74">
      <w:pPr>
        <w:numPr>
          <w:ilvl w:val="0"/>
          <w:numId w:val="14"/>
        </w:numPr>
        <w:shd w:val="clear" w:color="auto" w:fill="FFFFFF"/>
        <w:spacing w:before="100" w:beforeAutospacing="1" w:after="150" w:line="360" w:lineRule="auto"/>
        <w:jc w:val="both"/>
        <w:rPr>
          <w:rFonts w:eastAsia="Times New Roman" w:cs="Times New Roman"/>
          <w:szCs w:val="24"/>
        </w:rPr>
      </w:pPr>
      <w:r>
        <w:rPr>
          <w:rFonts w:eastAsia="Times New Roman" w:cs="Times New Roman"/>
          <w:szCs w:val="24"/>
        </w:rPr>
        <w:t>This E&amp;P Company has a well-integrated Hydrocarbon Value Chain structure with interests in LNG and product transportation business as well.</w:t>
      </w:r>
    </w:p>
    <w:p w14:paraId="4AE98C27" w14:textId="77777777" w:rsidR="006564AA" w:rsidRPr="00622677" w:rsidRDefault="00622677" w:rsidP="00622677">
      <w:pPr>
        <w:shd w:val="clear" w:color="auto" w:fill="FFFFFF"/>
        <w:tabs>
          <w:tab w:val="left" w:pos="360"/>
        </w:tabs>
        <w:spacing w:before="100" w:beforeAutospacing="1" w:after="150" w:line="360" w:lineRule="auto"/>
        <w:rPr>
          <w:rFonts w:cs="Times New Roman"/>
          <w:bCs/>
        </w:rPr>
      </w:pPr>
      <w:r>
        <w:rPr>
          <w:rFonts w:cs="Times New Roman"/>
          <w:bCs/>
        </w:rPr>
        <w:t>Figure 14: Shareholding of 2018-19 in %</w:t>
      </w:r>
      <w:r w:rsidR="00037F74">
        <w:rPr>
          <w:rFonts w:cs="Times New Roman"/>
          <w:noProof/>
          <w:szCs w:val="24"/>
        </w:rPr>
        <w:drawing>
          <wp:inline distT="0" distB="0" distL="114300" distR="114300" wp14:anchorId="40070853" wp14:editId="68D7330A">
            <wp:extent cx="5059680" cy="2537460"/>
            <wp:effectExtent l="0" t="0" r="7620" b="15240"/>
            <wp:docPr id="1051"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037F74">
        <w:rPr>
          <w:rFonts w:cs="Times New Roman"/>
        </w:rPr>
        <w:fldChar w:fldCharType="begin"/>
      </w:r>
      <w:r w:rsidR="00037F74">
        <w:rPr>
          <w:rFonts w:cs="Times New Roman"/>
        </w:rPr>
        <w:instrText xml:space="preserve"> CITATION ONG19 \l 16393 </w:instrText>
      </w:r>
      <w:r w:rsidR="00037F74">
        <w:rPr>
          <w:rFonts w:cs="Times New Roman"/>
        </w:rPr>
        <w:fldChar w:fldCharType="separate"/>
      </w:r>
      <w:r w:rsidRPr="00C72A10">
        <w:rPr>
          <w:rFonts w:cs="Times New Roman"/>
          <w:noProof/>
          <w:sz w:val="20"/>
          <w:szCs w:val="16"/>
        </w:rPr>
        <w:t>(ONGC Annual Report, 2018-19)</w:t>
      </w:r>
      <w:r>
        <w:rPr>
          <w:rFonts w:cs="Times New Roman"/>
          <w:noProof/>
        </w:rPr>
        <w:t xml:space="preserve"> </w:t>
      </w:r>
      <w:r w:rsidR="00037F74">
        <w:rPr>
          <w:rFonts w:cs="Times New Roman"/>
        </w:rPr>
        <w:fldChar w:fldCharType="end"/>
      </w:r>
    </w:p>
    <w:p w14:paraId="7CB29905" w14:textId="77777777" w:rsidR="006564AA" w:rsidRDefault="006564AA"/>
    <w:p w14:paraId="6AA54163" w14:textId="77777777" w:rsidR="00622677" w:rsidRDefault="00622677" w:rsidP="00622677">
      <w:pPr>
        <w:jc w:val="both"/>
      </w:pPr>
    </w:p>
    <w:p w14:paraId="60CA5472" w14:textId="77777777" w:rsidR="00CE6604" w:rsidRDefault="00CE6604">
      <w:r>
        <w:br w:type="page"/>
      </w:r>
    </w:p>
    <w:p w14:paraId="4D167F51" w14:textId="77777777" w:rsidR="00CE6604" w:rsidRDefault="00CE6604" w:rsidP="00622677">
      <w:pPr>
        <w:jc w:val="both"/>
        <w:rPr>
          <w:rFonts w:cs="Times New Roman"/>
          <w:bCs/>
        </w:rPr>
      </w:pPr>
    </w:p>
    <w:p w14:paraId="731F2176" w14:textId="77777777" w:rsidR="00622677" w:rsidRDefault="00622677" w:rsidP="00622677">
      <w:pPr>
        <w:jc w:val="both"/>
        <w:rPr>
          <w:rFonts w:cs="Times New Roman"/>
          <w:bCs/>
        </w:rPr>
      </w:pPr>
      <w:r>
        <w:rPr>
          <w:rFonts w:cs="Times New Roman"/>
          <w:bCs/>
        </w:rPr>
        <w:t>Figure 15: Revenue for the Last Three Years</w:t>
      </w:r>
    </w:p>
    <w:p w14:paraId="0C53A04F" w14:textId="77777777" w:rsidR="006564AA" w:rsidRPr="00622677" w:rsidRDefault="00037F74" w:rsidP="00622677">
      <w:pPr>
        <w:jc w:val="both"/>
        <w:rPr>
          <w:rFonts w:cs="Times New Roman"/>
          <w:b/>
          <w:bCs/>
          <w:szCs w:val="24"/>
          <w:u w:val="single"/>
        </w:rPr>
      </w:pPr>
      <w:r w:rsidRPr="00B558C8">
        <w:rPr>
          <w:rFonts w:cs="Times New Roman"/>
          <w:b/>
          <w:bCs/>
          <w:noProof/>
          <w:szCs w:val="24"/>
        </w:rPr>
        <w:drawing>
          <wp:inline distT="0" distB="0" distL="114300" distR="114300" wp14:anchorId="22CDED23" wp14:editId="510F1DC6">
            <wp:extent cx="5486400" cy="3200400"/>
            <wp:effectExtent l="0" t="0" r="0" b="0"/>
            <wp:docPr id="1053"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00622677" w:rsidRPr="00622677">
        <w:rPr>
          <w:rFonts w:cs="Times New Roman"/>
          <w:bCs/>
        </w:rPr>
        <w:t xml:space="preserve"> </w:t>
      </w:r>
      <w:r w:rsidRPr="00C72A10">
        <w:rPr>
          <w:rFonts w:cs="Times New Roman"/>
          <w:sz w:val="20"/>
          <w:szCs w:val="16"/>
        </w:rPr>
        <w:fldChar w:fldCharType="begin"/>
      </w:r>
      <w:r w:rsidRPr="00C72A10">
        <w:rPr>
          <w:rFonts w:cs="Times New Roman"/>
          <w:sz w:val="20"/>
          <w:szCs w:val="16"/>
        </w:rPr>
        <w:instrText xml:space="preserve"> CITATION ONG19 \l 16393 </w:instrText>
      </w:r>
      <w:r w:rsidRPr="00C72A10">
        <w:rPr>
          <w:rFonts w:cs="Times New Roman"/>
          <w:sz w:val="20"/>
          <w:szCs w:val="16"/>
        </w:rPr>
        <w:fldChar w:fldCharType="separate"/>
      </w:r>
      <w:r w:rsidRPr="00C72A10">
        <w:rPr>
          <w:rFonts w:cs="Times New Roman"/>
          <w:noProof/>
          <w:sz w:val="20"/>
          <w:szCs w:val="16"/>
        </w:rPr>
        <w:t>(ONGC</w:t>
      </w:r>
      <w:r w:rsidR="00622677" w:rsidRPr="00C72A10">
        <w:rPr>
          <w:rFonts w:cs="Times New Roman"/>
          <w:noProof/>
          <w:sz w:val="20"/>
          <w:szCs w:val="16"/>
        </w:rPr>
        <w:t xml:space="preserve"> Annual Report, 2018-19)</w:t>
      </w:r>
      <w:r w:rsidRPr="00C72A10">
        <w:rPr>
          <w:rFonts w:cs="Times New Roman"/>
          <w:sz w:val="20"/>
          <w:szCs w:val="16"/>
        </w:rPr>
        <w:fldChar w:fldCharType="end"/>
      </w:r>
    </w:p>
    <w:p w14:paraId="7F39B4A9" w14:textId="77777777" w:rsidR="006564AA" w:rsidRDefault="00037F74">
      <w:pPr>
        <w:spacing w:before="240" w:line="360" w:lineRule="auto"/>
        <w:jc w:val="both"/>
        <w:rPr>
          <w:rFonts w:cs="Times New Roman"/>
          <w:b/>
          <w:bCs/>
          <w:szCs w:val="24"/>
        </w:rPr>
      </w:pPr>
      <w:r>
        <w:rPr>
          <w:rFonts w:cs="Times New Roman"/>
          <w:b/>
          <w:bCs/>
          <w:szCs w:val="24"/>
        </w:rPr>
        <w:t>Growth Strategies</w:t>
      </w:r>
    </w:p>
    <w:p w14:paraId="63D4BFE9" w14:textId="77777777" w:rsidR="006564AA" w:rsidRDefault="00037F74">
      <w:pPr>
        <w:spacing w:before="240" w:line="360" w:lineRule="auto"/>
        <w:jc w:val="both"/>
        <w:rPr>
          <w:rFonts w:cs="Times New Roman"/>
          <w:szCs w:val="24"/>
        </w:rPr>
      </w:pPr>
      <w:r>
        <w:rPr>
          <w:rFonts w:cs="Times New Roman"/>
          <w:szCs w:val="24"/>
        </w:rPr>
        <w:t xml:space="preserve">Reliance and ONGC became the joint venture partner for the Panna -Mukta oil and gas field. This field is operating for 25 years, and after such a long time, it has sold to ONGC, which will result in increasing the production capacity of crude oil. </w:t>
      </w:r>
    </w:p>
    <w:p w14:paraId="73D34C0C" w14:textId="77777777" w:rsidR="006564AA" w:rsidRDefault="00037F74">
      <w:pPr>
        <w:spacing w:line="360" w:lineRule="auto"/>
        <w:jc w:val="both"/>
        <w:rPr>
          <w:rFonts w:cs="Times New Roman"/>
          <w:color w:val="000000"/>
          <w:szCs w:val="24"/>
          <w:shd w:val="clear" w:color="auto" w:fill="FFFFFF"/>
        </w:rPr>
      </w:pPr>
      <w:r>
        <w:rPr>
          <w:rFonts w:cs="Times New Roman"/>
          <w:color w:val="000000"/>
          <w:szCs w:val="24"/>
          <w:shd w:val="clear" w:color="auto" w:fill="FFFFFF"/>
        </w:rPr>
        <w:t xml:space="preserve">As 25,500 kilometres of pipelines in India, including sub-sea pipes, are owned and operated by ONGC. No other company in India operates even 50 per cent of this route length. </w:t>
      </w:r>
    </w:p>
    <w:p w14:paraId="0C19529C" w14:textId="77777777" w:rsidR="006564AA" w:rsidRDefault="00037F74">
      <w:pPr>
        <w:spacing w:line="360" w:lineRule="auto"/>
        <w:jc w:val="both"/>
        <w:rPr>
          <w:rFonts w:eastAsia="Times New Roman" w:cs="Times New Roman"/>
          <w:color w:val="000000"/>
          <w:szCs w:val="24"/>
          <w:shd w:val="clear" w:color="auto" w:fill="FFFFFF"/>
          <w:lang w:eastAsia="en-IN"/>
        </w:rPr>
      </w:pPr>
      <w:r>
        <w:rPr>
          <w:rFonts w:cs="Times New Roman"/>
          <w:color w:val="000000"/>
          <w:szCs w:val="24"/>
          <w:shd w:val="clear" w:color="auto" w:fill="FFFFFF"/>
        </w:rPr>
        <w:t xml:space="preserve">ONGC adopts Energy Strategy 2040, which aims in doubling the target of oil and gas both from domestic and overseas fields </w:t>
      </w:r>
      <w:r>
        <w:rPr>
          <w:rFonts w:eastAsia="Times New Roman" w:cs="Times New Roman"/>
          <w:color w:val="000000"/>
          <w:szCs w:val="24"/>
          <w:shd w:val="clear" w:color="auto" w:fill="FFFFFF"/>
          <w:lang w:eastAsia="en-IN"/>
        </w:rPr>
        <w:t>expand its refining capacity three-fold.</w:t>
      </w:r>
    </w:p>
    <w:p w14:paraId="4282F407" w14:textId="77777777" w:rsidR="006564AA" w:rsidRDefault="006564AA">
      <w:pPr>
        <w:spacing w:line="360" w:lineRule="auto"/>
        <w:jc w:val="both"/>
        <w:rPr>
          <w:rFonts w:cs="Times New Roman"/>
          <w:color w:val="365F91"/>
        </w:rPr>
      </w:pPr>
    </w:p>
    <w:p w14:paraId="34D883B7" w14:textId="77777777" w:rsidR="006564AA" w:rsidRDefault="00037F74">
      <w:pPr>
        <w:pStyle w:val="Heading2"/>
        <w:rPr>
          <w:rFonts w:cs="Times New Roman"/>
          <w:shd w:val="clear" w:color="auto" w:fill="FFFFFF"/>
        </w:rPr>
      </w:pPr>
      <w:bookmarkStart w:id="19" w:name="_Toc36752000"/>
      <w:r>
        <w:rPr>
          <w:rFonts w:cs="Times New Roman"/>
          <w:shd w:val="clear" w:color="auto" w:fill="FFFFFF"/>
        </w:rPr>
        <w:t>7.4 IOCL</w:t>
      </w:r>
      <w:bookmarkEnd w:id="19"/>
    </w:p>
    <w:p w14:paraId="7141CEC8" w14:textId="77777777" w:rsidR="006564AA" w:rsidRDefault="006564AA">
      <w:pPr>
        <w:spacing w:line="360" w:lineRule="auto"/>
        <w:jc w:val="both"/>
        <w:rPr>
          <w:rFonts w:cs="Times New Roman"/>
        </w:rPr>
      </w:pPr>
    </w:p>
    <w:p w14:paraId="04A6BD8E" w14:textId="77777777" w:rsidR="006564AA" w:rsidRDefault="00037F74">
      <w:pPr>
        <w:spacing w:after="100" w:afterAutospacing="1" w:line="360" w:lineRule="auto"/>
        <w:jc w:val="both"/>
        <w:rPr>
          <w:rFonts w:cs="Times New Roman"/>
          <w:szCs w:val="24"/>
        </w:rPr>
      </w:pPr>
      <w:r>
        <w:rPr>
          <w:rFonts w:cs="Times New Roman"/>
          <w:szCs w:val="24"/>
          <w:shd w:val="clear" w:color="auto" w:fill="FFFFFF"/>
        </w:rPr>
        <w:t>Indian Oil Corporation Limited which is known as Indian Oil is owned by the Indian Government and is an oil and gas company, headquartered in New Delhi. It was incorporated on June 30, 1959. It holds and operates ten of India's 20 refineries with a combined refining capacity of 60.2 million metric tonnes per annum. It is the largest commercial oil company in the country which is ranked 117th in Fortune 500 List of the world's largest companies in the year 2019. It retained the top spot for highest-</w:t>
      </w:r>
      <w:r>
        <w:rPr>
          <w:rFonts w:cs="Times New Roman"/>
          <w:szCs w:val="24"/>
          <w:shd w:val="clear" w:color="auto" w:fill="FFFFFF"/>
        </w:rPr>
        <w:lastRenderedPageBreak/>
        <w:t>ranked PSU in Fortune "Global 500" list in 2019.</w:t>
      </w:r>
      <w:r>
        <w:rPr>
          <w:rFonts w:cs="Times New Roman"/>
          <w:szCs w:val="24"/>
        </w:rPr>
        <w:t xml:space="preserve"> The operating revenues of IOCL have been rising at a rate of 4.89% CAGR.</w:t>
      </w:r>
    </w:p>
    <w:p w14:paraId="0BC29D79" w14:textId="77777777" w:rsidR="00622677" w:rsidRDefault="00037F74">
      <w:pPr>
        <w:jc w:val="both"/>
        <w:rPr>
          <w:rFonts w:cs="Times New Roman"/>
          <w:b/>
          <w:bCs/>
          <w:szCs w:val="24"/>
        </w:rPr>
      </w:pPr>
      <w:r>
        <w:rPr>
          <w:rFonts w:cs="Times New Roman"/>
          <w:b/>
          <w:bCs/>
          <w:szCs w:val="24"/>
        </w:rPr>
        <w:t>Shareholding Pattern</w:t>
      </w:r>
    </w:p>
    <w:p w14:paraId="441FD6DD" w14:textId="77777777" w:rsidR="00622677" w:rsidRDefault="00622677" w:rsidP="00622677">
      <w:pPr>
        <w:jc w:val="both"/>
        <w:rPr>
          <w:rFonts w:cs="Times New Roman"/>
          <w:bCs/>
        </w:rPr>
      </w:pPr>
      <w:r>
        <w:rPr>
          <w:rFonts w:cs="Times New Roman"/>
          <w:bCs/>
        </w:rPr>
        <w:t>Figure 16: Shareholding of 2018-19 in %</w:t>
      </w:r>
    </w:p>
    <w:p w14:paraId="1482C710" w14:textId="77777777" w:rsidR="006564AA" w:rsidRDefault="00622677" w:rsidP="00622677">
      <w:pPr>
        <w:jc w:val="both"/>
        <w:rPr>
          <w:rFonts w:cs="Times New Roman"/>
        </w:rPr>
      </w:pPr>
      <w:r>
        <w:rPr>
          <w:rFonts w:cs="Times New Roman"/>
          <w:noProof/>
          <w:szCs w:val="24"/>
          <w:lang w:eastAsia="en-IN"/>
        </w:rPr>
        <w:drawing>
          <wp:inline distT="0" distB="0" distL="114300" distR="114300" wp14:anchorId="4BF60866" wp14:editId="38AD183B">
            <wp:extent cx="5265420" cy="3032760"/>
            <wp:effectExtent l="0" t="0" r="11430" b="15240"/>
            <wp:docPr id="1055"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037F74" w:rsidRPr="00C72A10">
        <w:rPr>
          <w:rFonts w:cs="Times New Roman"/>
          <w:sz w:val="20"/>
          <w:szCs w:val="16"/>
        </w:rPr>
        <w:fldChar w:fldCharType="begin"/>
      </w:r>
      <w:r w:rsidR="00037F74" w:rsidRPr="00C72A10">
        <w:rPr>
          <w:rFonts w:cs="Times New Roman"/>
          <w:sz w:val="20"/>
          <w:szCs w:val="16"/>
        </w:rPr>
        <w:instrText xml:space="preserve"> CITATION IOC191 \l 16393 </w:instrText>
      </w:r>
      <w:r w:rsidR="00037F74" w:rsidRPr="00C72A10">
        <w:rPr>
          <w:rFonts w:cs="Times New Roman"/>
          <w:sz w:val="20"/>
          <w:szCs w:val="16"/>
        </w:rPr>
        <w:fldChar w:fldCharType="separate"/>
      </w:r>
      <w:r w:rsidR="00037F74" w:rsidRPr="00C72A10">
        <w:rPr>
          <w:rFonts w:cs="Times New Roman"/>
          <w:noProof/>
          <w:sz w:val="20"/>
          <w:szCs w:val="16"/>
        </w:rPr>
        <w:t>(IOCL Annual Report, 2018-19)</w:t>
      </w:r>
      <w:r w:rsidR="00037F74" w:rsidRPr="00C72A10">
        <w:rPr>
          <w:rFonts w:cs="Times New Roman"/>
          <w:sz w:val="20"/>
          <w:szCs w:val="16"/>
        </w:rPr>
        <w:fldChar w:fldCharType="end"/>
      </w:r>
    </w:p>
    <w:p w14:paraId="781B5E11" w14:textId="77777777" w:rsidR="006564AA" w:rsidRDefault="006564AA">
      <w:pPr>
        <w:spacing w:line="360" w:lineRule="auto"/>
        <w:jc w:val="both"/>
        <w:rPr>
          <w:rFonts w:cs="Times New Roman"/>
          <w:szCs w:val="24"/>
        </w:rPr>
      </w:pPr>
    </w:p>
    <w:p w14:paraId="4CF4A74A" w14:textId="77777777" w:rsidR="006564AA" w:rsidRDefault="00037F74">
      <w:pPr>
        <w:spacing w:line="360" w:lineRule="auto"/>
        <w:jc w:val="both"/>
        <w:rPr>
          <w:rFonts w:cs="Times New Roman"/>
          <w:szCs w:val="24"/>
        </w:rPr>
      </w:pPr>
      <w:r>
        <w:rPr>
          <w:rFonts w:cs="Times New Roman"/>
          <w:szCs w:val="24"/>
        </w:rPr>
        <w:t>The Indian government is the major shareholder in IOCL having 50% of the shares, and rest 50% is distributed amongst institutions such as mutual funds &amp; insurance companies and others being the general public.</w:t>
      </w:r>
    </w:p>
    <w:p w14:paraId="60C29820" w14:textId="77777777" w:rsidR="00622677" w:rsidRDefault="00037F74" w:rsidP="00622677">
      <w:pPr>
        <w:spacing w:line="360" w:lineRule="auto"/>
        <w:jc w:val="both"/>
        <w:rPr>
          <w:rFonts w:cs="Times New Roman"/>
          <w:b/>
          <w:bCs/>
          <w:szCs w:val="24"/>
        </w:rPr>
      </w:pPr>
      <w:r>
        <w:rPr>
          <w:rFonts w:cs="Times New Roman"/>
          <w:b/>
          <w:bCs/>
          <w:szCs w:val="24"/>
        </w:rPr>
        <w:t>Financial Snapshot</w:t>
      </w:r>
    </w:p>
    <w:p w14:paraId="2452E017" w14:textId="77777777" w:rsidR="00622677" w:rsidRDefault="00622677" w:rsidP="00622677">
      <w:pPr>
        <w:spacing w:after="120" w:line="360" w:lineRule="auto"/>
        <w:jc w:val="both"/>
        <w:rPr>
          <w:rFonts w:cs="Times New Roman"/>
          <w:szCs w:val="24"/>
        </w:rPr>
      </w:pPr>
      <w:r>
        <w:rPr>
          <w:rFonts w:cs="Times New Roman"/>
          <w:szCs w:val="24"/>
        </w:rPr>
        <w:t>Figure 17: Financials for the Last five Years</w:t>
      </w:r>
    </w:p>
    <w:p w14:paraId="1A6B8B61" w14:textId="77777777" w:rsidR="006564AA" w:rsidRDefault="00037F74" w:rsidP="00622677">
      <w:pPr>
        <w:spacing w:line="360" w:lineRule="auto"/>
        <w:jc w:val="both"/>
        <w:rPr>
          <w:rFonts w:cs="Times New Roman"/>
          <w:b/>
          <w:bCs/>
          <w:szCs w:val="24"/>
        </w:rPr>
      </w:pPr>
      <w:r>
        <w:rPr>
          <w:rFonts w:cs="Times New Roman"/>
          <w:noProof/>
          <w:szCs w:val="24"/>
          <w:lang w:eastAsia="en-IN"/>
        </w:rPr>
        <w:drawing>
          <wp:inline distT="0" distB="0" distL="114300" distR="114300" wp14:anchorId="63876DD7" wp14:editId="5D8DCC36">
            <wp:extent cx="5143500" cy="2682240"/>
            <wp:effectExtent l="0" t="0" r="0" b="3810"/>
            <wp:docPr id="1057"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CEC47B" w14:textId="77777777" w:rsidR="006564AA" w:rsidRPr="00C72A10" w:rsidRDefault="00037F74" w:rsidP="00622677">
      <w:pPr>
        <w:spacing w:after="120" w:line="360" w:lineRule="auto"/>
        <w:jc w:val="both"/>
        <w:rPr>
          <w:rFonts w:cs="Times New Roman"/>
          <w:sz w:val="20"/>
        </w:rPr>
      </w:pPr>
      <w:r w:rsidRPr="00C72A10">
        <w:rPr>
          <w:rFonts w:cs="Times New Roman"/>
          <w:sz w:val="20"/>
          <w:szCs w:val="16"/>
        </w:rPr>
        <w:fldChar w:fldCharType="begin"/>
      </w:r>
      <w:r w:rsidRPr="00C72A10">
        <w:rPr>
          <w:rFonts w:cs="Times New Roman"/>
          <w:sz w:val="20"/>
          <w:szCs w:val="16"/>
        </w:rPr>
        <w:instrText xml:space="preserve"> CITATION IOC19 \l 16393 </w:instrText>
      </w:r>
      <w:r w:rsidRPr="00C72A10">
        <w:rPr>
          <w:rFonts w:cs="Times New Roman"/>
          <w:sz w:val="20"/>
          <w:szCs w:val="16"/>
        </w:rPr>
        <w:fldChar w:fldCharType="separate"/>
      </w:r>
      <w:r w:rsidRPr="00C72A10">
        <w:rPr>
          <w:rFonts w:cs="Times New Roman"/>
          <w:noProof/>
          <w:sz w:val="20"/>
          <w:szCs w:val="16"/>
        </w:rPr>
        <w:t>(IOCL Annual Report, 2018-19)</w:t>
      </w:r>
      <w:r w:rsidRPr="00C72A10">
        <w:rPr>
          <w:rFonts w:cs="Times New Roman"/>
          <w:sz w:val="20"/>
          <w:szCs w:val="16"/>
        </w:rPr>
        <w:fldChar w:fldCharType="end"/>
      </w:r>
    </w:p>
    <w:p w14:paraId="59547E05" w14:textId="77777777" w:rsidR="006564AA" w:rsidRDefault="00037F74">
      <w:pPr>
        <w:spacing w:after="120" w:line="360" w:lineRule="auto"/>
        <w:jc w:val="both"/>
        <w:rPr>
          <w:rFonts w:cs="Times New Roman"/>
          <w:szCs w:val="24"/>
        </w:rPr>
      </w:pPr>
      <w:r>
        <w:rPr>
          <w:rFonts w:cs="Times New Roman"/>
          <w:szCs w:val="24"/>
        </w:rPr>
        <w:lastRenderedPageBreak/>
        <w:t>During the year 2014 -18 the oil prices were low all over the world, but during the year 2018-19, the oil prices started to rise steadily. Due to an increase in prices, the profit margin got reduced in the year 2018-19. The revenue still went up as India is a growing economy and highly dependent.</w:t>
      </w:r>
    </w:p>
    <w:p w14:paraId="19736FC5" w14:textId="77777777" w:rsidR="006564AA" w:rsidRDefault="00037F74">
      <w:pPr>
        <w:pStyle w:val="Heading2"/>
        <w:rPr>
          <w:rFonts w:cs="Times New Roman"/>
          <w:shd w:val="clear" w:color="auto" w:fill="FFFFFF"/>
        </w:rPr>
      </w:pPr>
      <w:bookmarkStart w:id="20" w:name="_Toc36752001"/>
      <w:r>
        <w:rPr>
          <w:rFonts w:cs="Times New Roman"/>
          <w:shd w:val="clear" w:color="auto" w:fill="FFFFFF"/>
        </w:rPr>
        <w:t>7.5 Hindustan Petroleum Co. Ltd.</w:t>
      </w:r>
      <w:bookmarkEnd w:id="20"/>
    </w:p>
    <w:p w14:paraId="7C9385E5" w14:textId="77777777" w:rsidR="006564AA" w:rsidRDefault="00037F74">
      <w:pPr>
        <w:spacing w:line="360" w:lineRule="auto"/>
        <w:jc w:val="both"/>
        <w:rPr>
          <w:rFonts w:cs="Times New Roman"/>
          <w:color w:val="222222"/>
          <w:sz w:val="28"/>
          <w:szCs w:val="28"/>
          <w:shd w:val="clear" w:color="auto" w:fill="FFFFFF"/>
        </w:rPr>
      </w:pPr>
      <w:r>
        <w:rPr>
          <w:rFonts w:cs="Times New Roman"/>
          <w:color w:val="222222"/>
          <w:szCs w:val="24"/>
          <w:shd w:val="clear" w:color="auto" w:fill="FFFFFF"/>
        </w:rPr>
        <w:t>HPCL</w:t>
      </w:r>
      <w:r>
        <w:rPr>
          <w:rFonts w:cs="Times New Roman"/>
          <w:b/>
          <w:bCs/>
          <w:color w:val="222222"/>
          <w:szCs w:val="24"/>
          <w:shd w:val="clear" w:color="auto" w:fill="FFFFFF"/>
        </w:rPr>
        <w:t xml:space="preserve"> </w:t>
      </w:r>
      <w:r>
        <w:rPr>
          <w:rFonts w:cs="Times New Roman"/>
          <w:color w:val="222222"/>
          <w:szCs w:val="24"/>
          <w:shd w:val="clear" w:color="auto" w:fill="FFFFFF"/>
        </w:rPr>
        <w:t>is a Maharashtra-based CPSE, incorporated in 1952, in the name of Standard Vacuum Refining Company of India. In 1974, HPCL came into being after the merger of (erstwhile)Esso Standard &amp; Lube India Ltd in Mumbai. HPCL is listed in NSE as well as BSE and holds 55</w:t>
      </w:r>
      <w:r>
        <w:rPr>
          <w:rFonts w:cs="Times New Roman"/>
          <w:color w:val="222222"/>
          <w:szCs w:val="24"/>
          <w:shd w:val="clear" w:color="auto" w:fill="FFFFFF"/>
          <w:vertAlign w:val="superscript"/>
        </w:rPr>
        <w:t>th</w:t>
      </w:r>
      <w:r>
        <w:rPr>
          <w:rFonts w:cs="Times New Roman"/>
          <w:color w:val="222222"/>
          <w:szCs w:val="24"/>
          <w:shd w:val="clear" w:color="auto" w:fill="FFFFFF"/>
        </w:rPr>
        <w:t xml:space="preserve"> position in Fortune 500 companies. It operates as the largest Lube Oil Refinery &amp; has the second-largest share in product pipelines having a pipeline network of about 3,370 km.</w:t>
      </w:r>
      <w:r>
        <w:rPr>
          <w:rFonts w:cs="Times New Roman"/>
          <w:color w:val="222222"/>
          <w:sz w:val="28"/>
          <w:szCs w:val="28"/>
          <w:shd w:val="clear" w:color="auto" w:fill="FFFFFF"/>
        </w:rPr>
        <w:t xml:space="preserve"> </w:t>
      </w:r>
    </w:p>
    <w:p w14:paraId="42849E46"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It owns two coastal refineries in Mumbai &amp; Visakhapatnam and other ventures:</w:t>
      </w:r>
    </w:p>
    <w:tbl>
      <w:tblPr>
        <w:tblStyle w:val="TableGrid"/>
        <w:tblW w:w="0" w:type="auto"/>
        <w:tblLook w:val="04A0" w:firstRow="1" w:lastRow="0" w:firstColumn="1" w:lastColumn="0" w:noHBand="0" w:noVBand="1"/>
      </w:tblPr>
      <w:tblGrid>
        <w:gridCol w:w="634"/>
        <w:gridCol w:w="2477"/>
        <w:gridCol w:w="3677"/>
        <w:gridCol w:w="1395"/>
      </w:tblGrid>
      <w:tr w:rsidR="003379AA" w14:paraId="2DA5CC4F" w14:textId="77777777">
        <w:tc>
          <w:tcPr>
            <w:tcW w:w="652" w:type="dxa"/>
          </w:tcPr>
          <w:p w14:paraId="74B8B579"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Sr. No.</w:t>
            </w:r>
          </w:p>
        </w:tc>
        <w:tc>
          <w:tcPr>
            <w:tcW w:w="2682" w:type="dxa"/>
          </w:tcPr>
          <w:p w14:paraId="6D16DF30"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Venture with</w:t>
            </w:r>
          </w:p>
        </w:tc>
        <w:tc>
          <w:tcPr>
            <w:tcW w:w="4186" w:type="dxa"/>
          </w:tcPr>
          <w:p w14:paraId="217D1493"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Refinery in</w:t>
            </w:r>
          </w:p>
        </w:tc>
        <w:tc>
          <w:tcPr>
            <w:tcW w:w="1496" w:type="dxa"/>
          </w:tcPr>
          <w:p w14:paraId="568B00AD"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Holding</w:t>
            </w:r>
          </w:p>
        </w:tc>
      </w:tr>
      <w:tr w:rsidR="003379AA" w14:paraId="4F53BFED" w14:textId="77777777">
        <w:tc>
          <w:tcPr>
            <w:tcW w:w="652" w:type="dxa"/>
          </w:tcPr>
          <w:p w14:paraId="4C9BB5E9"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1</w:t>
            </w:r>
          </w:p>
        </w:tc>
        <w:tc>
          <w:tcPr>
            <w:tcW w:w="2682" w:type="dxa"/>
          </w:tcPr>
          <w:p w14:paraId="0C9E82DD"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M/s Mittal Energy Ltd</w:t>
            </w:r>
          </w:p>
        </w:tc>
        <w:tc>
          <w:tcPr>
            <w:tcW w:w="4186" w:type="dxa"/>
          </w:tcPr>
          <w:p w14:paraId="380F1C3F"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Bathinda, Panjab</w:t>
            </w:r>
          </w:p>
        </w:tc>
        <w:tc>
          <w:tcPr>
            <w:tcW w:w="1496" w:type="dxa"/>
          </w:tcPr>
          <w:p w14:paraId="36BB6D10"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48.99%</w:t>
            </w:r>
          </w:p>
        </w:tc>
      </w:tr>
      <w:tr w:rsidR="003379AA" w14:paraId="35C5EC7C" w14:textId="77777777">
        <w:tc>
          <w:tcPr>
            <w:tcW w:w="652" w:type="dxa"/>
          </w:tcPr>
          <w:p w14:paraId="5AF6BB04"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2</w:t>
            </w:r>
          </w:p>
        </w:tc>
        <w:tc>
          <w:tcPr>
            <w:tcW w:w="2682" w:type="dxa"/>
          </w:tcPr>
          <w:p w14:paraId="46717313"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South Asia LPG Co Pvt Ltd</w:t>
            </w:r>
          </w:p>
        </w:tc>
        <w:tc>
          <w:tcPr>
            <w:tcW w:w="4186" w:type="dxa"/>
          </w:tcPr>
          <w:p w14:paraId="09588BF4"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Visakhapatnam</w:t>
            </w:r>
          </w:p>
        </w:tc>
        <w:tc>
          <w:tcPr>
            <w:tcW w:w="1496" w:type="dxa"/>
          </w:tcPr>
          <w:p w14:paraId="24FDC045"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50%</w:t>
            </w:r>
          </w:p>
        </w:tc>
      </w:tr>
      <w:tr w:rsidR="003379AA" w14:paraId="78A4F04E" w14:textId="77777777">
        <w:tc>
          <w:tcPr>
            <w:tcW w:w="652" w:type="dxa"/>
          </w:tcPr>
          <w:p w14:paraId="050E2D96"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3</w:t>
            </w:r>
          </w:p>
        </w:tc>
        <w:tc>
          <w:tcPr>
            <w:tcW w:w="2682" w:type="dxa"/>
          </w:tcPr>
          <w:p w14:paraId="0BF7937C" w14:textId="77777777" w:rsidR="006564AA" w:rsidRDefault="00037F74">
            <w:pPr>
              <w:spacing w:line="360" w:lineRule="auto"/>
              <w:jc w:val="both"/>
              <w:rPr>
                <w:rFonts w:cs="Times New Roman"/>
                <w:color w:val="222222"/>
                <w:szCs w:val="24"/>
                <w:shd w:val="clear" w:color="auto" w:fill="FFFFFF"/>
              </w:rPr>
            </w:pPr>
            <w:proofErr w:type="spellStart"/>
            <w:r>
              <w:rPr>
                <w:rFonts w:cs="Times New Roman"/>
                <w:color w:val="222222"/>
                <w:szCs w:val="24"/>
                <w:shd w:val="clear" w:color="auto" w:fill="FFFFFF"/>
              </w:rPr>
              <w:t>Bhagyanagar</w:t>
            </w:r>
            <w:proofErr w:type="spellEnd"/>
            <w:r>
              <w:rPr>
                <w:rFonts w:cs="Times New Roman"/>
                <w:color w:val="222222"/>
                <w:szCs w:val="24"/>
                <w:shd w:val="clear" w:color="auto" w:fill="FFFFFF"/>
              </w:rPr>
              <w:t xml:space="preserve"> Gas ltd (with GAIL)</w:t>
            </w:r>
          </w:p>
        </w:tc>
        <w:tc>
          <w:tcPr>
            <w:tcW w:w="4186" w:type="dxa"/>
          </w:tcPr>
          <w:p w14:paraId="33E1B42B"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Hyderabad, Vijayawada, Kakinada in states of Andhra Pradesh &amp; Telangana</w:t>
            </w:r>
          </w:p>
        </w:tc>
        <w:tc>
          <w:tcPr>
            <w:tcW w:w="1496" w:type="dxa"/>
          </w:tcPr>
          <w:p w14:paraId="74C9B155"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49.97%</w:t>
            </w:r>
          </w:p>
        </w:tc>
      </w:tr>
      <w:tr w:rsidR="003379AA" w14:paraId="3156F647" w14:textId="77777777">
        <w:tc>
          <w:tcPr>
            <w:tcW w:w="652" w:type="dxa"/>
          </w:tcPr>
          <w:p w14:paraId="6AA3C5DD"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4</w:t>
            </w:r>
          </w:p>
        </w:tc>
        <w:tc>
          <w:tcPr>
            <w:tcW w:w="2682" w:type="dxa"/>
          </w:tcPr>
          <w:p w14:paraId="27EA8DEC" w14:textId="77777777" w:rsidR="006564AA" w:rsidRDefault="00037F74">
            <w:pPr>
              <w:spacing w:line="360" w:lineRule="auto"/>
              <w:jc w:val="both"/>
              <w:rPr>
                <w:rFonts w:cs="Times New Roman"/>
                <w:color w:val="222222"/>
                <w:szCs w:val="24"/>
                <w:shd w:val="clear" w:color="auto" w:fill="FFFFFF"/>
              </w:rPr>
            </w:pPr>
            <w:proofErr w:type="spellStart"/>
            <w:r>
              <w:rPr>
                <w:rFonts w:cs="Times New Roman"/>
                <w:color w:val="222222"/>
                <w:szCs w:val="24"/>
                <w:shd w:val="clear" w:color="auto" w:fill="FFFFFF"/>
              </w:rPr>
              <w:t>Petronet</w:t>
            </w:r>
            <w:proofErr w:type="spellEnd"/>
            <w:r>
              <w:rPr>
                <w:rFonts w:cs="Times New Roman"/>
                <w:color w:val="222222"/>
                <w:szCs w:val="24"/>
                <w:shd w:val="clear" w:color="auto" w:fill="FFFFFF"/>
              </w:rPr>
              <w:t xml:space="preserve"> MHB Ltd (with ONGC)</w:t>
            </w:r>
          </w:p>
        </w:tc>
        <w:tc>
          <w:tcPr>
            <w:tcW w:w="4186" w:type="dxa"/>
          </w:tcPr>
          <w:p w14:paraId="6C535A05"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Karnataka</w:t>
            </w:r>
          </w:p>
        </w:tc>
        <w:tc>
          <w:tcPr>
            <w:tcW w:w="1496" w:type="dxa"/>
          </w:tcPr>
          <w:p w14:paraId="54B15000"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32.72%</w:t>
            </w:r>
          </w:p>
        </w:tc>
      </w:tr>
      <w:tr w:rsidR="003379AA" w14:paraId="46442168" w14:textId="77777777">
        <w:tc>
          <w:tcPr>
            <w:tcW w:w="652" w:type="dxa"/>
          </w:tcPr>
          <w:p w14:paraId="7032D94E"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5</w:t>
            </w:r>
          </w:p>
        </w:tc>
        <w:tc>
          <w:tcPr>
            <w:tcW w:w="2682" w:type="dxa"/>
          </w:tcPr>
          <w:p w14:paraId="69C78B88"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Mangalore Refineries &amp; Petrochemicals Ltd (with ONGC)</w:t>
            </w:r>
          </w:p>
        </w:tc>
        <w:tc>
          <w:tcPr>
            <w:tcW w:w="4186" w:type="dxa"/>
          </w:tcPr>
          <w:p w14:paraId="2740C689"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Mangalore, Karnataka</w:t>
            </w:r>
          </w:p>
        </w:tc>
        <w:tc>
          <w:tcPr>
            <w:tcW w:w="1496" w:type="dxa"/>
          </w:tcPr>
          <w:p w14:paraId="7B0D3F59"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16.96%</w:t>
            </w:r>
          </w:p>
        </w:tc>
      </w:tr>
      <w:tr w:rsidR="003379AA" w14:paraId="5EE48455" w14:textId="77777777">
        <w:tc>
          <w:tcPr>
            <w:tcW w:w="652" w:type="dxa"/>
          </w:tcPr>
          <w:p w14:paraId="3EC27829"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6</w:t>
            </w:r>
          </w:p>
        </w:tc>
        <w:tc>
          <w:tcPr>
            <w:tcW w:w="2682" w:type="dxa"/>
          </w:tcPr>
          <w:p w14:paraId="45888D84"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Mumbai Aviation Fuel Farm Facility Pvt Ltd (with IOCL, BPCL, MIAL)</w:t>
            </w:r>
          </w:p>
        </w:tc>
        <w:tc>
          <w:tcPr>
            <w:tcW w:w="4186" w:type="dxa"/>
          </w:tcPr>
          <w:p w14:paraId="22A9EBE1"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Mumbai, Maharashtra</w:t>
            </w:r>
          </w:p>
        </w:tc>
        <w:tc>
          <w:tcPr>
            <w:tcW w:w="1496" w:type="dxa"/>
          </w:tcPr>
          <w:p w14:paraId="6BCAD1EE" w14:textId="77777777" w:rsidR="006564AA" w:rsidRDefault="00037F74">
            <w:pPr>
              <w:spacing w:line="360" w:lineRule="auto"/>
              <w:jc w:val="both"/>
              <w:rPr>
                <w:rFonts w:cs="Times New Roman"/>
                <w:color w:val="222222"/>
                <w:szCs w:val="24"/>
                <w:shd w:val="clear" w:color="auto" w:fill="FFFFFF"/>
              </w:rPr>
            </w:pPr>
            <w:r>
              <w:rPr>
                <w:rFonts w:cs="Times New Roman"/>
                <w:color w:val="222222"/>
                <w:szCs w:val="24"/>
                <w:shd w:val="clear" w:color="auto" w:fill="FFFFFF"/>
              </w:rPr>
              <w:t>25%</w:t>
            </w:r>
          </w:p>
        </w:tc>
      </w:tr>
    </w:tbl>
    <w:p w14:paraId="7FB587DE" w14:textId="77777777" w:rsidR="006564AA" w:rsidRDefault="006564AA">
      <w:pPr>
        <w:spacing w:after="120"/>
        <w:jc w:val="both"/>
        <w:rPr>
          <w:rFonts w:cs="Times New Roman"/>
          <w:szCs w:val="24"/>
        </w:rPr>
      </w:pPr>
    </w:p>
    <w:p w14:paraId="722A4B6D" w14:textId="77777777" w:rsidR="006564AA" w:rsidRDefault="00CE6604" w:rsidP="00CE6604">
      <w:pPr>
        <w:rPr>
          <w:rFonts w:cs="Times New Roman"/>
          <w:b/>
          <w:bCs/>
          <w:szCs w:val="24"/>
        </w:rPr>
      </w:pPr>
      <w:r>
        <w:rPr>
          <w:rFonts w:cs="Times New Roman"/>
          <w:b/>
          <w:bCs/>
          <w:szCs w:val="24"/>
        </w:rPr>
        <w:br w:type="page"/>
      </w:r>
    </w:p>
    <w:p w14:paraId="5B9C977F" w14:textId="77777777" w:rsidR="00622677" w:rsidRPr="00622677" w:rsidRDefault="00037F74" w:rsidP="00622677">
      <w:pPr>
        <w:spacing w:after="120"/>
        <w:jc w:val="both"/>
        <w:rPr>
          <w:rFonts w:cs="Times New Roman"/>
          <w:b/>
          <w:bCs/>
          <w:szCs w:val="24"/>
        </w:rPr>
      </w:pPr>
      <w:r>
        <w:rPr>
          <w:rFonts w:cs="Times New Roman"/>
          <w:b/>
          <w:bCs/>
          <w:szCs w:val="24"/>
        </w:rPr>
        <w:lastRenderedPageBreak/>
        <w:t>Shareholding Pattern</w:t>
      </w:r>
    </w:p>
    <w:p w14:paraId="216CC991" w14:textId="77777777" w:rsidR="006564AA" w:rsidRDefault="00622677">
      <w:pPr>
        <w:rPr>
          <w:rFonts w:cs="Times New Roman"/>
          <w:color w:val="222222"/>
          <w:shd w:val="clear" w:color="auto" w:fill="FFFFFF"/>
        </w:rPr>
      </w:pPr>
      <w:r>
        <w:rPr>
          <w:rFonts w:cs="Times New Roman"/>
          <w:color w:val="222222"/>
          <w:shd w:val="clear" w:color="auto" w:fill="FFFFFF"/>
        </w:rPr>
        <w:t>Figure 18: Shareholding Pattern in %</w:t>
      </w:r>
      <w:r w:rsidR="00037F74">
        <w:rPr>
          <w:rFonts w:cs="Times New Roman"/>
          <w:noProof/>
          <w:color w:val="222222"/>
          <w:shd w:val="clear" w:color="auto" w:fill="FFFFFF"/>
        </w:rPr>
        <w:drawing>
          <wp:inline distT="0" distB="0" distL="114300" distR="114300" wp14:anchorId="23E01E2B" wp14:editId="67F21655">
            <wp:extent cx="5273040" cy="3185160"/>
            <wp:effectExtent l="0" t="0" r="3810" b="15240"/>
            <wp:docPr id="1059"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57D7EC3" w14:textId="77777777" w:rsidR="006564AA" w:rsidRPr="00C72A10" w:rsidRDefault="00037F74" w:rsidP="00622677">
      <w:pPr>
        <w:spacing w:after="120" w:line="360" w:lineRule="auto"/>
        <w:jc w:val="both"/>
        <w:rPr>
          <w:rFonts w:cs="Times New Roman"/>
          <w:sz w:val="20"/>
        </w:rPr>
      </w:pPr>
      <w:r w:rsidRPr="00C72A10">
        <w:rPr>
          <w:rFonts w:cs="Times New Roman"/>
          <w:color w:val="00B0F0"/>
          <w:sz w:val="20"/>
          <w:szCs w:val="16"/>
        </w:rPr>
        <w:fldChar w:fldCharType="begin"/>
      </w:r>
      <w:r w:rsidRPr="00C72A10">
        <w:rPr>
          <w:rFonts w:cs="Times New Roman"/>
          <w:sz w:val="20"/>
          <w:szCs w:val="16"/>
        </w:rPr>
        <w:instrText xml:space="preserve"> CITATION HPC19 \l 16393 </w:instrText>
      </w:r>
      <w:r w:rsidRPr="00C72A10">
        <w:rPr>
          <w:rFonts w:cs="Times New Roman"/>
          <w:color w:val="00B0F0"/>
          <w:sz w:val="20"/>
          <w:szCs w:val="16"/>
        </w:rPr>
        <w:fldChar w:fldCharType="separate"/>
      </w:r>
      <w:r w:rsidRPr="00C72A10">
        <w:rPr>
          <w:rFonts w:cs="Times New Roman"/>
          <w:noProof/>
          <w:sz w:val="20"/>
          <w:szCs w:val="16"/>
        </w:rPr>
        <w:t>(HPCL Annual Report, 2018-19)</w:t>
      </w:r>
      <w:r w:rsidRPr="00C72A10">
        <w:rPr>
          <w:rFonts w:cs="Times New Roman"/>
          <w:color w:val="00B0F0"/>
          <w:sz w:val="20"/>
          <w:szCs w:val="16"/>
        </w:rPr>
        <w:fldChar w:fldCharType="end"/>
      </w:r>
    </w:p>
    <w:p w14:paraId="1A74FCCC" w14:textId="77777777" w:rsidR="006564AA" w:rsidRDefault="006564AA">
      <w:pPr>
        <w:spacing w:after="120"/>
        <w:jc w:val="both"/>
        <w:rPr>
          <w:rFonts w:cs="Times New Roman"/>
          <w:color w:val="00B0F0"/>
        </w:rPr>
      </w:pPr>
    </w:p>
    <w:p w14:paraId="1512DE8D" w14:textId="77777777" w:rsidR="006564AA" w:rsidRDefault="00037F74">
      <w:pPr>
        <w:rPr>
          <w:rFonts w:cs="Times New Roman"/>
          <w:b/>
          <w:bCs/>
          <w:color w:val="222222"/>
          <w:szCs w:val="24"/>
          <w:shd w:val="clear" w:color="auto" w:fill="FFFFFF"/>
        </w:rPr>
      </w:pPr>
      <w:r>
        <w:rPr>
          <w:rFonts w:cs="Times New Roman"/>
          <w:b/>
          <w:bCs/>
          <w:color w:val="222222"/>
          <w:szCs w:val="24"/>
          <w:shd w:val="clear" w:color="auto" w:fill="FFFFFF"/>
        </w:rPr>
        <w:t>Financial Snapshot</w:t>
      </w:r>
    </w:p>
    <w:p w14:paraId="0FF082CB" w14:textId="77777777" w:rsidR="006564AA" w:rsidRPr="00622677" w:rsidRDefault="00622677" w:rsidP="00622677">
      <w:pPr>
        <w:spacing w:after="120" w:line="360" w:lineRule="auto"/>
        <w:jc w:val="both"/>
        <w:rPr>
          <w:rFonts w:cs="Times New Roman"/>
          <w:szCs w:val="24"/>
        </w:rPr>
      </w:pPr>
      <w:r>
        <w:rPr>
          <w:rFonts w:cs="Times New Roman"/>
          <w:szCs w:val="24"/>
        </w:rPr>
        <w:t>Figure 19: Revenue of last three years</w:t>
      </w:r>
    </w:p>
    <w:p w14:paraId="18D668BC" w14:textId="77777777" w:rsidR="006564AA" w:rsidRDefault="00037F74">
      <w:pPr>
        <w:rPr>
          <w:rFonts w:cs="Times New Roman"/>
          <w:color w:val="00B0F0"/>
          <w:shd w:val="clear" w:color="auto" w:fill="FFFFFF"/>
        </w:rPr>
      </w:pPr>
      <w:r>
        <w:rPr>
          <w:rFonts w:cs="Times New Roman"/>
          <w:noProof/>
          <w:color w:val="00B0F0"/>
          <w:shd w:val="clear" w:color="auto" w:fill="FFFFFF"/>
        </w:rPr>
        <w:drawing>
          <wp:inline distT="0" distB="0" distL="114300" distR="114300" wp14:anchorId="4D4FBC5B" wp14:editId="06F9C41B">
            <wp:extent cx="5486400" cy="3200400"/>
            <wp:effectExtent l="0" t="0" r="0" b="0"/>
            <wp:docPr id="1061"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47CB69B" w14:textId="77777777" w:rsidR="006564AA" w:rsidRPr="00C72A10" w:rsidRDefault="00037F74" w:rsidP="00C72A10">
      <w:pPr>
        <w:spacing w:after="120" w:line="360" w:lineRule="auto"/>
        <w:jc w:val="both"/>
        <w:rPr>
          <w:rFonts w:cs="Times New Roman"/>
          <w:sz w:val="20"/>
        </w:rPr>
      </w:pPr>
      <w:r w:rsidRPr="00C72A10">
        <w:rPr>
          <w:rFonts w:cs="Times New Roman"/>
          <w:sz w:val="20"/>
          <w:szCs w:val="16"/>
        </w:rPr>
        <w:fldChar w:fldCharType="begin"/>
      </w:r>
      <w:r w:rsidRPr="00C72A10">
        <w:rPr>
          <w:rFonts w:cs="Times New Roman"/>
          <w:sz w:val="20"/>
          <w:szCs w:val="16"/>
        </w:rPr>
        <w:instrText xml:space="preserve"> CITATION HPC19 \l 16393 </w:instrText>
      </w:r>
      <w:r w:rsidRPr="00C72A10">
        <w:rPr>
          <w:rFonts w:cs="Times New Roman"/>
          <w:sz w:val="20"/>
          <w:szCs w:val="16"/>
        </w:rPr>
        <w:fldChar w:fldCharType="separate"/>
      </w:r>
      <w:r w:rsidRPr="00C72A10">
        <w:rPr>
          <w:rFonts w:cs="Times New Roman"/>
          <w:noProof/>
          <w:sz w:val="20"/>
          <w:szCs w:val="16"/>
        </w:rPr>
        <w:t xml:space="preserve"> (HPCL Annual Report, 2018-19) </w:t>
      </w:r>
      <w:r w:rsidRPr="00C72A10">
        <w:rPr>
          <w:rFonts w:cs="Times New Roman"/>
          <w:sz w:val="20"/>
          <w:szCs w:val="16"/>
        </w:rPr>
        <w:fldChar w:fldCharType="end"/>
      </w:r>
    </w:p>
    <w:p w14:paraId="6F764EFE" w14:textId="77777777" w:rsidR="00CE6604" w:rsidRDefault="00CE6604" w:rsidP="00CE6604"/>
    <w:p w14:paraId="28C15BB0" w14:textId="77777777" w:rsidR="00CE6604" w:rsidRDefault="00CE6604" w:rsidP="00CE6604"/>
    <w:p w14:paraId="1CE73AB1" w14:textId="77777777" w:rsidR="00CE6604" w:rsidRDefault="00CE6604" w:rsidP="00CE6604"/>
    <w:p w14:paraId="6DC36447" w14:textId="77777777" w:rsidR="006564AA" w:rsidRPr="003D7BE8" w:rsidRDefault="007D65AF" w:rsidP="003D7BE8">
      <w:pPr>
        <w:pStyle w:val="Heading1"/>
      </w:pPr>
      <w:bookmarkStart w:id="21" w:name="_Toc36752002"/>
      <w:r w:rsidRPr="003D7BE8">
        <w:lastRenderedPageBreak/>
        <w:t>8.</w:t>
      </w:r>
      <w:r w:rsidR="00037F74" w:rsidRPr="003D7BE8">
        <w:t>Ratio Analysis</w:t>
      </w:r>
      <w:bookmarkEnd w:id="21"/>
    </w:p>
    <w:p w14:paraId="7BEAD8AC" w14:textId="77777777" w:rsidR="00C72A10" w:rsidRPr="00C72A10" w:rsidRDefault="00C72A10" w:rsidP="00C72A10">
      <w:r>
        <w:t>Figure 20: Debt/Equity</w:t>
      </w:r>
    </w:p>
    <w:p w14:paraId="7B873970" w14:textId="77777777" w:rsidR="006564AA" w:rsidRDefault="00037F74">
      <w:pPr>
        <w:spacing w:line="360" w:lineRule="auto"/>
        <w:jc w:val="both"/>
        <w:rPr>
          <w:rFonts w:eastAsia="Calibri" w:cs="Times New Roman"/>
        </w:rPr>
      </w:pPr>
      <w:r>
        <w:rPr>
          <w:rFonts w:cs="Times New Roman"/>
          <w:noProof/>
        </w:rPr>
        <w:drawing>
          <wp:inline distT="0" distB="0" distL="114300" distR="114300" wp14:anchorId="36E4F981" wp14:editId="09449E76">
            <wp:extent cx="5257800" cy="3002280"/>
            <wp:effectExtent l="0" t="0" r="0" b="7620"/>
            <wp:docPr id="1063"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DB380BE" w14:textId="77777777" w:rsidR="006564AA" w:rsidRDefault="006564AA">
      <w:pPr>
        <w:spacing w:line="360" w:lineRule="auto"/>
      </w:pPr>
    </w:p>
    <w:p w14:paraId="3A5EA0A9" w14:textId="77777777" w:rsidR="006564AA" w:rsidRPr="00AD5FE8" w:rsidRDefault="00037F74" w:rsidP="00AD5FE8">
      <w:pPr>
        <w:pStyle w:val="ListParagraph"/>
        <w:numPr>
          <w:ilvl w:val="0"/>
          <w:numId w:val="42"/>
        </w:numPr>
        <w:spacing w:line="360" w:lineRule="auto"/>
        <w:jc w:val="both"/>
        <w:rPr>
          <w:rFonts w:cs="Times New Roman"/>
        </w:rPr>
      </w:pPr>
      <w:r w:rsidRPr="00AD5FE8">
        <w:rPr>
          <w:rFonts w:cs="Times New Roman"/>
          <w:lang w:val="en-US"/>
        </w:rPr>
        <w:t>The Debt Equity Ratio shows the proportion of debt and equity, a company is using to finance its assets, and it signals the extent to which shareholders' equity can fulfil obligations to creditors.</w:t>
      </w:r>
    </w:p>
    <w:p w14:paraId="5B46509B" w14:textId="77777777" w:rsidR="004B707E" w:rsidRDefault="00037F74" w:rsidP="004B707E">
      <w:pPr>
        <w:pStyle w:val="ListParagraph"/>
        <w:numPr>
          <w:ilvl w:val="0"/>
          <w:numId w:val="29"/>
        </w:numPr>
        <w:spacing w:line="360" w:lineRule="auto"/>
        <w:jc w:val="both"/>
        <w:rPr>
          <w:rFonts w:cs="Times New Roman"/>
          <w:szCs w:val="24"/>
        </w:rPr>
      </w:pPr>
      <w:r>
        <w:rPr>
          <w:rFonts w:cs="Times New Roman"/>
          <w:szCs w:val="24"/>
        </w:rPr>
        <w:t xml:space="preserve">The Debt Equity ratio in </w:t>
      </w:r>
      <w:proofErr w:type="spellStart"/>
      <w:r>
        <w:rPr>
          <w:rFonts w:cs="Times New Roman"/>
          <w:szCs w:val="24"/>
        </w:rPr>
        <w:t>Nayara</w:t>
      </w:r>
      <w:proofErr w:type="spellEnd"/>
      <w:r>
        <w:rPr>
          <w:rFonts w:cs="Times New Roman"/>
          <w:szCs w:val="24"/>
        </w:rPr>
        <w:t xml:space="preserve"> Energy and IOCL is mainly increased in the financial year 2019 because the company issued non-convertible debentures which provides them with an opportunity to align their liability proﬁle, resulting in a robust, efﬁcient and agile capital structure while in ONGC there is no debt as the company is unlevered and highly dependent on equity while other companies maintaining debt-equity in the ratio of </w:t>
      </w:r>
      <w:r w:rsidR="00441282">
        <w:rPr>
          <w:rFonts w:cs="Times New Roman"/>
          <w:szCs w:val="24"/>
        </w:rPr>
        <w:t>approx.</w:t>
      </w:r>
      <w:r>
        <w:rPr>
          <w:rFonts w:cs="Times New Roman"/>
          <w:szCs w:val="24"/>
        </w:rPr>
        <w:t xml:space="preserve"> 1:1.</w:t>
      </w:r>
    </w:p>
    <w:p w14:paraId="338F22A6" w14:textId="77777777" w:rsidR="004B707E" w:rsidRPr="004B707E" w:rsidRDefault="004B707E" w:rsidP="004B707E">
      <w:pPr>
        <w:rPr>
          <w:rFonts w:cs="Times New Roman"/>
          <w:szCs w:val="24"/>
        </w:rPr>
      </w:pPr>
      <w:r>
        <w:rPr>
          <w:rFonts w:cs="Times New Roman"/>
          <w:szCs w:val="24"/>
        </w:rPr>
        <w:br w:type="page"/>
      </w:r>
    </w:p>
    <w:p w14:paraId="15311A11" w14:textId="77777777" w:rsidR="00C72A10" w:rsidRPr="004B707E" w:rsidRDefault="00C72A10" w:rsidP="004B707E">
      <w:pPr>
        <w:pStyle w:val="ListParagraph"/>
        <w:numPr>
          <w:ilvl w:val="0"/>
          <w:numId w:val="29"/>
        </w:numPr>
        <w:spacing w:line="360" w:lineRule="auto"/>
        <w:jc w:val="both"/>
        <w:rPr>
          <w:rFonts w:cs="Times New Roman"/>
          <w:szCs w:val="24"/>
        </w:rPr>
      </w:pPr>
      <w:r w:rsidRPr="004B707E">
        <w:rPr>
          <w:rFonts w:cs="Times New Roman"/>
        </w:rPr>
        <w:lastRenderedPageBreak/>
        <w:t>Figure 21: Cash Accruals Ratio</w:t>
      </w:r>
    </w:p>
    <w:p w14:paraId="17C1B6E6" w14:textId="77777777" w:rsidR="006564AA" w:rsidRDefault="00037F74">
      <w:pPr>
        <w:rPr>
          <w:rFonts w:cs="Times New Roman"/>
        </w:rPr>
      </w:pPr>
      <w:r>
        <w:rPr>
          <w:rFonts w:cs="Times New Roman"/>
          <w:noProof/>
        </w:rPr>
        <w:drawing>
          <wp:inline distT="0" distB="0" distL="114300" distR="114300" wp14:anchorId="287FCB1E" wp14:editId="49A004DB">
            <wp:extent cx="5234940" cy="2636520"/>
            <wp:effectExtent l="0" t="0" r="3810" b="11430"/>
            <wp:docPr id="1065"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D925C49" w14:textId="77777777" w:rsidR="006564AA" w:rsidRDefault="00037F74">
      <w:pPr>
        <w:pStyle w:val="ListParagraph"/>
        <w:numPr>
          <w:ilvl w:val="0"/>
          <w:numId w:val="31"/>
        </w:numPr>
        <w:spacing w:line="360" w:lineRule="auto"/>
        <w:jc w:val="both"/>
        <w:rPr>
          <w:rFonts w:cs="Times New Roman"/>
        </w:rPr>
      </w:pPr>
      <w:r>
        <w:rPr>
          <w:rFonts w:cs="Times New Roman"/>
        </w:rPr>
        <w:t>Cash Accrual Ratio is decreasing in HPCL year by year while it is falling in Oil India.</w:t>
      </w:r>
    </w:p>
    <w:p w14:paraId="72EB4857" w14:textId="77777777" w:rsidR="00C72A10" w:rsidRPr="00C72A10" w:rsidRDefault="00C72A10" w:rsidP="00C72A10">
      <w:pPr>
        <w:rPr>
          <w:lang w:val="en-US"/>
        </w:rPr>
      </w:pPr>
      <w:r w:rsidRPr="00C72A10">
        <w:rPr>
          <w:rFonts w:cs="Times New Roman"/>
        </w:rPr>
        <w:t>Figure 2</w:t>
      </w:r>
      <w:r>
        <w:rPr>
          <w:rFonts w:cs="Times New Roman"/>
        </w:rPr>
        <w:t>2</w:t>
      </w:r>
      <w:r w:rsidRPr="00C72A10">
        <w:rPr>
          <w:rFonts w:cs="Times New Roman"/>
        </w:rPr>
        <w:t xml:space="preserve">: </w:t>
      </w:r>
      <w:r w:rsidRPr="00C72A10">
        <w:rPr>
          <w:lang w:val="en-US"/>
        </w:rPr>
        <w:t>Interest Coverage Ratio</w:t>
      </w:r>
    </w:p>
    <w:p w14:paraId="47431A21" w14:textId="77777777" w:rsidR="006564AA" w:rsidRDefault="00037F74">
      <w:pPr>
        <w:rPr>
          <w:rFonts w:cs="Times New Roman"/>
        </w:rPr>
      </w:pPr>
      <w:r>
        <w:rPr>
          <w:rFonts w:cs="Times New Roman"/>
          <w:noProof/>
        </w:rPr>
        <w:drawing>
          <wp:inline distT="0" distB="0" distL="114300" distR="114300" wp14:anchorId="1AE71FED" wp14:editId="2FC07CD3">
            <wp:extent cx="5219700" cy="2956560"/>
            <wp:effectExtent l="0" t="0" r="0" b="15240"/>
            <wp:docPr id="1067"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44E4CCF" w14:textId="77777777" w:rsidR="006564AA" w:rsidRDefault="006564AA">
      <w:pPr>
        <w:rPr>
          <w:rFonts w:cs="Times New Roman"/>
        </w:rPr>
      </w:pPr>
    </w:p>
    <w:p w14:paraId="7AE5A5D2" w14:textId="77777777" w:rsidR="006564AA" w:rsidRDefault="006564AA">
      <w:pPr>
        <w:rPr>
          <w:rFonts w:cs="Times New Roman"/>
        </w:rPr>
      </w:pPr>
    </w:p>
    <w:p w14:paraId="5717569C" w14:textId="77777777" w:rsidR="006564AA" w:rsidRDefault="00037F74">
      <w:pPr>
        <w:rPr>
          <w:rFonts w:cs="Times New Roman"/>
        </w:rPr>
      </w:pPr>
      <w:r>
        <w:rPr>
          <w:rFonts w:cs="Times New Roman"/>
        </w:rPr>
        <w:t>Interest Coverage Ratio (ICR)</w:t>
      </w:r>
    </w:p>
    <w:p w14:paraId="3562791C" w14:textId="77777777" w:rsidR="006564AA" w:rsidRDefault="00037F74">
      <w:pPr>
        <w:pStyle w:val="ListParagraph"/>
        <w:numPr>
          <w:ilvl w:val="0"/>
          <w:numId w:val="31"/>
        </w:numPr>
        <w:spacing w:line="360" w:lineRule="auto"/>
        <w:jc w:val="both"/>
        <w:rPr>
          <w:rFonts w:cs="Times New Roman"/>
        </w:rPr>
      </w:pPr>
      <w:r>
        <w:rPr>
          <w:rFonts w:cs="Times New Roman"/>
        </w:rPr>
        <w:t>Interest Coverage Ratio used to determine how easily a company can pay its interest expenses on its outstanding debt. This ratio determines whether a company can pay off its debts or not.</w:t>
      </w:r>
    </w:p>
    <w:p w14:paraId="1DCD0A3B" w14:textId="77777777" w:rsidR="006564AA" w:rsidRDefault="00037F74">
      <w:pPr>
        <w:pStyle w:val="ListParagraph"/>
        <w:numPr>
          <w:ilvl w:val="0"/>
          <w:numId w:val="31"/>
        </w:numPr>
        <w:spacing w:line="360" w:lineRule="auto"/>
        <w:jc w:val="both"/>
        <w:rPr>
          <w:rFonts w:cs="Times New Roman"/>
        </w:rPr>
      </w:pPr>
      <w:r>
        <w:rPr>
          <w:rFonts w:cs="Times New Roman"/>
        </w:rPr>
        <w:t>ICR is decreasing in every company except in Oil India Ltd, where it increases because the company is majorly dependent on equity share capital.</w:t>
      </w:r>
    </w:p>
    <w:p w14:paraId="5E0E31DA" w14:textId="77777777" w:rsidR="00C72A10" w:rsidRPr="00DD1D73" w:rsidRDefault="00DD1D73">
      <w:pPr>
        <w:rPr>
          <w:rFonts w:cs="Times New Roman"/>
        </w:rPr>
      </w:pPr>
      <w:r>
        <w:rPr>
          <w:rFonts w:cs="Times New Roman"/>
        </w:rPr>
        <w:br w:type="page"/>
      </w:r>
      <w:r w:rsidR="00C72A10">
        <w:rPr>
          <w:rFonts w:cs="Times New Roman"/>
        </w:rPr>
        <w:lastRenderedPageBreak/>
        <w:t>Figure 23:</w:t>
      </w:r>
      <w:r w:rsidR="00C72A10" w:rsidRPr="00C72A10">
        <w:rPr>
          <w:rFonts w:eastAsiaTheme="minorEastAsia" w:cs="Times New Roman"/>
          <w:color w:val="595959"/>
          <w:kern w:val="24"/>
          <w:sz w:val="28"/>
          <w:szCs w:val="28"/>
          <w:lang w:val="en-US" w:eastAsia="en-IN" w:bidi="ar-SA"/>
          <w14:textFill>
            <w14:solidFill>
              <w14:srgbClr w14:val="595959">
                <w14:lumMod w14:val="65000"/>
                <w14:lumOff w14:val="35000"/>
              </w14:srgbClr>
            </w14:solidFill>
          </w14:textFill>
        </w:rPr>
        <w:t xml:space="preserve"> </w:t>
      </w:r>
      <w:r w:rsidR="00C72A10" w:rsidRPr="00C72A10">
        <w:rPr>
          <w:lang w:val="en-US"/>
        </w:rPr>
        <w:t>Return on Assets</w:t>
      </w:r>
    </w:p>
    <w:p w14:paraId="619B6FC7" w14:textId="77777777" w:rsidR="006564AA" w:rsidRDefault="00037F74">
      <w:pPr>
        <w:rPr>
          <w:rFonts w:cs="Times New Roman"/>
        </w:rPr>
      </w:pPr>
      <w:r>
        <w:rPr>
          <w:rFonts w:cs="Times New Roman"/>
          <w:noProof/>
        </w:rPr>
        <w:drawing>
          <wp:inline distT="0" distB="0" distL="114300" distR="114300" wp14:anchorId="06816733" wp14:editId="2D60BA03">
            <wp:extent cx="5250180" cy="3131820"/>
            <wp:effectExtent l="0" t="0" r="7620" b="11430"/>
            <wp:docPr id="1069"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31C219A" w14:textId="77777777" w:rsidR="006564AA" w:rsidRDefault="00037F74">
      <w:pPr>
        <w:pStyle w:val="ListParagraph"/>
        <w:numPr>
          <w:ilvl w:val="0"/>
          <w:numId w:val="32"/>
        </w:numPr>
        <w:spacing w:line="360" w:lineRule="auto"/>
        <w:jc w:val="both"/>
        <w:rPr>
          <w:rFonts w:cs="Times New Roman"/>
        </w:rPr>
      </w:pPr>
      <w:r>
        <w:rPr>
          <w:rFonts w:cs="Times New Roman"/>
        </w:rPr>
        <w:t>ROA is an indicator of how profitable a company is relative to its total assets means how effectively the company is using its assets to generate earnings.</w:t>
      </w:r>
    </w:p>
    <w:p w14:paraId="0941D18A" w14:textId="77777777" w:rsidR="006564AA" w:rsidRDefault="00037F74">
      <w:pPr>
        <w:pStyle w:val="ListParagraph"/>
        <w:numPr>
          <w:ilvl w:val="0"/>
          <w:numId w:val="32"/>
        </w:numPr>
        <w:spacing w:line="360" w:lineRule="auto"/>
        <w:jc w:val="both"/>
        <w:rPr>
          <w:rFonts w:cs="Times New Roman"/>
        </w:rPr>
      </w:pPr>
      <w:r>
        <w:rPr>
          <w:rFonts w:cs="Times New Roman"/>
        </w:rPr>
        <w:t xml:space="preserve">ROA is affected majorly in IOCL as in the financial year 2017 and 2018, ROA was at 14%, but in the fiscal year 2019, it decreases to 9% though the company increased their total assets in the fiscal year 2019 the net profits are reduced, means the company is not utilising their assets in an efficient and effective manner </w:t>
      </w:r>
    </w:p>
    <w:p w14:paraId="3D103E46" w14:textId="77777777" w:rsidR="006564AA" w:rsidRDefault="00037F74">
      <w:pPr>
        <w:pStyle w:val="ListParagraph"/>
        <w:numPr>
          <w:ilvl w:val="0"/>
          <w:numId w:val="32"/>
        </w:numPr>
        <w:spacing w:line="360" w:lineRule="auto"/>
        <w:jc w:val="both"/>
        <w:rPr>
          <w:rFonts w:cs="Times New Roman"/>
        </w:rPr>
      </w:pPr>
      <w:r>
        <w:rPr>
          <w:rFonts w:cs="Times New Roman"/>
        </w:rPr>
        <w:t xml:space="preserve">In case of </w:t>
      </w:r>
      <w:proofErr w:type="spellStart"/>
      <w:r>
        <w:rPr>
          <w:rFonts w:cs="Times New Roman"/>
        </w:rPr>
        <w:t>Nayara</w:t>
      </w:r>
      <w:proofErr w:type="spellEnd"/>
      <w:r>
        <w:rPr>
          <w:rFonts w:cs="Times New Roman"/>
        </w:rPr>
        <w:t xml:space="preserve"> Energy ROA decreased as the Profit after tax of the company decreased on account of lower margin and higher forex ﬂuctuation loss, and also the company had an incidence of injury of coal from the </w:t>
      </w:r>
      <w:proofErr w:type="gramStart"/>
      <w:r>
        <w:rPr>
          <w:rFonts w:cs="Times New Roman"/>
        </w:rPr>
        <w:t>third party</w:t>
      </w:r>
      <w:proofErr w:type="gramEnd"/>
      <w:r>
        <w:rPr>
          <w:rFonts w:cs="Times New Roman"/>
        </w:rPr>
        <w:t xml:space="preserve"> managed stockyard which decreases its assets. In contrast, in the remaining companies, it continues at an optimum level. </w:t>
      </w:r>
    </w:p>
    <w:p w14:paraId="3331E48A" w14:textId="77777777" w:rsidR="00441282" w:rsidRPr="00DD1D73" w:rsidRDefault="004B707E">
      <w:pPr>
        <w:rPr>
          <w:rFonts w:cs="Times New Roman"/>
          <w:szCs w:val="18"/>
        </w:rPr>
      </w:pPr>
      <w:r>
        <w:rPr>
          <w:rFonts w:cs="Times New Roman"/>
        </w:rPr>
        <w:br w:type="page"/>
      </w:r>
    </w:p>
    <w:p w14:paraId="1C194532" w14:textId="77777777" w:rsidR="006564AA" w:rsidRDefault="00C72A10">
      <w:pPr>
        <w:rPr>
          <w:rFonts w:cs="Times New Roman"/>
        </w:rPr>
      </w:pPr>
      <w:r>
        <w:rPr>
          <w:rFonts w:cs="Times New Roman"/>
        </w:rPr>
        <w:lastRenderedPageBreak/>
        <w:t xml:space="preserve">Figure 24: Return </w:t>
      </w:r>
      <w:r w:rsidR="00DD1D73">
        <w:rPr>
          <w:rFonts w:cs="Times New Roman"/>
        </w:rPr>
        <w:t>o</w:t>
      </w:r>
      <w:r>
        <w:rPr>
          <w:rFonts w:cs="Times New Roman"/>
        </w:rPr>
        <w:t xml:space="preserve">n Equity </w:t>
      </w:r>
      <w:r w:rsidR="00037F74" w:rsidRPr="0023702F">
        <w:rPr>
          <w:rFonts w:cs="Times New Roman"/>
          <w:noProof/>
          <w:sz w:val="20"/>
          <w:szCs w:val="16"/>
        </w:rPr>
        <w:drawing>
          <wp:inline distT="0" distB="0" distL="114300" distR="114300" wp14:anchorId="72CCDE8D" wp14:editId="3882C2C8">
            <wp:extent cx="5204460" cy="2918460"/>
            <wp:effectExtent l="0" t="0" r="15240" b="15240"/>
            <wp:docPr id="1071"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0805872" w14:textId="77777777" w:rsidR="006564AA" w:rsidRDefault="006564AA">
      <w:pPr>
        <w:rPr>
          <w:rFonts w:cs="Times New Roman"/>
        </w:rPr>
      </w:pPr>
    </w:p>
    <w:p w14:paraId="26CDD99E" w14:textId="77777777" w:rsidR="006564AA" w:rsidRDefault="00037F74">
      <w:pPr>
        <w:spacing w:line="360" w:lineRule="auto"/>
        <w:jc w:val="both"/>
        <w:rPr>
          <w:rFonts w:cs="Times New Roman"/>
        </w:rPr>
      </w:pPr>
      <w:r>
        <w:rPr>
          <w:rFonts w:cs="Times New Roman"/>
        </w:rPr>
        <w:t xml:space="preserve">Return </w:t>
      </w:r>
      <w:r w:rsidR="00517681">
        <w:rPr>
          <w:rFonts w:cs="Times New Roman"/>
        </w:rPr>
        <w:t>o</w:t>
      </w:r>
      <w:r>
        <w:rPr>
          <w:rFonts w:cs="Times New Roman"/>
        </w:rPr>
        <w:t>n Equity (ROE)</w:t>
      </w:r>
    </w:p>
    <w:p w14:paraId="422251D3" w14:textId="77777777" w:rsidR="006564AA" w:rsidRDefault="00037F74">
      <w:pPr>
        <w:pStyle w:val="ListParagraph"/>
        <w:numPr>
          <w:ilvl w:val="0"/>
          <w:numId w:val="33"/>
        </w:numPr>
        <w:spacing w:line="360" w:lineRule="auto"/>
        <w:jc w:val="both"/>
        <w:rPr>
          <w:rFonts w:cs="Times New Roman"/>
        </w:rPr>
      </w:pPr>
      <w:r>
        <w:rPr>
          <w:rFonts w:cs="Times New Roman"/>
        </w:rPr>
        <w:t>Performance on Equity measures how effectively the company uses its investments to generate earnings.</w:t>
      </w:r>
    </w:p>
    <w:p w14:paraId="39A9D3CF" w14:textId="77777777" w:rsidR="006564AA" w:rsidRDefault="00037F74">
      <w:pPr>
        <w:pStyle w:val="ListParagraph"/>
        <w:numPr>
          <w:ilvl w:val="0"/>
          <w:numId w:val="33"/>
        </w:numPr>
        <w:spacing w:line="360" w:lineRule="auto"/>
        <w:jc w:val="both"/>
        <w:rPr>
          <w:rFonts w:cs="Times New Roman"/>
        </w:rPr>
      </w:pPr>
      <w:r>
        <w:rPr>
          <w:rFonts w:cs="Times New Roman"/>
        </w:rPr>
        <w:t>The significant change in Return on equity is seen in Oil India Ltd. as in the financial year 2017; the ROE was 5.32%. Still, in the fiscal year 2019, ROE was 9.33% which is approximately increased by 75% because the company is managing its equity very well and can earn higher profits as compared to previous years.</w:t>
      </w:r>
    </w:p>
    <w:p w14:paraId="432F82F7" w14:textId="77777777" w:rsidR="006564AA" w:rsidRDefault="00350D12">
      <w:pPr>
        <w:pStyle w:val="Heading1"/>
      </w:pPr>
      <w:bookmarkStart w:id="22" w:name="_Toc36752003"/>
      <w:r>
        <w:t>9</w:t>
      </w:r>
      <w:r w:rsidR="00037F74">
        <w:t>. Problem Statement</w:t>
      </w:r>
      <w:bookmarkEnd w:id="22"/>
    </w:p>
    <w:p w14:paraId="10C0249C" w14:textId="77777777" w:rsidR="006564AA" w:rsidRDefault="006564AA">
      <w:pPr>
        <w:spacing w:after="120"/>
        <w:jc w:val="both"/>
        <w:rPr>
          <w:rFonts w:cs="Times New Roman"/>
          <w:szCs w:val="24"/>
        </w:rPr>
      </w:pPr>
    </w:p>
    <w:p w14:paraId="36493736" w14:textId="77777777" w:rsidR="006564AA" w:rsidRDefault="00037F74">
      <w:pPr>
        <w:spacing w:after="100" w:afterAutospacing="1" w:line="360" w:lineRule="auto"/>
        <w:jc w:val="both"/>
        <w:rPr>
          <w:rStyle w:val="Heading7Char"/>
          <w:rFonts w:ascii="Times New Roman" w:eastAsia="Times New Roman" w:hAnsi="Times New Roman" w:cs="Times New Roman"/>
          <w:i w:val="0"/>
          <w:iCs w:val="0"/>
          <w:sz w:val="24"/>
          <w:szCs w:val="24"/>
          <w:lang w:eastAsia="en-IN"/>
        </w:rPr>
      </w:pPr>
      <w:r>
        <w:rPr>
          <w:rFonts w:eastAsia="Times New Roman" w:cs="Times New Roman"/>
          <w:szCs w:val="24"/>
          <w:lang w:eastAsia="en-IN"/>
        </w:rPr>
        <w:t>Reasons for the volatility in the price of oil and its impact on the Indian Economy.</w:t>
      </w:r>
    </w:p>
    <w:p w14:paraId="31D7D17C" w14:textId="77777777" w:rsidR="006564AA" w:rsidRDefault="00350D12">
      <w:pPr>
        <w:pStyle w:val="Heading1"/>
      </w:pPr>
      <w:bookmarkStart w:id="23" w:name="_Toc36752004"/>
      <w:r>
        <w:t>10</w:t>
      </w:r>
      <w:r w:rsidR="00037F74">
        <w:t>. Objectives</w:t>
      </w:r>
      <w:bookmarkEnd w:id="23"/>
    </w:p>
    <w:p w14:paraId="3F8C44BC" w14:textId="77777777" w:rsidR="006564AA" w:rsidRDefault="006564AA">
      <w:pPr>
        <w:spacing w:line="360" w:lineRule="auto"/>
        <w:jc w:val="both"/>
        <w:rPr>
          <w:rFonts w:cs="Times New Roman"/>
        </w:rPr>
      </w:pPr>
    </w:p>
    <w:p w14:paraId="0335AD1A" w14:textId="77777777" w:rsidR="006564AA" w:rsidRDefault="00037F74">
      <w:pPr>
        <w:pStyle w:val="ListParagraph"/>
        <w:numPr>
          <w:ilvl w:val="0"/>
          <w:numId w:val="12"/>
        </w:numPr>
        <w:spacing w:line="360" w:lineRule="auto"/>
        <w:ind w:left="426" w:hanging="426"/>
        <w:jc w:val="both"/>
        <w:rPr>
          <w:rFonts w:cs="Times New Roman"/>
          <w:szCs w:val="24"/>
        </w:rPr>
      </w:pPr>
      <w:r>
        <w:rPr>
          <w:rFonts w:cs="Times New Roman"/>
          <w:szCs w:val="24"/>
        </w:rPr>
        <w:t>To study the major importing and exporting countries of oil.</w:t>
      </w:r>
    </w:p>
    <w:p w14:paraId="3D3E78E4" w14:textId="77777777" w:rsidR="006564AA" w:rsidRDefault="00037F74">
      <w:pPr>
        <w:pStyle w:val="ListParagraph"/>
        <w:numPr>
          <w:ilvl w:val="0"/>
          <w:numId w:val="12"/>
        </w:numPr>
        <w:spacing w:line="360" w:lineRule="auto"/>
        <w:ind w:left="426" w:hanging="426"/>
        <w:jc w:val="both"/>
        <w:rPr>
          <w:rFonts w:cs="Times New Roman"/>
          <w:szCs w:val="24"/>
        </w:rPr>
      </w:pPr>
      <w:r>
        <w:rPr>
          <w:rFonts w:cs="Times New Roman"/>
          <w:szCs w:val="24"/>
        </w:rPr>
        <w:t>To study the impact of the oil and gas industry on the Indian Economy.</w:t>
      </w:r>
    </w:p>
    <w:p w14:paraId="20B09062" w14:textId="77777777" w:rsidR="006564AA" w:rsidRDefault="00037F74">
      <w:pPr>
        <w:pStyle w:val="ListParagraph"/>
        <w:numPr>
          <w:ilvl w:val="0"/>
          <w:numId w:val="12"/>
        </w:numPr>
        <w:spacing w:line="360" w:lineRule="auto"/>
        <w:ind w:left="426" w:hanging="426"/>
        <w:jc w:val="both"/>
        <w:rPr>
          <w:rFonts w:cs="Times New Roman"/>
          <w:szCs w:val="24"/>
        </w:rPr>
      </w:pPr>
      <w:r>
        <w:rPr>
          <w:rFonts w:cs="Times New Roman"/>
          <w:szCs w:val="24"/>
        </w:rPr>
        <w:t>To monitor and analyse developments in the domestic oil</w:t>
      </w:r>
    </w:p>
    <w:p w14:paraId="309FCA02" w14:textId="77777777" w:rsidR="006564AA" w:rsidRDefault="00037F74">
      <w:pPr>
        <w:pStyle w:val="ListParagraph"/>
        <w:spacing w:line="360" w:lineRule="auto"/>
        <w:ind w:left="426"/>
        <w:jc w:val="both"/>
        <w:rPr>
          <w:rFonts w:cs="Times New Roman"/>
          <w:szCs w:val="24"/>
        </w:rPr>
      </w:pPr>
      <w:r>
        <w:rPr>
          <w:rFonts w:cs="Times New Roman"/>
          <w:szCs w:val="24"/>
        </w:rPr>
        <w:t>and gas sector.</w:t>
      </w:r>
    </w:p>
    <w:p w14:paraId="7D15705C" w14:textId="77777777" w:rsidR="006564AA" w:rsidRDefault="00037F74">
      <w:pPr>
        <w:pStyle w:val="ListParagraph"/>
        <w:numPr>
          <w:ilvl w:val="0"/>
          <w:numId w:val="12"/>
        </w:numPr>
        <w:spacing w:line="360" w:lineRule="auto"/>
        <w:ind w:left="426" w:hanging="426"/>
        <w:jc w:val="both"/>
        <w:rPr>
          <w:rFonts w:cs="Times New Roman"/>
          <w:szCs w:val="24"/>
        </w:rPr>
      </w:pPr>
      <w:r>
        <w:rPr>
          <w:rFonts w:cs="Times New Roman"/>
          <w:szCs w:val="24"/>
        </w:rPr>
        <w:t>To study the financials of various oil companies</w:t>
      </w:r>
    </w:p>
    <w:p w14:paraId="3A847E1F" w14:textId="77777777" w:rsidR="006564AA" w:rsidRDefault="00037F74">
      <w:pPr>
        <w:pStyle w:val="ListParagraph"/>
        <w:numPr>
          <w:ilvl w:val="0"/>
          <w:numId w:val="12"/>
        </w:numPr>
        <w:spacing w:line="360" w:lineRule="auto"/>
        <w:ind w:left="426" w:hanging="426"/>
        <w:jc w:val="both"/>
        <w:rPr>
          <w:rFonts w:cs="Times New Roman"/>
          <w:szCs w:val="24"/>
        </w:rPr>
      </w:pPr>
      <w:r>
        <w:rPr>
          <w:rFonts w:cs="Times New Roman"/>
          <w:szCs w:val="24"/>
        </w:rPr>
        <w:t>To analyse the performance of financials on shareholders return.</w:t>
      </w:r>
    </w:p>
    <w:p w14:paraId="07E7391E" w14:textId="77777777" w:rsidR="006564AA" w:rsidRDefault="00037F74">
      <w:pPr>
        <w:pStyle w:val="Heading1"/>
      </w:pPr>
      <w:bookmarkStart w:id="24" w:name="_Toc36752005"/>
      <w:r>
        <w:lastRenderedPageBreak/>
        <w:t>1</w:t>
      </w:r>
      <w:r w:rsidR="003D7BE8">
        <w:t>1</w:t>
      </w:r>
      <w:r>
        <w:t>. Methodology</w:t>
      </w:r>
      <w:bookmarkEnd w:id="24"/>
    </w:p>
    <w:p w14:paraId="4C86DCCF" w14:textId="77777777" w:rsidR="006564AA" w:rsidRDefault="006564AA">
      <w:pPr>
        <w:rPr>
          <w:rFonts w:cs="Times New Roman"/>
        </w:rPr>
      </w:pPr>
    </w:p>
    <w:p w14:paraId="6CD1D1C8" w14:textId="77777777" w:rsidR="00620477" w:rsidRPr="00620477" w:rsidRDefault="00037F74" w:rsidP="00620477">
      <w:pPr>
        <w:spacing w:after="280" w:line="360" w:lineRule="auto"/>
        <w:jc w:val="both"/>
        <w:rPr>
          <w:rFonts w:eastAsia="Times New Roman" w:cs="Times New Roman"/>
          <w:szCs w:val="24"/>
          <w:lang w:val="en-US" w:bidi="ar-SA"/>
        </w:rPr>
      </w:pPr>
      <w:r w:rsidRPr="00620477">
        <w:rPr>
          <w:rFonts w:eastAsia="Times New Roman" w:cs="Times New Roman"/>
          <w:color w:val="000000"/>
          <w:szCs w:val="24"/>
          <w:lang w:val="en-US" w:bidi="ar-SA"/>
        </w:rPr>
        <w:t>This paper determines, the research type, research design, research method, types of variables and the process of data collection to conduct the study justifying problem statement, i.e. "Reasons for the volatility in the prices of oil and its impact on the Indian Economy."</w:t>
      </w:r>
    </w:p>
    <w:p w14:paraId="4869C4AA" w14:textId="77777777" w:rsidR="00620477" w:rsidRPr="003D7BE8" w:rsidRDefault="003D7BE8" w:rsidP="003D7BE8">
      <w:pPr>
        <w:pStyle w:val="Heading2"/>
        <w:rPr>
          <w:lang w:val="en-US" w:bidi="ar-SA"/>
        </w:rPr>
      </w:pPr>
      <w:bookmarkStart w:id="25" w:name="_Toc36752006"/>
      <w:r>
        <w:rPr>
          <w:lang w:val="en-US" w:bidi="ar-SA"/>
        </w:rPr>
        <w:t xml:space="preserve">11.1 </w:t>
      </w:r>
      <w:r w:rsidR="00037F74" w:rsidRPr="003D7BE8">
        <w:rPr>
          <w:lang w:val="en-US" w:bidi="ar-SA"/>
        </w:rPr>
        <w:t>Research Method</w:t>
      </w:r>
      <w:bookmarkEnd w:id="25"/>
    </w:p>
    <w:p w14:paraId="1CAA93E3" w14:textId="77777777" w:rsidR="00620477" w:rsidRDefault="00037F74" w:rsidP="00620477">
      <w:pPr>
        <w:spacing w:line="360" w:lineRule="auto"/>
        <w:jc w:val="both"/>
        <w:rPr>
          <w:rFonts w:eastAsia="Times New Roman" w:cs="Times New Roman"/>
          <w:color w:val="000000"/>
          <w:szCs w:val="24"/>
          <w:lang w:val="en-US" w:bidi="ar-SA"/>
        </w:rPr>
      </w:pPr>
      <w:r w:rsidRPr="00620477">
        <w:rPr>
          <w:rFonts w:eastAsia="Times New Roman" w:cs="Times New Roman"/>
          <w:color w:val="000000"/>
          <w:szCs w:val="24"/>
          <w:lang w:val="en-US" w:bidi="ar-SA"/>
        </w:rPr>
        <w:t>For the study, the researcher has considered both qualitative and quantitative data of companies name Indian Oil, IOCL, ONGC, Essar, and HPCL. The researcher has taken the data of the last three years from (2016-17 to 2018-19) for the financial performance of all the above-mentioned companies along with this the non-financial data, i.e. growth strategies, future planning which is published in the annual reports of the individual company's website.</w:t>
      </w:r>
    </w:p>
    <w:p w14:paraId="56F8350B" w14:textId="77777777" w:rsidR="00C72A10" w:rsidRPr="00620477" w:rsidRDefault="00C72A10" w:rsidP="00620477">
      <w:pPr>
        <w:spacing w:line="360" w:lineRule="auto"/>
        <w:jc w:val="both"/>
        <w:rPr>
          <w:rFonts w:eastAsia="Times New Roman" w:cs="Times New Roman"/>
          <w:szCs w:val="24"/>
          <w:lang w:val="en-US" w:bidi="ar-SA"/>
        </w:rPr>
      </w:pPr>
    </w:p>
    <w:p w14:paraId="0B17CF13" w14:textId="77777777" w:rsidR="00620477" w:rsidRPr="003D7BE8" w:rsidRDefault="003D7BE8" w:rsidP="003D7BE8">
      <w:pPr>
        <w:pStyle w:val="Heading2"/>
        <w:rPr>
          <w:bCs/>
          <w:lang w:val="en-US" w:bidi="ar-SA"/>
        </w:rPr>
      </w:pPr>
      <w:bookmarkStart w:id="26" w:name="_Toc36752007"/>
      <w:r>
        <w:rPr>
          <w:lang w:val="en-US" w:bidi="ar-SA"/>
        </w:rPr>
        <w:t xml:space="preserve">11.2 </w:t>
      </w:r>
      <w:r w:rsidR="00037F74" w:rsidRPr="003D7BE8">
        <w:rPr>
          <w:lang w:val="en-US" w:bidi="ar-SA"/>
        </w:rPr>
        <w:t>Research Design</w:t>
      </w:r>
      <w:bookmarkEnd w:id="26"/>
    </w:p>
    <w:p w14:paraId="2B6FCAD8" w14:textId="77777777" w:rsidR="000B0D89" w:rsidRDefault="00037F74" w:rsidP="00620477">
      <w:pPr>
        <w:spacing w:line="360" w:lineRule="auto"/>
        <w:jc w:val="both"/>
        <w:rPr>
          <w:rFonts w:eastAsia="Times New Roman" w:cs="Times New Roman"/>
          <w:color w:val="000000"/>
          <w:szCs w:val="24"/>
          <w:lang w:val="en-US" w:bidi="ar-SA"/>
        </w:rPr>
      </w:pPr>
      <w:r>
        <w:rPr>
          <w:rFonts w:eastAsia="Times New Roman" w:cs="Times New Roman"/>
          <w:color w:val="000000"/>
          <w:szCs w:val="24"/>
          <w:lang w:val="en-US" w:bidi="ar-SA"/>
        </w:rPr>
        <w:t>T</w:t>
      </w:r>
      <w:r w:rsidR="00620477" w:rsidRPr="00620477">
        <w:rPr>
          <w:rFonts w:eastAsia="Times New Roman" w:cs="Times New Roman"/>
          <w:color w:val="000000"/>
          <w:szCs w:val="24"/>
          <w:lang w:val="en-US" w:bidi="ar-SA"/>
        </w:rPr>
        <w:t>he general plan of the study for answering the research question related to the problem statement for that the researcher has collected data from secondary and primary sources. As the researcher has personally reviewed all the annual reports of the companies along with this, a survey was conducted by preparing a questionnaire and then collected responses. Here the targeted people were those who understood the volatility of the industry well, such as the students and professionals from various fields.</w:t>
      </w:r>
      <w:r w:rsidR="00C72A10">
        <w:rPr>
          <w:rFonts w:eastAsia="Times New Roman" w:cs="Times New Roman"/>
          <w:color w:val="000000"/>
          <w:szCs w:val="24"/>
          <w:lang w:val="en-US" w:bidi="ar-SA"/>
        </w:rPr>
        <w:t xml:space="preserve"> </w:t>
      </w:r>
    </w:p>
    <w:p w14:paraId="7AC58A1F" w14:textId="77777777" w:rsidR="00C72A10" w:rsidRDefault="00C72A10" w:rsidP="00620477">
      <w:pPr>
        <w:spacing w:line="360" w:lineRule="auto"/>
        <w:jc w:val="both"/>
        <w:rPr>
          <w:rFonts w:eastAsia="Times New Roman" w:cs="Times New Roman"/>
          <w:color w:val="000000"/>
          <w:szCs w:val="24"/>
          <w:lang w:val="en-US" w:bidi="ar-SA"/>
        </w:rPr>
      </w:pPr>
    </w:p>
    <w:p w14:paraId="0750B64F" w14:textId="77777777" w:rsidR="00DD1D73" w:rsidRDefault="00C72A10" w:rsidP="00620477">
      <w:pPr>
        <w:spacing w:line="360" w:lineRule="auto"/>
        <w:jc w:val="both"/>
        <w:rPr>
          <w:rFonts w:eastAsia="Times New Roman" w:cs="Times New Roman"/>
          <w:color w:val="000000"/>
          <w:szCs w:val="24"/>
          <w:lang w:val="en-US" w:bidi="ar-SA"/>
        </w:rPr>
      </w:pPr>
      <w:r>
        <w:rPr>
          <w:rFonts w:eastAsia="Times New Roman" w:cs="Times New Roman"/>
          <w:color w:val="000000"/>
          <w:szCs w:val="24"/>
          <w:lang w:val="en-US" w:bidi="ar-SA"/>
        </w:rPr>
        <w:t>Figure 24: Distribution of Targeted Populatio</w:t>
      </w:r>
      <w:r w:rsidR="004B707E">
        <w:rPr>
          <w:rFonts w:eastAsia="Times New Roman" w:cs="Times New Roman"/>
          <w:color w:val="000000"/>
          <w:szCs w:val="24"/>
          <w:lang w:val="en-US" w:bidi="ar-SA"/>
        </w:rPr>
        <w:t>n</w:t>
      </w:r>
    </w:p>
    <w:p w14:paraId="3E6EAFAB" w14:textId="77777777" w:rsidR="004B707E" w:rsidRDefault="004B707E" w:rsidP="00620477">
      <w:pPr>
        <w:spacing w:line="360" w:lineRule="auto"/>
        <w:jc w:val="both"/>
        <w:rPr>
          <w:rFonts w:eastAsia="Times New Roman" w:cs="Times New Roman"/>
          <w:color w:val="000000"/>
          <w:sz w:val="20"/>
          <w:lang w:val="en-US" w:bidi="ar-SA"/>
        </w:rPr>
      </w:pPr>
      <w:r>
        <w:rPr>
          <w:rFonts w:eastAsia="Times New Roman" w:cs="Times New Roman"/>
          <w:noProof/>
          <w:color w:val="000000"/>
          <w:szCs w:val="24"/>
          <w:lang w:val="en-US" w:bidi="ar-SA"/>
        </w:rPr>
        <w:drawing>
          <wp:anchor distT="0" distB="0" distL="114300" distR="114300" simplePos="0" relativeHeight="251663360" behindDoc="0" locked="0" layoutInCell="1" allowOverlap="1" wp14:anchorId="0B773A5E" wp14:editId="7806D51A">
            <wp:simplePos x="0" y="0"/>
            <wp:positionH relativeFrom="margin">
              <wp:posOffset>-22860</wp:posOffset>
            </wp:positionH>
            <wp:positionV relativeFrom="paragraph">
              <wp:posOffset>37465</wp:posOffset>
            </wp:positionV>
            <wp:extent cx="4815840" cy="1760220"/>
            <wp:effectExtent l="0" t="0" r="3810" b="1143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p>
    <w:p w14:paraId="37560B16" w14:textId="77777777" w:rsidR="004B707E" w:rsidRDefault="004B707E" w:rsidP="00620477">
      <w:pPr>
        <w:spacing w:line="360" w:lineRule="auto"/>
        <w:jc w:val="both"/>
        <w:rPr>
          <w:rFonts w:eastAsia="Times New Roman" w:cs="Times New Roman"/>
          <w:color w:val="000000"/>
          <w:sz w:val="20"/>
          <w:lang w:val="en-US" w:bidi="ar-SA"/>
        </w:rPr>
      </w:pPr>
    </w:p>
    <w:p w14:paraId="7AF42E45" w14:textId="77777777" w:rsidR="00C512ED" w:rsidRDefault="00C512ED" w:rsidP="00620477">
      <w:pPr>
        <w:spacing w:line="360" w:lineRule="auto"/>
        <w:jc w:val="both"/>
        <w:rPr>
          <w:rFonts w:eastAsia="Times New Roman" w:cs="Times New Roman"/>
          <w:color w:val="000000"/>
          <w:sz w:val="20"/>
          <w:lang w:val="en-US" w:bidi="ar-SA"/>
        </w:rPr>
      </w:pPr>
    </w:p>
    <w:p w14:paraId="04A000C2" w14:textId="77777777" w:rsidR="00C512ED" w:rsidRDefault="00C512ED" w:rsidP="00C512ED">
      <w:pPr>
        <w:pStyle w:val="Caption"/>
        <w:rPr>
          <w:rFonts w:eastAsia="Times New Roman" w:cs="Times New Roman"/>
          <w:color w:val="000000"/>
          <w:sz w:val="20"/>
          <w:lang w:val="en-US" w:bidi="ar-SA"/>
        </w:rPr>
      </w:pPr>
    </w:p>
    <w:p w14:paraId="0949D757" w14:textId="77777777" w:rsidR="004B707E" w:rsidRDefault="004B707E" w:rsidP="00C72A10">
      <w:pPr>
        <w:rPr>
          <w:lang w:val="en-US" w:bidi="ar-SA"/>
        </w:rPr>
      </w:pPr>
    </w:p>
    <w:p w14:paraId="70D6D54E" w14:textId="77777777" w:rsidR="004B707E" w:rsidRDefault="004B707E" w:rsidP="00C72A10">
      <w:pPr>
        <w:rPr>
          <w:lang w:val="en-US" w:bidi="ar-SA"/>
        </w:rPr>
      </w:pPr>
    </w:p>
    <w:p w14:paraId="7CC21415" w14:textId="77777777" w:rsidR="004B707E" w:rsidRDefault="004B707E" w:rsidP="00C72A10">
      <w:pPr>
        <w:rPr>
          <w:lang w:val="en-US" w:bidi="ar-SA"/>
        </w:rPr>
      </w:pPr>
    </w:p>
    <w:p w14:paraId="3C89687C" w14:textId="77777777" w:rsidR="004B707E" w:rsidRDefault="004B707E" w:rsidP="00C72A10">
      <w:pPr>
        <w:rPr>
          <w:lang w:val="en-US" w:bidi="ar-SA"/>
        </w:rPr>
      </w:pPr>
    </w:p>
    <w:p w14:paraId="7E7A2473" w14:textId="77777777" w:rsidR="004B707E" w:rsidRDefault="004B707E" w:rsidP="00C72A10">
      <w:pPr>
        <w:rPr>
          <w:lang w:val="en-US" w:bidi="ar-SA"/>
        </w:rPr>
      </w:pPr>
    </w:p>
    <w:p w14:paraId="2ED553F4" w14:textId="77777777" w:rsidR="004B707E" w:rsidRDefault="004B707E" w:rsidP="00C72A10">
      <w:pPr>
        <w:rPr>
          <w:lang w:val="en-US" w:bidi="ar-SA"/>
        </w:rPr>
      </w:pPr>
    </w:p>
    <w:p w14:paraId="49027B00" w14:textId="77777777" w:rsidR="004B707E" w:rsidRDefault="004B707E" w:rsidP="00C72A10">
      <w:pPr>
        <w:rPr>
          <w:lang w:val="en-US" w:bidi="ar-SA"/>
        </w:rPr>
      </w:pPr>
      <w:r>
        <w:rPr>
          <w:lang w:val="en-US" w:bidi="ar-SA"/>
        </w:rPr>
        <w:t>N</w:t>
      </w:r>
      <w:r w:rsidRPr="004B707E">
        <w:rPr>
          <w:lang w:val="en-US" w:bidi="ar-SA"/>
        </w:rPr>
        <w:t>ote: A total of 100 people were targeted</w:t>
      </w:r>
    </w:p>
    <w:p w14:paraId="7F359426" w14:textId="77777777" w:rsidR="004B707E" w:rsidRDefault="004B707E">
      <w:pPr>
        <w:rPr>
          <w:lang w:val="en-US" w:bidi="ar-SA"/>
        </w:rPr>
      </w:pPr>
      <w:r>
        <w:rPr>
          <w:lang w:val="en-US" w:bidi="ar-SA"/>
        </w:rPr>
        <w:br w:type="page"/>
      </w:r>
    </w:p>
    <w:p w14:paraId="45817E40" w14:textId="77777777" w:rsidR="004B707E" w:rsidRDefault="004B707E" w:rsidP="00C72A10">
      <w:pPr>
        <w:rPr>
          <w:lang w:val="en-US" w:bidi="ar-SA"/>
        </w:rPr>
      </w:pPr>
    </w:p>
    <w:p w14:paraId="13D52E40" w14:textId="77777777" w:rsidR="00C72A10" w:rsidRPr="00C72A10" w:rsidRDefault="00C72A10" w:rsidP="00C72A10">
      <w:pPr>
        <w:rPr>
          <w:lang w:val="en-US" w:bidi="ar-SA"/>
        </w:rPr>
      </w:pPr>
      <w:r>
        <w:rPr>
          <w:lang w:val="en-US" w:bidi="ar-SA"/>
        </w:rPr>
        <w:t xml:space="preserve">Figure 25: Distribution of </w:t>
      </w:r>
      <w:r w:rsidRPr="00C72A10">
        <w:rPr>
          <w:lang w:bidi="ar-SA"/>
        </w:rPr>
        <w:t xml:space="preserve">Responses based on stream </w:t>
      </w:r>
    </w:p>
    <w:p w14:paraId="745C0E49" w14:textId="77777777" w:rsidR="00BD1808" w:rsidRDefault="00037F74" w:rsidP="00620477">
      <w:pPr>
        <w:spacing w:line="360" w:lineRule="auto"/>
        <w:jc w:val="both"/>
        <w:rPr>
          <w:rFonts w:eastAsia="Times New Roman" w:cs="Times New Roman"/>
          <w:color w:val="000000"/>
          <w:szCs w:val="24"/>
          <w:lang w:val="en-US" w:bidi="ar-SA"/>
        </w:rPr>
      </w:pPr>
      <w:r>
        <w:rPr>
          <w:rFonts w:eastAsia="Times New Roman" w:cs="Times New Roman"/>
          <w:noProof/>
          <w:color w:val="000000"/>
          <w:szCs w:val="24"/>
          <w:lang w:val="en-US" w:bidi="ar-SA"/>
        </w:rPr>
        <w:drawing>
          <wp:inline distT="0" distB="0" distL="0" distR="0" wp14:anchorId="392A460D" wp14:editId="25CE2117">
            <wp:extent cx="46863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A9CF9D6" w14:textId="77777777" w:rsidR="00BD1808" w:rsidRDefault="00037F74" w:rsidP="00620477">
      <w:pPr>
        <w:spacing w:line="360" w:lineRule="auto"/>
        <w:jc w:val="both"/>
        <w:rPr>
          <w:rFonts w:eastAsia="Times New Roman" w:cs="Times New Roman"/>
          <w:sz w:val="20"/>
          <w:lang w:val="en-US" w:bidi="ar-SA"/>
        </w:rPr>
      </w:pPr>
      <w:bookmarkStart w:id="27" w:name="_Hlk35630235"/>
      <w:r w:rsidRPr="000B0D89">
        <w:rPr>
          <w:rFonts w:eastAsia="Times New Roman" w:cs="Times New Roman"/>
          <w:sz w:val="20"/>
          <w:lang w:val="en-US" w:bidi="ar-SA"/>
        </w:rPr>
        <w:t xml:space="preserve">Note: </w:t>
      </w:r>
      <w:r w:rsidR="000B0D89" w:rsidRPr="000B0D89">
        <w:rPr>
          <w:rFonts w:eastAsia="Times New Roman" w:cs="Times New Roman"/>
          <w:sz w:val="20"/>
          <w:lang w:val="en-US" w:bidi="ar-SA"/>
        </w:rPr>
        <w:t>A total of 100 people were targeted</w:t>
      </w:r>
    </w:p>
    <w:bookmarkEnd w:id="27"/>
    <w:p w14:paraId="43294F33" w14:textId="77777777" w:rsidR="00C72A10" w:rsidRPr="004B707E" w:rsidRDefault="00C72A10" w:rsidP="00C72A10">
      <w:pPr>
        <w:rPr>
          <w:rFonts w:eastAsia="Times New Roman" w:cs="Times New Roman"/>
          <w:sz w:val="20"/>
          <w:lang w:val="en-US" w:bidi="ar-SA"/>
        </w:rPr>
      </w:pPr>
      <w:r>
        <w:t xml:space="preserve">Figure 26: Distribution of </w:t>
      </w:r>
      <w:r w:rsidRPr="00C72A10">
        <w:t>qualification</w:t>
      </w:r>
    </w:p>
    <w:p w14:paraId="22D023CE" w14:textId="77777777" w:rsidR="00BD6CF2" w:rsidRPr="00620477" w:rsidRDefault="00037F74" w:rsidP="00620477">
      <w:pPr>
        <w:spacing w:line="360" w:lineRule="auto"/>
        <w:jc w:val="both"/>
        <w:rPr>
          <w:rFonts w:eastAsia="Times New Roman" w:cs="Times New Roman"/>
          <w:szCs w:val="24"/>
          <w:lang w:val="en-US" w:bidi="ar-SA"/>
        </w:rPr>
      </w:pPr>
      <w:r>
        <w:rPr>
          <w:rFonts w:eastAsia="Times New Roman" w:cs="Times New Roman"/>
          <w:noProof/>
          <w:szCs w:val="24"/>
          <w:lang w:val="en-US" w:bidi="ar-SA"/>
        </w:rPr>
        <w:drawing>
          <wp:inline distT="0" distB="0" distL="0" distR="0" wp14:anchorId="6FD823F4" wp14:editId="51E8351C">
            <wp:extent cx="4732020" cy="2933700"/>
            <wp:effectExtent l="0" t="0" r="1143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5FA6C3B" w14:textId="77777777" w:rsidR="00C512ED" w:rsidRDefault="00037F74">
      <w:pPr>
        <w:rPr>
          <w:rFonts w:cs="Times New Roman"/>
        </w:rPr>
      </w:pPr>
      <w:r w:rsidRPr="00C512ED">
        <w:rPr>
          <w:rFonts w:cs="Times New Roman"/>
          <w:sz w:val="20"/>
        </w:rPr>
        <w:t>Note: A total of 100 people were targeted</w:t>
      </w:r>
      <w:r w:rsidRPr="00C512ED">
        <w:rPr>
          <w:rFonts w:cs="Times New Roman"/>
        </w:rPr>
        <w:t xml:space="preserve"> </w:t>
      </w:r>
    </w:p>
    <w:p w14:paraId="1316D779" w14:textId="77777777" w:rsidR="004B707E" w:rsidRDefault="004B707E">
      <w:pPr>
        <w:rPr>
          <w:rFonts w:cs="Times New Roman"/>
        </w:rPr>
      </w:pPr>
      <w:r>
        <w:rPr>
          <w:rFonts w:cs="Times New Roman"/>
        </w:rPr>
        <w:br w:type="page"/>
      </w:r>
    </w:p>
    <w:p w14:paraId="6E54EDBC" w14:textId="77777777" w:rsidR="00C512ED" w:rsidRDefault="00C72A10">
      <w:pPr>
        <w:rPr>
          <w:rFonts w:cs="Times New Roman"/>
        </w:rPr>
      </w:pPr>
      <w:r>
        <w:rPr>
          <w:rFonts w:cs="Times New Roman"/>
        </w:rPr>
        <w:lastRenderedPageBreak/>
        <w:t>Figure 27: Distribution on age</w:t>
      </w:r>
    </w:p>
    <w:p w14:paraId="4B3128A7" w14:textId="77777777" w:rsidR="00C512ED" w:rsidRDefault="00037F74" w:rsidP="00C512ED">
      <w:pPr>
        <w:rPr>
          <w:rFonts w:cs="Times New Roman"/>
        </w:rPr>
      </w:pPr>
      <w:r>
        <w:rPr>
          <w:rFonts w:cs="Times New Roman"/>
          <w:noProof/>
          <w:szCs w:val="24"/>
        </w:rPr>
        <w:drawing>
          <wp:inline distT="0" distB="0" distL="0" distR="0" wp14:anchorId="544A5B8C" wp14:editId="43A6E4AC">
            <wp:extent cx="4853940" cy="2735580"/>
            <wp:effectExtent l="0" t="0" r="381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7F1631D" w14:textId="77777777" w:rsidR="00C512ED" w:rsidRPr="00E83BBD" w:rsidRDefault="00037F74" w:rsidP="00C512ED">
      <w:pPr>
        <w:rPr>
          <w:rFonts w:cs="Times New Roman"/>
          <w:sz w:val="20"/>
        </w:rPr>
      </w:pPr>
      <w:r w:rsidRPr="00E83BBD">
        <w:rPr>
          <w:rFonts w:cs="Times New Roman"/>
          <w:sz w:val="20"/>
        </w:rPr>
        <w:t>Note: A total of 100 people were targeted</w:t>
      </w:r>
    </w:p>
    <w:p w14:paraId="42741E36" w14:textId="77777777" w:rsidR="006564AA" w:rsidRPr="00C512ED" w:rsidRDefault="003D7BE8" w:rsidP="00C512ED">
      <w:pPr>
        <w:pStyle w:val="Heading2"/>
        <w:rPr>
          <w:rStyle w:val="Heading2Char"/>
          <w:rFonts w:cs="Times New Roman"/>
        </w:rPr>
      </w:pPr>
      <w:bookmarkStart w:id="28" w:name="_Toc36752008"/>
      <w:r>
        <w:rPr>
          <w:rFonts w:cs="Times New Roman"/>
        </w:rPr>
        <w:t>11.3</w:t>
      </w:r>
      <w:r w:rsidR="00037F74" w:rsidRPr="00C512ED">
        <w:rPr>
          <w:rFonts w:cs="Times New Roman"/>
        </w:rPr>
        <w:t xml:space="preserve"> </w:t>
      </w:r>
      <w:r w:rsidR="00037F74" w:rsidRPr="00C512ED">
        <w:rPr>
          <w:rFonts w:cs="Times New Roman"/>
          <w:szCs w:val="24"/>
        </w:rPr>
        <w:t>Correlation</w:t>
      </w:r>
      <w:bookmarkEnd w:id="28"/>
    </w:p>
    <w:p w14:paraId="7BB7CCD0" w14:textId="77777777" w:rsidR="00AC6C85" w:rsidRDefault="00AC6C85" w:rsidP="00AC6C85">
      <w:pPr>
        <w:spacing w:line="360" w:lineRule="auto"/>
        <w:jc w:val="both"/>
        <w:rPr>
          <w:rFonts w:cs="Times New Roman"/>
          <w:szCs w:val="24"/>
        </w:rPr>
      </w:pPr>
      <w:r>
        <w:rPr>
          <w:rFonts w:cs="Times New Roman"/>
          <w:szCs w:val="24"/>
        </w:rPr>
        <w:t xml:space="preserve">In the following table correlation between the six ratios (Debt/Equity, Interest coverage, return on asset, ROE, Profit margin on sales, Net cash accrual) and (Price earnings, Average market price, EPS) of each company has been calculated. For this first we find out the ratio of various companies and the industry average. An index has been created by giving weights to all six ratios of four major companies. After calculating the correlation, we analyse that HPCL has positive correlation in all the 3 ratios i.e. P/E, Average market price and EPS while Oil India, ONGC, IOCL has negative correlation in P/E ratio. </w:t>
      </w:r>
    </w:p>
    <w:p w14:paraId="5539478A" w14:textId="77777777" w:rsidR="00AC6C85" w:rsidRDefault="00AC6C85" w:rsidP="00AC6C85">
      <w:pPr>
        <w:spacing w:line="360" w:lineRule="auto"/>
        <w:jc w:val="both"/>
        <w:rPr>
          <w:rFonts w:cs="Times New Roman"/>
          <w:szCs w:val="24"/>
        </w:rPr>
      </w:pPr>
    </w:p>
    <w:tbl>
      <w:tblPr>
        <w:tblStyle w:val="TableGrid"/>
        <w:tblW w:w="0" w:type="auto"/>
        <w:tblLook w:val="04A0" w:firstRow="1" w:lastRow="0" w:firstColumn="1" w:lastColumn="0" w:noHBand="0" w:noVBand="1"/>
      </w:tblPr>
      <w:tblGrid>
        <w:gridCol w:w="3468"/>
        <w:gridCol w:w="3468"/>
      </w:tblGrid>
      <w:tr w:rsidR="00AC6C85" w:rsidRPr="00AC6C85" w14:paraId="0D03D1D3" w14:textId="77777777" w:rsidTr="00AC6C85">
        <w:trPr>
          <w:trHeight w:val="493"/>
        </w:trPr>
        <w:tc>
          <w:tcPr>
            <w:tcW w:w="3468" w:type="dxa"/>
            <w:tcBorders>
              <w:top w:val="single" w:sz="4" w:space="0" w:color="auto"/>
              <w:left w:val="single" w:sz="4" w:space="0" w:color="auto"/>
              <w:bottom w:val="single" w:sz="4" w:space="0" w:color="auto"/>
              <w:right w:val="single" w:sz="4" w:space="0" w:color="auto"/>
            </w:tcBorders>
            <w:hideMark/>
          </w:tcPr>
          <w:p w14:paraId="117A5C44"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Ratios</w:t>
            </w:r>
          </w:p>
        </w:tc>
        <w:tc>
          <w:tcPr>
            <w:tcW w:w="3468" w:type="dxa"/>
            <w:tcBorders>
              <w:top w:val="single" w:sz="4" w:space="0" w:color="auto"/>
              <w:left w:val="single" w:sz="4" w:space="0" w:color="auto"/>
              <w:bottom w:val="single" w:sz="4" w:space="0" w:color="auto"/>
              <w:right w:val="single" w:sz="4" w:space="0" w:color="auto"/>
            </w:tcBorders>
            <w:hideMark/>
          </w:tcPr>
          <w:p w14:paraId="1E325C18"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Medium Weightage</w:t>
            </w:r>
          </w:p>
        </w:tc>
      </w:tr>
      <w:tr w:rsidR="00AC6C85" w:rsidRPr="00AC6C85" w14:paraId="105009ED" w14:textId="77777777" w:rsidTr="00AC6C85">
        <w:trPr>
          <w:trHeight w:val="493"/>
        </w:trPr>
        <w:tc>
          <w:tcPr>
            <w:tcW w:w="3468" w:type="dxa"/>
            <w:tcBorders>
              <w:top w:val="single" w:sz="4" w:space="0" w:color="auto"/>
              <w:left w:val="single" w:sz="4" w:space="0" w:color="auto"/>
              <w:bottom w:val="single" w:sz="4" w:space="0" w:color="auto"/>
              <w:right w:val="single" w:sz="4" w:space="0" w:color="auto"/>
            </w:tcBorders>
            <w:hideMark/>
          </w:tcPr>
          <w:p w14:paraId="66953B9B"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Debt/ Equity ratio</w:t>
            </w:r>
          </w:p>
        </w:tc>
        <w:tc>
          <w:tcPr>
            <w:tcW w:w="3468" w:type="dxa"/>
            <w:tcBorders>
              <w:top w:val="single" w:sz="4" w:space="0" w:color="auto"/>
              <w:left w:val="single" w:sz="4" w:space="0" w:color="auto"/>
              <w:bottom w:val="single" w:sz="4" w:space="0" w:color="auto"/>
              <w:right w:val="single" w:sz="4" w:space="0" w:color="auto"/>
            </w:tcBorders>
            <w:hideMark/>
          </w:tcPr>
          <w:p w14:paraId="061C8CBE"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0.100</w:t>
            </w:r>
          </w:p>
        </w:tc>
      </w:tr>
      <w:tr w:rsidR="00AC6C85" w:rsidRPr="00AC6C85" w14:paraId="6E8B59F3" w14:textId="77777777" w:rsidTr="00AC6C85">
        <w:trPr>
          <w:trHeight w:val="493"/>
        </w:trPr>
        <w:tc>
          <w:tcPr>
            <w:tcW w:w="3468" w:type="dxa"/>
            <w:tcBorders>
              <w:top w:val="single" w:sz="4" w:space="0" w:color="auto"/>
              <w:left w:val="single" w:sz="4" w:space="0" w:color="auto"/>
              <w:bottom w:val="single" w:sz="4" w:space="0" w:color="auto"/>
              <w:right w:val="single" w:sz="4" w:space="0" w:color="auto"/>
            </w:tcBorders>
            <w:hideMark/>
          </w:tcPr>
          <w:p w14:paraId="699985B6"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Interest coverage ratio</w:t>
            </w:r>
          </w:p>
        </w:tc>
        <w:tc>
          <w:tcPr>
            <w:tcW w:w="3468" w:type="dxa"/>
            <w:tcBorders>
              <w:top w:val="single" w:sz="4" w:space="0" w:color="auto"/>
              <w:left w:val="single" w:sz="4" w:space="0" w:color="auto"/>
              <w:bottom w:val="single" w:sz="4" w:space="0" w:color="auto"/>
              <w:right w:val="single" w:sz="4" w:space="0" w:color="auto"/>
            </w:tcBorders>
            <w:hideMark/>
          </w:tcPr>
          <w:p w14:paraId="41AB954C"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0.244</w:t>
            </w:r>
          </w:p>
        </w:tc>
      </w:tr>
      <w:tr w:rsidR="00AC6C85" w:rsidRPr="00AC6C85" w14:paraId="579BDF7F" w14:textId="77777777" w:rsidTr="00AC6C85">
        <w:trPr>
          <w:trHeight w:val="493"/>
        </w:trPr>
        <w:tc>
          <w:tcPr>
            <w:tcW w:w="3468" w:type="dxa"/>
            <w:tcBorders>
              <w:top w:val="single" w:sz="4" w:space="0" w:color="auto"/>
              <w:left w:val="single" w:sz="4" w:space="0" w:color="auto"/>
              <w:bottom w:val="single" w:sz="4" w:space="0" w:color="auto"/>
              <w:right w:val="single" w:sz="4" w:space="0" w:color="auto"/>
            </w:tcBorders>
            <w:hideMark/>
          </w:tcPr>
          <w:p w14:paraId="7306BB35"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Return on asset</w:t>
            </w:r>
          </w:p>
        </w:tc>
        <w:tc>
          <w:tcPr>
            <w:tcW w:w="3468" w:type="dxa"/>
            <w:tcBorders>
              <w:top w:val="single" w:sz="4" w:space="0" w:color="auto"/>
              <w:left w:val="single" w:sz="4" w:space="0" w:color="auto"/>
              <w:bottom w:val="single" w:sz="4" w:space="0" w:color="auto"/>
              <w:right w:val="single" w:sz="4" w:space="0" w:color="auto"/>
            </w:tcBorders>
            <w:hideMark/>
          </w:tcPr>
          <w:p w14:paraId="6448CAE0"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0.166</w:t>
            </w:r>
          </w:p>
        </w:tc>
      </w:tr>
      <w:tr w:rsidR="00AC6C85" w:rsidRPr="00AC6C85" w14:paraId="219CA727" w14:textId="77777777" w:rsidTr="00AC6C85">
        <w:trPr>
          <w:trHeight w:val="493"/>
        </w:trPr>
        <w:tc>
          <w:tcPr>
            <w:tcW w:w="3468" w:type="dxa"/>
            <w:tcBorders>
              <w:top w:val="single" w:sz="4" w:space="0" w:color="auto"/>
              <w:left w:val="single" w:sz="4" w:space="0" w:color="auto"/>
              <w:bottom w:val="single" w:sz="4" w:space="0" w:color="auto"/>
              <w:right w:val="single" w:sz="4" w:space="0" w:color="auto"/>
            </w:tcBorders>
            <w:hideMark/>
          </w:tcPr>
          <w:p w14:paraId="11D9E91A"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ROE</w:t>
            </w:r>
          </w:p>
        </w:tc>
        <w:tc>
          <w:tcPr>
            <w:tcW w:w="3468" w:type="dxa"/>
            <w:tcBorders>
              <w:top w:val="single" w:sz="4" w:space="0" w:color="auto"/>
              <w:left w:val="single" w:sz="4" w:space="0" w:color="auto"/>
              <w:bottom w:val="single" w:sz="4" w:space="0" w:color="auto"/>
              <w:right w:val="single" w:sz="4" w:space="0" w:color="auto"/>
            </w:tcBorders>
            <w:hideMark/>
          </w:tcPr>
          <w:p w14:paraId="6FD03560"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0.159</w:t>
            </w:r>
          </w:p>
        </w:tc>
      </w:tr>
      <w:tr w:rsidR="00AC6C85" w:rsidRPr="00AC6C85" w14:paraId="1220E84F" w14:textId="77777777" w:rsidTr="00AC6C85">
        <w:trPr>
          <w:trHeight w:val="493"/>
        </w:trPr>
        <w:tc>
          <w:tcPr>
            <w:tcW w:w="3468" w:type="dxa"/>
            <w:tcBorders>
              <w:top w:val="single" w:sz="4" w:space="0" w:color="auto"/>
              <w:left w:val="single" w:sz="4" w:space="0" w:color="auto"/>
              <w:bottom w:val="single" w:sz="4" w:space="0" w:color="auto"/>
              <w:right w:val="single" w:sz="4" w:space="0" w:color="auto"/>
            </w:tcBorders>
            <w:hideMark/>
          </w:tcPr>
          <w:p w14:paraId="11C53FA3"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Profit margin on sales</w:t>
            </w:r>
          </w:p>
        </w:tc>
        <w:tc>
          <w:tcPr>
            <w:tcW w:w="3468" w:type="dxa"/>
            <w:tcBorders>
              <w:top w:val="single" w:sz="4" w:space="0" w:color="auto"/>
              <w:left w:val="single" w:sz="4" w:space="0" w:color="auto"/>
              <w:bottom w:val="single" w:sz="4" w:space="0" w:color="auto"/>
              <w:right w:val="single" w:sz="4" w:space="0" w:color="auto"/>
            </w:tcBorders>
            <w:hideMark/>
          </w:tcPr>
          <w:p w14:paraId="57271A18"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0.151</w:t>
            </w:r>
          </w:p>
        </w:tc>
      </w:tr>
      <w:tr w:rsidR="00AC6C85" w:rsidRPr="00AC6C85" w14:paraId="1E261489" w14:textId="77777777" w:rsidTr="00AC6C85">
        <w:trPr>
          <w:trHeight w:val="493"/>
        </w:trPr>
        <w:tc>
          <w:tcPr>
            <w:tcW w:w="3468" w:type="dxa"/>
            <w:tcBorders>
              <w:top w:val="single" w:sz="4" w:space="0" w:color="auto"/>
              <w:left w:val="single" w:sz="4" w:space="0" w:color="auto"/>
              <w:bottom w:val="single" w:sz="4" w:space="0" w:color="auto"/>
              <w:right w:val="single" w:sz="4" w:space="0" w:color="auto"/>
            </w:tcBorders>
            <w:hideMark/>
          </w:tcPr>
          <w:p w14:paraId="137CCD28"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Net cash accruals ratio</w:t>
            </w:r>
          </w:p>
        </w:tc>
        <w:tc>
          <w:tcPr>
            <w:tcW w:w="3468" w:type="dxa"/>
            <w:tcBorders>
              <w:top w:val="single" w:sz="4" w:space="0" w:color="auto"/>
              <w:left w:val="single" w:sz="4" w:space="0" w:color="auto"/>
              <w:bottom w:val="single" w:sz="4" w:space="0" w:color="auto"/>
              <w:right w:val="single" w:sz="4" w:space="0" w:color="auto"/>
            </w:tcBorders>
            <w:hideMark/>
          </w:tcPr>
          <w:p w14:paraId="35D742AF" w14:textId="77777777" w:rsidR="00AC6C85" w:rsidRPr="00AC6C85" w:rsidRDefault="00AC6C85" w:rsidP="00AC6C85">
            <w:pPr>
              <w:spacing w:line="360" w:lineRule="auto"/>
              <w:jc w:val="both"/>
              <w:rPr>
                <w:rFonts w:cs="Times New Roman"/>
                <w:szCs w:val="24"/>
                <w:lang w:val="en-US" w:bidi="hi-IN"/>
              </w:rPr>
            </w:pPr>
            <w:r w:rsidRPr="00AC6C85">
              <w:rPr>
                <w:rFonts w:cs="Times New Roman"/>
                <w:szCs w:val="24"/>
                <w:lang w:val="en-US" w:bidi="hi-IN"/>
              </w:rPr>
              <w:t>0.181</w:t>
            </w:r>
          </w:p>
        </w:tc>
      </w:tr>
    </w:tbl>
    <w:p w14:paraId="35EE80E5" w14:textId="77777777" w:rsidR="004B707E" w:rsidRDefault="004B707E">
      <w:pPr>
        <w:rPr>
          <w:rFonts w:cs="Times New Roman"/>
        </w:rPr>
      </w:pPr>
    </w:p>
    <w:p w14:paraId="19D3A2B7" w14:textId="77777777" w:rsidR="004B707E" w:rsidRDefault="004B707E">
      <w:pPr>
        <w:rPr>
          <w:rFonts w:cs="Times New Roman"/>
        </w:rPr>
      </w:pPr>
      <w:r>
        <w:rPr>
          <w:rFonts w:cs="Times New Roman"/>
        </w:rPr>
        <w:br w:type="page"/>
      </w:r>
    </w:p>
    <w:p w14:paraId="671611EE" w14:textId="77777777" w:rsidR="00620477" w:rsidRDefault="00620477">
      <w:pPr>
        <w:rPr>
          <w:rFonts w:cs="Times New Roman"/>
        </w:rPr>
      </w:pPr>
    </w:p>
    <w:tbl>
      <w:tblPr>
        <w:tblStyle w:val="TableGrid"/>
        <w:tblW w:w="0" w:type="auto"/>
        <w:tblLook w:val="04A0" w:firstRow="1" w:lastRow="0" w:firstColumn="1" w:lastColumn="0" w:noHBand="0" w:noVBand="1"/>
      </w:tblPr>
      <w:tblGrid>
        <w:gridCol w:w="2055"/>
        <w:gridCol w:w="2022"/>
        <w:gridCol w:w="2084"/>
        <w:gridCol w:w="2022"/>
      </w:tblGrid>
      <w:tr w:rsidR="00AC6C85" w:rsidRPr="00AC6C85" w14:paraId="1E6F0C40" w14:textId="77777777" w:rsidTr="00AC6C85">
        <w:tc>
          <w:tcPr>
            <w:tcW w:w="9576" w:type="dxa"/>
            <w:gridSpan w:val="4"/>
            <w:tcBorders>
              <w:top w:val="single" w:sz="4" w:space="0" w:color="auto"/>
              <w:left w:val="single" w:sz="4" w:space="0" w:color="auto"/>
              <w:bottom w:val="single" w:sz="4" w:space="0" w:color="auto"/>
              <w:right w:val="single" w:sz="4" w:space="0" w:color="auto"/>
            </w:tcBorders>
            <w:hideMark/>
          </w:tcPr>
          <w:p w14:paraId="54BAD44A" w14:textId="77777777" w:rsidR="00AC6C85" w:rsidRPr="00AC6C85" w:rsidRDefault="00AC6C85" w:rsidP="00AC6C85">
            <w:pPr>
              <w:rPr>
                <w:rFonts w:cs="Times New Roman"/>
                <w:b/>
                <w:lang w:val="en-US" w:bidi="hi-IN"/>
              </w:rPr>
            </w:pPr>
            <w:r w:rsidRPr="00AC6C85">
              <w:rPr>
                <w:rFonts w:cs="Times New Roman"/>
                <w:b/>
                <w:lang w:val="en-US" w:bidi="hi-IN"/>
              </w:rPr>
              <w:t>Correlation</w:t>
            </w:r>
          </w:p>
        </w:tc>
      </w:tr>
      <w:tr w:rsidR="00AC6C85" w:rsidRPr="00AC6C85" w14:paraId="21F870E6" w14:textId="77777777" w:rsidTr="00AC6C85">
        <w:tc>
          <w:tcPr>
            <w:tcW w:w="2394" w:type="dxa"/>
            <w:tcBorders>
              <w:top w:val="single" w:sz="4" w:space="0" w:color="auto"/>
              <w:left w:val="single" w:sz="4" w:space="0" w:color="auto"/>
              <w:bottom w:val="single" w:sz="4" w:space="0" w:color="auto"/>
              <w:right w:val="single" w:sz="4" w:space="0" w:color="auto"/>
            </w:tcBorders>
            <w:hideMark/>
          </w:tcPr>
          <w:p w14:paraId="2535C646" w14:textId="77777777" w:rsidR="00AC6C85" w:rsidRPr="00AC6C85" w:rsidRDefault="00AC6C85" w:rsidP="00AC6C85">
            <w:pPr>
              <w:rPr>
                <w:rFonts w:cs="Times New Roman"/>
                <w:lang w:val="en-US" w:bidi="hi-IN"/>
              </w:rPr>
            </w:pPr>
            <w:r w:rsidRPr="00AC6C85">
              <w:rPr>
                <w:rFonts w:cs="Times New Roman"/>
                <w:lang w:val="en-US" w:bidi="hi-IN"/>
              </w:rPr>
              <w:t>Ratios</w:t>
            </w:r>
          </w:p>
        </w:tc>
        <w:tc>
          <w:tcPr>
            <w:tcW w:w="2394" w:type="dxa"/>
            <w:tcBorders>
              <w:top w:val="single" w:sz="4" w:space="0" w:color="auto"/>
              <w:left w:val="single" w:sz="4" w:space="0" w:color="auto"/>
              <w:bottom w:val="single" w:sz="4" w:space="0" w:color="auto"/>
              <w:right w:val="single" w:sz="4" w:space="0" w:color="auto"/>
            </w:tcBorders>
            <w:hideMark/>
          </w:tcPr>
          <w:p w14:paraId="1B0428CC" w14:textId="77777777" w:rsidR="00AC6C85" w:rsidRPr="00AC6C85" w:rsidRDefault="00AC6C85" w:rsidP="00AC6C85">
            <w:pPr>
              <w:rPr>
                <w:rFonts w:cs="Times New Roman"/>
                <w:lang w:val="en-US" w:bidi="hi-IN"/>
              </w:rPr>
            </w:pPr>
            <w:r w:rsidRPr="00AC6C85">
              <w:rPr>
                <w:rFonts w:cs="Times New Roman"/>
                <w:lang w:val="en-US" w:bidi="hi-IN"/>
              </w:rPr>
              <w:t>P/E</w:t>
            </w:r>
          </w:p>
        </w:tc>
        <w:tc>
          <w:tcPr>
            <w:tcW w:w="2394" w:type="dxa"/>
            <w:tcBorders>
              <w:top w:val="single" w:sz="4" w:space="0" w:color="auto"/>
              <w:left w:val="single" w:sz="4" w:space="0" w:color="auto"/>
              <w:bottom w:val="single" w:sz="4" w:space="0" w:color="auto"/>
              <w:right w:val="single" w:sz="4" w:space="0" w:color="auto"/>
            </w:tcBorders>
            <w:hideMark/>
          </w:tcPr>
          <w:p w14:paraId="099DEAE3" w14:textId="77777777" w:rsidR="00AC6C85" w:rsidRPr="00AC6C85" w:rsidRDefault="00AC6C85" w:rsidP="00AC6C85">
            <w:pPr>
              <w:rPr>
                <w:rFonts w:cs="Times New Roman"/>
                <w:lang w:val="en-US" w:bidi="hi-IN"/>
              </w:rPr>
            </w:pPr>
            <w:r w:rsidRPr="00AC6C85">
              <w:rPr>
                <w:rFonts w:cs="Times New Roman"/>
                <w:lang w:val="en-US" w:bidi="hi-IN"/>
              </w:rPr>
              <w:t>Average market price</w:t>
            </w:r>
          </w:p>
        </w:tc>
        <w:tc>
          <w:tcPr>
            <w:tcW w:w="2394" w:type="dxa"/>
            <w:tcBorders>
              <w:top w:val="single" w:sz="4" w:space="0" w:color="auto"/>
              <w:left w:val="single" w:sz="4" w:space="0" w:color="auto"/>
              <w:bottom w:val="single" w:sz="4" w:space="0" w:color="auto"/>
              <w:right w:val="single" w:sz="4" w:space="0" w:color="auto"/>
            </w:tcBorders>
            <w:hideMark/>
          </w:tcPr>
          <w:p w14:paraId="0A48B29A" w14:textId="77777777" w:rsidR="00AC6C85" w:rsidRPr="00AC6C85" w:rsidRDefault="00AC6C85" w:rsidP="00AC6C85">
            <w:pPr>
              <w:rPr>
                <w:rFonts w:cs="Times New Roman"/>
                <w:lang w:val="en-US" w:bidi="hi-IN"/>
              </w:rPr>
            </w:pPr>
            <w:r w:rsidRPr="00AC6C85">
              <w:rPr>
                <w:rFonts w:cs="Times New Roman"/>
                <w:lang w:val="en-US" w:bidi="hi-IN"/>
              </w:rPr>
              <w:t>EPS</w:t>
            </w:r>
          </w:p>
        </w:tc>
      </w:tr>
      <w:tr w:rsidR="00AC6C85" w:rsidRPr="00AC6C85" w14:paraId="4C4471A5" w14:textId="77777777" w:rsidTr="00AC6C85">
        <w:tc>
          <w:tcPr>
            <w:tcW w:w="2394" w:type="dxa"/>
            <w:tcBorders>
              <w:top w:val="single" w:sz="4" w:space="0" w:color="auto"/>
              <w:left w:val="single" w:sz="4" w:space="0" w:color="auto"/>
              <w:bottom w:val="single" w:sz="4" w:space="0" w:color="auto"/>
              <w:right w:val="single" w:sz="4" w:space="0" w:color="auto"/>
            </w:tcBorders>
            <w:hideMark/>
          </w:tcPr>
          <w:p w14:paraId="530FEED0" w14:textId="77777777" w:rsidR="00AC6C85" w:rsidRPr="00AC6C85" w:rsidRDefault="00AC6C85" w:rsidP="00AC6C85">
            <w:pPr>
              <w:rPr>
                <w:rFonts w:cs="Times New Roman"/>
                <w:lang w:val="en-US" w:bidi="hi-IN"/>
              </w:rPr>
            </w:pPr>
            <w:r w:rsidRPr="00AC6C85">
              <w:rPr>
                <w:rFonts w:cs="Times New Roman"/>
                <w:lang w:val="en-US" w:bidi="hi-IN"/>
              </w:rPr>
              <w:t>Oil India ltd.</w:t>
            </w:r>
          </w:p>
        </w:tc>
        <w:tc>
          <w:tcPr>
            <w:tcW w:w="2394" w:type="dxa"/>
            <w:tcBorders>
              <w:top w:val="single" w:sz="4" w:space="0" w:color="auto"/>
              <w:left w:val="single" w:sz="4" w:space="0" w:color="auto"/>
              <w:bottom w:val="single" w:sz="4" w:space="0" w:color="auto"/>
              <w:right w:val="single" w:sz="4" w:space="0" w:color="auto"/>
            </w:tcBorders>
            <w:hideMark/>
          </w:tcPr>
          <w:p w14:paraId="25497170" w14:textId="77777777" w:rsidR="00AC6C85" w:rsidRPr="00AC6C85" w:rsidRDefault="00AC6C85" w:rsidP="00AC6C85">
            <w:pPr>
              <w:rPr>
                <w:rFonts w:cs="Times New Roman"/>
                <w:lang w:val="en-US" w:bidi="hi-IN"/>
              </w:rPr>
            </w:pPr>
            <w:r w:rsidRPr="00AC6C85">
              <w:rPr>
                <w:rFonts w:cs="Times New Roman"/>
                <w:lang w:val="en-US" w:bidi="hi-IN"/>
              </w:rPr>
              <w:t>-0.773</w:t>
            </w:r>
          </w:p>
        </w:tc>
        <w:tc>
          <w:tcPr>
            <w:tcW w:w="2394" w:type="dxa"/>
            <w:tcBorders>
              <w:top w:val="single" w:sz="4" w:space="0" w:color="auto"/>
              <w:left w:val="single" w:sz="4" w:space="0" w:color="auto"/>
              <w:bottom w:val="single" w:sz="4" w:space="0" w:color="auto"/>
              <w:right w:val="single" w:sz="4" w:space="0" w:color="auto"/>
            </w:tcBorders>
            <w:hideMark/>
          </w:tcPr>
          <w:p w14:paraId="0D91A14B" w14:textId="77777777" w:rsidR="00AC6C85" w:rsidRPr="00AC6C85" w:rsidRDefault="00AC6C85" w:rsidP="00AC6C85">
            <w:pPr>
              <w:rPr>
                <w:rFonts w:cs="Times New Roman"/>
                <w:lang w:val="en-US" w:bidi="hi-IN"/>
              </w:rPr>
            </w:pPr>
            <w:r w:rsidRPr="00AC6C85">
              <w:rPr>
                <w:rFonts w:cs="Times New Roman"/>
                <w:lang w:val="en-US" w:bidi="hi-IN"/>
              </w:rPr>
              <w:t>0.755</w:t>
            </w:r>
          </w:p>
        </w:tc>
        <w:tc>
          <w:tcPr>
            <w:tcW w:w="2394" w:type="dxa"/>
            <w:tcBorders>
              <w:top w:val="single" w:sz="4" w:space="0" w:color="auto"/>
              <w:left w:val="single" w:sz="4" w:space="0" w:color="auto"/>
              <w:bottom w:val="single" w:sz="4" w:space="0" w:color="auto"/>
              <w:right w:val="single" w:sz="4" w:space="0" w:color="auto"/>
            </w:tcBorders>
            <w:hideMark/>
          </w:tcPr>
          <w:p w14:paraId="26E5784A" w14:textId="77777777" w:rsidR="00AC6C85" w:rsidRPr="00AC6C85" w:rsidRDefault="00AC6C85" w:rsidP="00AC6C85">
            <w:pPr>
              <w:rPr>
                <w:rFonts w:cs="Times New Roman"/>
                <w:lang w:val="en-US" w:bidi="hi-IN"/>
              </w:rPr>
            </w:pPr>
            <w:r w:rsidRPr="00AC6C85">
              <w:rPr>
                <w:rFonts w:cs="Times New Roman"/>
                <w:lang w:val="en-US" w:bidi="hi-IN"/>
              </w:rPr>
              <w:t>-0.833</w:t>
            </w:r>
          </w:p>
        </w:tc>
      </w:tr>
      <w:tr w:rsidR="00AC6C85" w:rsidRPr="00AC6C85" w14:paraId="07324EFC" w14:textId="77777777" w:rsidTr="00AC6C85">
        <w:tc>
          <w:tcPr>
            <w:tcW w:w="2394" w:type="dxa"/>
            <w:tcBorders>
              <w:top w:val="single" w:sz="4" w:space="0" w:color="auto"/>
              <w:left w:val="single" w:sz="4" w:space="0" w:color="auto"/>
              <w:bottom w:val="single" w:sz="4" w:space="0" w:color="auto"/>
              <w:right w:val="single" w:sz="4" w:space="0" w:color="auto"/>
            </w:tcBorders>
            <w:hideMark/>
          </w:tcPr>
          <w:p w14:paraId="78C89AB5" w14:textId="77777777" w:rsidR="00AC6C85" w:rsidRPr="00AC6C85" w:rsidRDefault="00AC6C85" w:rsidP="00AC6C85">
            <w:pPr>
              <w:rPr>
                <w:rFonts w:cs="Times New Roman"/>
                <w:lang w:val="en-US" w:bidi="hi-IN"/>
              </w:rPr>
            </w:pPr>
            <w:r w:rsidRPr="00AC6C85">
              <w:rPr>
                <w:rFonts w:cs="Times New Roman"/>
                <w:lang w:val="en-US" w:bidi="hi-IN"/>
              </w:rPr>
              <w:t>ONGC</w:t>
            </w:r>
          </w:p>
        </w:tc>
        <w:tc>
          <w:tcPr>
            <w:tcW w:w="2394" w:type="dxa"/>
            <w:tcBorders>
              <w:top w:val="single" w:sz="4" w:space="0" w:color="auto"/>
              <w:left w:val="single" w:sz="4" w:space="0" w:color="auto"/>
              <w:bottom w:val="single" w:sz="4" w:space="0" w:color="auto"/>
              <w:right w:val="single" w:sz="4" w:space="0" w:color="auto"/>
            </w:tcBorders>
            <w:hideMark/>
          </w:tcPr>
          <w:p w14:paraId="42E414CE" w14:textId="77777777" w:rsidR="00AC6C85" w:rsidRPr="00AC6C85" w:rsidRDefault="00AC6C85" w:rsidP="00AC6C85">
            <w:pPr>
              <w:rPr>
                <w:rFonts w:cs="Times New Roman"/>
                <w:lang w:val="en-US" w:bidi="hi-IN"/>
              </w:rPr>
            </w:pPr>
            <w:r w:rsidRPr="00AC6C85">
              <w:rPr>
                <w:rFonts w:cs="Times New Roman"/>
                <w:lang w:val="en-US" w:bidi="hi-IN"/>
              </w:rPr>
              <w:t>-0.492</w:t>
            </w:r>
          </w:p>
        </w:tc>
        <w:tc>
          <w:tcPr>
            <w:tcW w:w="2394" w:type="dxa"/>
            <w:tcBorders>
              <w:top w:val="single" w:sz="4" w:space="0" w:color="auto"/>
              <w:left w:val="single" w:sz="4" w:space="0" w:color="auto"/>
              <w:bottom w:val="single" w:sz="4" w:space="0" w:color="auto"/>
              <w:right w:val="single" w:sz="4" w:space="0" w:color="auto"/>
            </w:tcBorders>
            <w:hideMark/>
          </w:tcPr>
          <w:p w14:paraId="42FEF0D6" w14:textId="77777777" w:rsidR="00AC6C85" w:rsidRPr="00AC6C85" w:rsidRDefault="00AC6C85" w:rsidP="00AC6C85">
            <w:pPr>
              <w:rPr>
                <w:rFonts w:cs="Times New Roman"/>
                <w:lang w:val="en-US" w:bidi="hi-IN"/>
              </w:rPr>
            </w:pPr>
            <w:r w:rsidRPr="00AC6C85">
              <w:rPr>
                <w:rFonts w:cs="Times New Roman"/>
                <w:lang w:val="en-US" w:bidi="hi-IN"/>
              </w:rPr>
              <w:t>0.159</w:t>
            </w:r>
          </w:p>
        </w:tc>
        <w:tc>
          <w:tcPr>
            <w:tcW w:w="2394" w:type="dxa"/>
            <w:tcBorders>
              <w:top w:val="single" w:sz="4" w:space="0" w:color="auto"/>
              <w:left w:val="single" w:sz="4" w:space="0" w:color="auto"/>
              <w:bottom w:val="single" w:sz="4" w:space="0" w:color="auto"/>
              <w:right w:val="single" w:sz="4" w:space="0" w:color="auto"/>
            </w:tcBorders>
            <w:hideMark/>
          </w:tcPr>
          <w:p w14:paraId="496A1EF4" w14:textId="77777777" w:rsidR="00AC6C85" w:rsidRPr="00AC6C85" w:rsidRDefault="00AC6C85" w:rsidP="00AC6C85">
            <w:pPr>
              <w:rPr>
                <w:rFonts w:cs="Times New Roman"/>
                <w:lang w:val="en-US" w:bidi="hi-IN"/>
              </w:rPr>
            </w:pPr>
            <w:r w:rsidRPr="00AC6C85">
              <w:rPr>
                <w:rFonts w:cs="Times New Roman"/>
                <w:lang w:val="en-US" w:bidi="hi-IN"/>
              </w:rPr>
              <w:t>-0.996</w:t>
            </w:r>
          </w:p>
        </w:tc>
      </w:tr>
      <w:tr w:rsidR="00AC6C85" w:rsidRPr="00AC6C85" w14:paraId="40A790BF" w14:textId="77777777" w:rsidTr="00AC6C85">
        <w:tc>
          <w:tcPr>
            <w:tcW w:w="2394" w:type="dxa"/>
            <w:tcBorders>
              <w:top w:val="single" w:sz="4" w:space="0" w:color="auto"/>
              <w:left w:val="single" w:sz="4" w:space="0" w:color="auto"/>
              <w:bottom w:val="single" w:sz="4" w:space="0" w:color="auto"/>
              <w:right w:val="single" w:sz="4" w:space="0" w:color="auto"/>
            </w:tcBorders>
            <w:hideMark/>
          </w:tcPr>
          <w:p w14:paraId="300CD2F1" w14:textId="77777777" w:rsidR="00AC6C85" w:rsidRPr="00AC6C85" w:rsidRDefault="00AC6C85" w:rsidP="00AC6C85">
            <w:pPr>
              <w:rPr>
                <w:rFonts w:cs="Times New Roman"/>
                <w:lang w:val="en-US" w:bidi="hi-IN"/>
              </w:rPr>
            </w:pPr>
            <w:r w:rsidRPr="00AC6C85">
              <w:rPr>
                <w:rFonts w:cs="Times New Roman"/>
                <w:lang w:val="en-US" w:bidi="hi-IN"/>
              </w:rPr>
              <w:t>HPCL</w:t>
            </w:r>
          </w:p>
        </w:tc>
        <w:tc>
          <w:tcPr>
            <w:tcW w:w="2394" w:type="dxa"/>
            <w:tcBorders>
              <w:top w:val="single" w:sz="4" w:space="0" w:color="auto"/>
              <w:left w:val="single" w:sz="4" w:space="0" w:color="auto"/>
              <w:bottom w:val="single" w:sz="4" w:space="0" w:color="auto"/>
              <w:right w:val="single" w:sz="4" w:space="0" w:color="auto"/>
            </w:tcBorders>
            <w:hideMark/>
          </w:tcPr>
          <w:p w14:paraId="770546A2" w14:textId="77777777" w:rsidR="00AC6C85" w:rsidRPr="00AC6C85" w:rsidRDefault="00AC6C85" w:rsidP="00AC6C85">
            <w:pPr>
              <w:rPr>
                <w:rFonts w:cs="Times New Roman"/>
                <w:lang w:val="en-US" w:bidi="hi-IN"/>
              </w:rPr>
            </w:pPr>
            <w:r w:rsidRPr="00AC6C85">
              <w:rPr>
                <w:rFonts w:cs="Times New Roman"/>
                <w:lang w:val="en-US" w:bidi="hi-IN"/>
              </w:rPr>
              <w:t>0.591</w:t>
            </w:r>
          </w:p>
        </w:tc>
        <w:tc>
          <w:tcPr>
            <w:tcW w:w="2394" w:type="dxa"/>
            <w:tcBorders>
              <w:top w:val="single" w:sz="4" w:space="0" w:color="auto"/>
              <w:left w:val="single" w:sz="4" w:space="0" w:color="auto"/>
              <w:bottom w:val="single" w:sz="4" w:space="0" w:color="auto"/>
              <w:right w:val="single" w:sz="4" w:space="0" w:color="auto"/>
            </w:tcBorders>
            <w:hideMark/>
          </w:tcPr>
          <w:p w14:paraId="2073A1F3" w14:textId="77777777" w:rsidR="00AC6C85" w:rsidRPr="00AC6C85" w:rsidRDefault="00AC6C85" w:rsidP="00AC6C85">
            <w:pPr>
              <w:rPr>
                <w:rFonts w:cs="Times New Roman"/>
                <w:lang w:val="en-US" w:bidi="hi-IN"/>
              </w:rPr>
            </w:pPr>
            <w:r w:rsidRPr="00AC6C85">
              <w:rPr>
                <w:rFonts w:cs="Times New Roman"/>
                <w:lang w:val="en-US" w:bidi="hi-IN"/>
              </w:rPr>
              <w:t>0.628</w:t>
            </w:r>
          </w:p>
        </w:tc>
        <w:tc>
          <w:tcPr>
            <w:tcW w:w="2394" w:type="dxa"/>
            <w:tcBorders>
              <w:top w:val="single" w:sz="4" w:space="0" w:color="auto"/>
              <w:left w:val="single" w:sz="4" w:space="0" w:color="auto"/>
              <w:bottom w:val="single" w:sz="4" w:space="0" w:color="auto"/>
              <w:right w:val="single" w:sz="4" w:space="0" w:color="auto"/>
            </w:tcBorders>
            <w:hideMark/>
          </w:tcPr>
          <w:p w14:paraId="0F18ACBD" w14:textId="77777777" w:rsidR="00AC6C85" w:rsidRPr="00AC6C85" w:rsidRDefault="00AC6C85" w:rsidP="00AC6C85">
            <w:pPr>
              <w:rPr>
                <w:rFonts w:cs="Times New Roman"/>
                <w:lang w:val="en-US" w:bidi="hi-IN"/>
              </w:rPr>
            </w:pPr>
            <w:r w:rsidRPr="00AC6C85">
              <w:rPr>
                <w:rFonts w:cs="Times New Roman"/>
                <w:lang w:val="en-US" w:bidi="hi-IN"/>
              </w:rPr>
              <w:t>0.864</w:t>
            </w:r>
          </w:p>
        </w:tc>
      </w:tr>
      <w:tr w:rsidR="00AC6C85" w:rsidRPr="00AC6C85" w14:paraId="38B01A2A" w14:textId="77777777" w:rsidTr="00AC6C85">
        <w:tc>
          <w:tcPr>
            <w:tcW w:w="2394" w:type="dxa"/>
            <w:tcBorders>
              <w:top w:val="single" w:sz="4" w:space="0" w:color="auto"/>
              <w:left w:val="single" w:sz="4" w:space="0" w:color="auto"/>
              <w:bottom w:val="single" w:sz="4" w:space="0" w:color="auto"/>
              <w:right w:val="single" w:sz="4" w:space="0" w:color="auto"/>
            </w:tcBorders>
            <w:hideMark/>
          </w:tcPr>
          <w:p w14:paraId="7768D12A" w14:textId="77777777" w:rsidR="00AC6C85" w:rsidRPr="00AC6C85" w:rsidRDefault="00AC6C85" w:rsidP="00AC6C85">
            <w:pPr>
              <w:rPr>
                <w:rFonts w:cs="Times New Roman"/>
                <w:lang w:val="en-US" w:bidi="hi-IN"/>
              </w:rPr>
            </w:pPr>
            <w:r w:rsidRPr="00AC6C85">
              <w:rPr>
                <w:rFonts w:cs="Times New Roman"/>
                <w:lang w:val="en-US" w:bidi="hi-IN"/>
              </w:rPr>
              <w:t>IOCL</w:t>
            </w:r>
          </w:p>
        </w:tc>
        <w:tc>
          <w:tcPr>
            <w:tcW w:w="2394" w:type="dxa"/>
            <w:tcBorders>
              <w:top w:val="single" w:sz="4" w:space="0" w:color="auto"/>
              <w:left w:val="single" w:sz="4" w:space="0" w:color="auto"/>
              <w:bottom w:val="single" w:sz="4" w:space="0" w:color="auto"/>
              <w:right w:val="single" w:sz="4" w:space="0" w:color="auto"/>
            </w:tcBorders>
            <w:hideMark/>
          </w:tcPr>
          <w:p w14:paraId="0B2D3A0A" w14:textId="77777777" w:rsidR="00AC6C85" w:rsidRPr="00AC6C85" w:rsidRDefault="00AC6C85" w:rsidP="00AC6C85">
            <w:pPr>
              <w:rPr>
                <w:rFonts w:cs="Times New Roman"/>
                <w:lang w:val="en-US" w:bidi="hi-IN"/>
              </w:rPr>
            </w:pPr>
            <w:r w:rsidRPr="00AC6C85">
              <w:rPr>
                <w:rFonts w:cs="Times New Roman"/>
                <w:lang w:val="en-US" w:bidi="hi-IN"/>
              </w:rPr>
              <w:t>-0.393</w:t>
            </w:r>
          </w:p>
        </w:tc>
        <w:tc>
          <w:tcPr>
            <w:tcW w:w="2394" w:type="dxa"/>
            <w:tcBorders>
              <w:top w:val="single" w:sz="4" w:space="0" w:color="auto"/>
              <w:left w:val="single" w:sz="4" w:space="0" w:color="auto"/>
              <w:bottom w:val="single" w:sz="4" w:space="0" w:color="auto"/>
              <w:right w:val="single" w:sz="4" w:space="0" w:color="auto"/>
            </w:tcBorders>
            <w:hideMark/>
          </w:tcPr>
          <w:p w14:paraId="611835D2" w14:textId="77777777" w:rsidR="00AC6C85" w:rsidRPr="00AC6C85" w:rsidRDefault="00AC6C85" w:rsidP="00AC6C85">
            <w:pPr>
              <w:rPr>
                <w:rFonts w:cs="Times New Roman"/>
                <w:lang w:val="en-US" w:bidi="hi-IN"/>
              </w:rPr>
            </w:pPr>
            <w:r w:rsidRPr="00AC6C85">
              <w:rPr>
                <w:rFonts w:cs="Times New Roman"/>
                <w:lang w:val="en-US" w:bidi="hi-IN"/>
              </w:rPr>
              <w:t>0.273</w:t>
            </w:r>
          </w:p>
        </w:tc>
        <w:tc>
          <w:tcPr>
            <w:tcW w:w="2394" w:type="dxa"/>
            <w:tcBorders>
              <w:top w:val="single" w:sz="4" w:space="0" w:color="auto"/>
              <w:left w:val="single" w:sz="4" w:space="0" w:color="auto"/>
              <w:bottom w:val="single" w:sz="4" w:space="0" w:color="auto"/>
              <w:right w:val="single" w:sz="4" w:space="0" w:color="auto"/>
            </w:tcBorders>
            <w:hideMark/>
          </w:tcPr>
          <w:p w14:paraId="78D5AF39" w14:textId="77777777" w:rsidR="00AC6C85" w:rsidRPr="00AC6C85" w:rsidRDefault="00AC6C85" w:rsidP="00AC6C85">
            <w:pPr>
              <w:rPr>
                <w:rFonts w:cs="Times New Roman"/>
                <w:lang w:val="en-US" w:bidi="hi-IN"/>
              </w:rPr>
            </w:pPr>
            <w:r w:rsidRPr="00AC6C85">
              <w:rPr>
                <w:rFonts w:cs="Times New Roman"/>
                <w:lang w:val="en-US" w:bidi="hi-IN"/>
              </w:rPr>
              <w:t>0.264</w:t>
            </w:r>
          </w:p>
        </w:tc>
      </w:tr>
    </w:tbl>
    <w:p w14:paraId="56E88BDB" w14:textId="77777777" w:rsidR="00664FC5" w:rsidRDefault="00664FC5">
      <w:pPr>
        <w:rPr>
          <w:rFonts w:cs="Times New Roman"/>
        </w:rPr>
      </w:pPr>
    </w:p>
    <w:p w14:paraId="324A3F27" w14:textId="77777777" w:rsidR="00620477" w:rsidRDefault="003D7BE8" w:rsidP="00664FC5">
      <w:pPr>
        <w:pStyle w:val="Heading1"/>
      </w:pPr>
      <w:bookmarkStart w:id="29" w:name="_Toc36752009"/>
      <w:r>
        <w:t xml:space="preserve">12. </w:t>
      </w:r>
      <w:r w:rsidR="00037F74" w:rsidRPr="00664FC5">
        <w:t>Conclusio</w:t>
      </w:r>
      <w:r w:rsidR="00170D94">
        <w:t>n</w:t>
      </w:r>
      <w:bookmarkEnd w:id="29"/>
    </w:p>
    <w:p w14:paraId="656598E7" w14:textId="77777777" w:rsidR="004B707E" w:rsidRDefault="004B707E" w:rsidP="004B707E"/>
    <w:p w14:paraId="05A7B8AD" w14:textId="77777777" w:rsidR="004B707E" w:rsidRDefault="004B707E" w:rsidP="004B707E">
      <w:pPr>
        <w:spacing w:line="360" w:lineRule="auto"/>
        <w:jc w:val="both"/>
      </w:pPr>
      <w:r>
        <w:t>The central aim of this study is to assess the performance of the major oil and gas companies. This research has helped us to know the major importers and exporters of oil around the globe and the revenues from various petroleum products. The interest of this study came as result of recent trends in the industry. According to three years performance, all the companies has maintained a perfect balanced approach towards debt and equity. While maintain debt at reasonable level it has shown good returns to shareholders with an average of 13.2% compared to industry norm of 12.35%.</w:t>
      </w:r>
    </w:p>
    <w:p w14:paraId="0E6487C3" w14:textId="77777777" w:rsidR="004B707E" w:rsidRDefault="004B707E" w:rsidP="004B707E">
      <w:pPr>
        <w:spacing w:line="360" w:lineRule="auto"/>
        <w:jc w:val="both"/>
      </w:pPr>
      <w:r>
        <w:t>However, price risks, capital investment will be industry drivers in the coming decade so the companies should focus on effective cost control measures and maintain good customer services. Petroleum will remain integral part of modern life in terms of products beyond gasoline and other fuels, even if the world switches to an energy resource independent of petroleum.</w:t>
      </w:r>
    </w:p>
    <w:p w14:paraId="41B8FF2F" w14:textId="77777777" w:rsidR="004B707E" w:rsidRDefault="004B707E" w:rsidP="004B707E">
      <w:pPr>
        <w:spacing w:line="360" w:lineRule="auto"/>
        <w:jc w:val="both"/>
      </w:pPr>
      <w:r w:rsidRPr="00B17911">
        <w:rPr>
          <w:b/>
          <w:bCs/>
        </w:rPr>
        <w:t>Indian Oil Corporation Limited</w:t>
      </w:r>
      <w:r>
        <w:t>: The financial position of the company is growing as the ROE has remained in double-digit in the past 3 years. Also, the company have a diversified business across several verticals from multiple geographies which enables them in generating stable returns. Their debt-equity ratio has gone up and Interest coverage ratio has come down in FY</w:t>
      </w:r>
      <w:r w:rsidR="00280AEE">
        <w:t xml:space="preserve"> </w:t>
      </w:r>
      <w:r>
        <w:t>2</w:t>
      </w:r>
      <w:r w:rsidR="00280AEE">
        <w:t>01</w:t>
      </w:r>
      <w:r>
        <w:t>9 due to increase in debt, this increase was mainly on account of rise in dues from the government and as the oil refiner took more of foreign currency loans due to rupee-dollar volatility. The return on asset has also come down in FY</w:t>
      </w:r>
      <w:r w:rsidR="00280AEE">
        <w:t xml:space="preserve"> </w:t>
      </w:r>
      <w:r>
        <w:t>2019 due to high investment in upgradation of refineries for upgrading the technologies from BS IV to VI.</w:t>
      </w:r>
    </w:p>
    <w:p w14:paraId="71228284" w14:textId="77777777" w:rsidR="004B707E" w:rsidRDefault="004B707E" w:rsidP="004B707E">
      <w:pPr>
        <w:spacing w:line="360" w:lineRule="auto"/>
        <w:jc w:val="both"/>
      </w:pPr>
      <w:r w:rsidRPr="00B17911">
        <w:rPr>
          <w:b/>
          <w:bCs/>
        </w:rPr>
        <w:t>ESSAR</w:t>
      </w:r>
      <w:r>
        <w:t xml:space="preserve">: The financial position of the company is not so good as the ROE of the company has decreased this is because the company’s profit after tax has decreased drastically over the year. The company has transferred a portion of their income in general reserve causing the profits to go down. The Debt- Equity ratio has increased </w:t>
      </w:r>
      <w:r>
        <w:lastRenderedPageBreak/>
        <w:t>mainly because the company has issued non-convertible debentures which provides them with an opportunity to align their liability profile, resulting in a strong, efficient and agile capital structure. The ROA has decreased as the PAT of the company has decreased which is mainly on account of lower margin and higher forex fluctuation loss and also the company has an incidence of loss of coal from third party.</w:t>
      </w:r>
    </w:p>
    <w:p w14:paraId="53F5F6FE" w14:textId="77777777" w:rsidR="004B707E" w:rsidRDefault="004B707E" w:rsidP="004B707E">
      <w:pPr>
        <w:spacing w:line="360" w:lineRule="auto"/>
        <w:jc w:val="both"/>
      </w:pPr>
    </w:p>
    <w:p w14:paraId="1E113DA0" w14:textId="77777777" w:rsidR="004B707E" w:rsidRDefault="004B707E" w:rsidP="004B707E">
      <w:pPr>
        <w:spacing w:line="360" w:lineRule="auto"/>
        <w:jc w:val="both"/>
      </w:pPr>
      <w:r w:rsidRPr="00B17911">
        <w:rPr>
          <w:b/>
          <w:bCs/>
        </w:rPr>
        <w:t>ONGC</w:t>
      </w:r>
      <w:r>
        <w:t>: The financial position of the company is growing as the ROE has started increasing. The Debt- Equity ratio was zero in FY2017. Now in FY2018 and FY2019 debt has been taken which resulted in decreased Interest coverage ratio. The ROA of the company has gone up slightly because of increase in revenue. The company has successfully been able to manage its Net Profit ratio and it has remained more than 20% for the last three years.</w:t>
      </w:r>
    </w:p>
    <w:p w14:paraId="1675E451" w14:textId="77777777" w:rsidR="004B707E" w:rsidRDefault="004B707E" w:rsidP="004B707E">
      <w:pPr>
        <w:spacing w:line="360" w:lineRule="auto"/>
        <w:jc w:val="both"/>
      </w:pPr>
      <w:r w:rsidRPr="00B17911">
        <w:rPr>
          <w:b/>
          <w:bCs/>
        </w:rPr>
        <w:t>HPCL</w:t>
      </w:r>
      <w:r>
        <w:t xml:space="preserve">: The financial position of the company is growing as the ROE has remained in double- digits in the past three years. Also, the company have diversified business across several verticals from multiple geographies which enables them in generating stable returns. Their Debt- Equity ratio has gone up slightly and interest coverage ratio has come down in FY2019 due to increase in </w:t>
      </w:r>
      <w:proofErr w:type="gramStart"/>
      <w:r>
        <w:t>debt ,</w:t>
      </w:r>
      <w:proofErr w:type="gramEnd"/>
      <w:r>
        <w:t xml:space="preserve"> this increase was mainly on account of rise in dues from the government and as the oil refiner took more of foreign currency loan due to rupee -dollar volatility. The ROA has also come down in FY2019 due to up gradation in technologies.</w:t>
      </w:r>
    </w:p>
    <w:p w14:paraId="43C4ABF3" w14:textId="77777777" w:rsidR="004B707E" w:rsidRDefault="004B707E" w:rsidP="004B707E">
      <w:pPr>
        <w:spacing w:line="360" w:lineRule="auto"/>
        <w:jc w:val="both"/>
      </w:pPr>
      <w:r w:rsidRPr="00EC0417">
        <w:rPr>
          <w:b/>
          <w:bCs/>
        </w:rPr>
        <w:t>Oil India</w:t>
      </w:r>
      <w:r>
        <w:t>: The financial position of the company is satisfactory considering their Return on Equity ratio. They have reduced their long</w:t>
      </w:r>
      <w:r w:rsidR="00EC0417">
        <w:t>-</w:t>
      </w:r>
      <w:r>
        <w:t>term debt by paying off a proportion of it in the last three years, which has increased their Interest coverage ratio. The company also has a higher correlation of its major ratio vs the average market price showing these ratios have a direct impact on the market price of this share.</w:t>
      </w:r>
    </w:p>
    <w:p w14:paraId="6B056FC7" w14:textId="77777777" w:rsidR="00B17911" w:rsidRDefault="00B17911">
      <w:r>
        <w:br w:type="page"/>
      </w:r>
    </w:p>
    <w:p w14:paraId="4A9E11B7" w14:textId="77777777" w:rsidR="006564AA" w:rsidRDefault="00037F74" w:rsidP="00B17911">
      <w:pPr>
        <w:pStyle w:val="Heading1"/>
      </w:pPr>
      <w:bookmarkStart w:id="30" w:name="_Toc36752010"/>
      <w:r>
        <w:lastRenderedPageBreak/>
        <w:t>1</w:t>
      </w:r>
      <w:r w:rsidR="003D7BE8">
        <w:t>3</w:t>
      </w:r>
      <w:r>
        <w:t>. Annexures to the Report</w:t>
      </w:r>
      <w:bookmarkEnd w:id="30"/>
    </w:p>
    <w:p w14:paraId="2D1A6D07" w14:textId="77777777" w:rsidR="006564AA" w:rsidRDefault="00D5146F">
      <w:pPr>
        <w:pStyle w:val="Heading2"/>
        <w:rPr>
          <w:rFonts w:cs="Times New Roman"/>
        </w:rPr>
      </w:pPr>
      <w:bookmarkStart w:id="31" w:name="_Toc36752011"/>
      <w:r>
        <w:rPr>
          <w:rFonts w:cs="Times New Roman"/>
        </w:rPr>
        <w:t xml:space="preserve">13.1 </w:t>
      </w:r>
      <w:r w:rsidR="00037F74">
        <w:rPr>
          <w:rFonts w:cs="Times New Roman"/>
        </w:rPr>
        <w:t>Annexures I- Financials of all five significant competitors</w:t>
      </w:r>
      <w:bookmarkEnd w:id="31"/>
      <w:r w:rsidR="00037F74">
        <w:rPr>
          <w:rFonts w:cs="Times New Roman"/>
        </w:rPr>
        <w:t xml:space="preserve">  </w:t>
      </w:r>
    </w:p>
    <w:p w14:paraId="69D56D52" w14:textId="77777777" w:rsidR="006564AA" w:rsidRDefault="006564AA">
      <w:pPr>
        <w:rPr>
          <w:rFonts w:cs="Times New Roman"/>
        </w:rPr>
      </w:pPr>
    </w:p>
    <w:p w14:paraId="3BCFE371" w14:textId="77777777" w:rsidR="006564AA" w:rsidRDefault="00037F74">
      <w:pPr>
        <w:pStyle w:val="ListParagraph"/>
        <w:numPr>
          <w:ilvl w:val="0"/>
          <w:numId w:val="16"/>
        </w:numPr>
        <w:ind w:left="426" w:hanging="426"/>
        <w:rPr>
          <w:rFonts w:cs="Times New Roman"/>
          <w:b/>
          <w:bCs/>
          <w:color w:val="000000"/>
          <w:szCs w:val="24"/>
        </w:rPr>
      </w:pPr>
      <w:r>
        <w:rPr>
          <w:rFonts w:cs="Times New Roman"/>
          <w:b/>
          <w:bCs/>
          <w:szCs w:val="24"/>
        </w:rPr>
        <w:t xml:space="preserve">Oil India Ltd. </w:t>
      </w:r>
      <w:r>
        <w:rPr>
          <w:rFonts w:cs="Times New Roman"/>
          <w:b/>
          <w:bCs/>
          <w:color w:val="000000"/>
          <w:szCs w:val="24"/>
        </w:rPr>
        <w:t xml:space="preserve"> </w:t>
      </w:r>
    </w:p>
    <w:p w14:paraId="31553B2C" w14:textId="77777777" w:rsidR="006564AA" w:rsidRDefault="006564AA">
      <w:pPr>
        <w:rPr>
          <w:rFonts w:cs="Times New Roman"/>
          <w:szCs w:val="24"/>
        </w:rPr>
      </w:pPr>
    </w:p>
    <w:p w14:paraId="2DCBC7A6" w14:textId="77777777" w:rsidR="006564AA" w:rsidRDefault="00037F74">
      <w:pPr>
        <w:jc w:val="center"/>
        <w:rPr>
          <w:rFonts w:cs="Times New Roman"/>
          <w:b/>
          <w:bCs/>
          <w:szCs w:val="24"/>
        </w:rPr>
      </w:pPr>
      <w:r>
        <w:rPr>
          <w:rFonts w:cs="Times New Roman"/>
          <w:b/>
          <w:bCs/>
          <w:szCs w:val="24"/>
        </w:rPr>
        <w:t>Balance Sheet</w:t>
      </w:r>
    </w:p>
    <w:p w14:paraId="7DB6FBC6" w14:textId="77777777" w:rsidR="006564AA" w:rsidRDefault="00037F74">
      <w:pPr>
        <w:jc w:val="center"/>
        <w:rPr>
          <w:rFonts w:cs="Times New Roman"/>
          <w:b/>
          <w:bCs/>
          <w:szCs w:val="24"/>
        </w:rPr>
      </w:pPr>
      <w:r>
        <w:rPr>
          <w:rFonts w:eastAsia="Times New Roman" w:cs="Times New Roman"/>
          <w:b/>
          <w:bCs/>
          <w:color w:val="000000"/>
          <w:szCs w:val="24"/>
        </w:rPr>
        <w:t>Year ending March (in Rs. Crores)</w:t>
      </w:r>
    </w:p>
    <w:p w14:paraId="6FE5DE47" w14:textId="77777777" w:rsidR="006564AA" w:rsidRDefault="006564AA">
      <w:pPr>
        <w:pStyle w:val="ListParagraph"/>
        <w:ind w:left="426"/>
        <w:rPr>
          <w:rFonts w:cs="Times New Roman"/>
          <w:b/>
          <w:bCs/>
          <w:color w:val="000000"/>
          <w:szCs w:val="24"/>
        </w:rPr>
      </w:pPr>
    </w:p>
    <w:tbl>
      <w:tblPr>
        <w:tblW w:w="7912" w:type="dxa"/>
        <w:tblLook w:val="04A0" w:firstRow="1" w:lastRow="0" w:firstColumn="1" w:lastColumn="0" w:noHBand="0" w:noVBand="1"/>
      </w:tblPr>
      <w:tblGrid>
        <w:gridCol w:w="3967"/>
        <w:gridCol w:w="1315"/>
        <w:gridCol w:w="1315"/>
        <w:gridCol w:w="1315"/>
      </w:tblGrid>
      <w:tr w:rsidR="004B6245" w:rsidRPr="004B6245" w14:paraId="3FE4ED20" w14:textId="77777777" w:rsidTr="004B6245">
        <w:trPr>
          <w:trHeight w:val="339"/>
        </w:trPr>
        <w:tc>
          <w:tcPr>
            <w:tcW w:w="3967"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14:paraId="608D33AA"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Particulars</w:t>
            </w:r>
          </w:p>
        </w:tc>
        <w:tc>
          <w:tcPr>
            <w:tcW w:w="1315" w:type="dxa"/>
            <w:tcBorders>
              <w:top w:val="single" w:sz="8" w:space="0" w:color="auto"/>
              <w:left w:val="nil"/>
              <w:bottom w:val="single" w:sz="8" w:space="0" w:color="auto"/>
              <w:right w:val="single" w:sz="8" w:space="0" w:color="auto"/>
            </w:tcBorders>
            <w:shd w:val="clear" w:color="000000" w:fill="B6DDE8"/>
            <w:noWrap/>
            <w:vAlign w:val="center"/>
            <w:hideMark/>
          </w:tcPr>
          <w:p w14:paraId="2403F3ED"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FY17</w:t>
            </w:r>
          </w:p>
        </w:tc>
        <w:tc>
          <w:tcPr>
            <w:tcW w:w="1315" w:type="dxa"/>
            <w:tcBorders>
              <w:top w:val="single" w:sz="8" w:space="0" w:color="auto"/>
              <w:left w:val="nil"/>
              <w:bottom w:val="single" w:sz="8" w:space="0" w:color="auto"/>
              <w:right w:val="single" w:sz="8" w:space="0" w:color="auto"/>
            </w:tcBorders>
            <w:shd w:val="clear" w:color="000000" w:fill="B6DDE8"/>
            <w:noWrap/>
            <w:vAlign w:val="center"/>
            <w:hideMark/>
          </w:tcPr>
          <w:p w14:paraId="46B1858B"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FY18</w:t>
            </w:r>
          </w:p>
        </w:tc>
        <w:tc>
          <w:tcPr>
            <w:tcW w:w="1315" w:type="dxa"/>
            <w:tcBorders>
              <w:top w:val="single" w:sz="8" w:space="0" w:color="auto"/>
              <w:left w:val="nil"/>
              <w:bottom w:val="single" w:sz="8" w:space="0" w:color="auto"/>
              <w:right w:val="single" w:sz="8" w:space="0" w:color="auto"/>
            </w:tcBorders>
            <w:shd w:val="clear" w:color="000000" w:fill="B6DDE8"/>
            <w:noWrap/>
            <w:vAlign w:val="center"/>
            <w:hideMark/>
          </w:tcPr>
          <w:p w14:paraId="235CF30D"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FY19</w:t>
            </w:r>
          </w:p>
        </w:tc>
      </w:tr>
      <w:tr w:rsidR="004B6245" w:rsidRPr="004B6245" w14:paraId="05C0BE51"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4C69AF54"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Share capital</w:t>
            </w:r>
          </w:p>
        </w:tc>
        <w:tc>
          <w:tcPr>
            <w:tcW w:w="1315" w:type="dxa"/>
            <w:tcBorders>
              <w:top w:val="nil"/>
              <w:left w:val="nil"/>
              <w:bottom w:val="single" w:sz="8" w:space="0" w:color="auto"/>
              <w:right w:val="single" w:sz="8" w:space="0" w:color="auto"/>
            </w:tcBorders>
            <w:shd w:val="clear" w:color="000000" w:fill="FFFFFF"/>
            <w:noWrap/>
            <w:vAlign w:val="center"/>
            <w:hideMark/>
          </w:tcPr>
          <w:p w14:paraId="0D780708"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802</w:t>
            </w:r>
          </w:p>
        </w:tc>
        <w:tc>
          <w:tcPr>
            <w:tcW w:w="1315" w:type="dxa"/>
            <w:tcBorders>
              <w:top w:val="nil"/>
              <w:left w:val="nil"/>
              <w:bottom w:val="single" w:sz="8" w:space="0" w:color="auto"/>
              <w:right w:val="single" w:sz="8" w:space="0" w:color="auto"/>
            </w:tcBorders>
            <w:shd w:val="clear" w:color="000000" w:fill="FFFFFF"/>
            <w:noWrap/>
            <w:vAlign w:val="center"/>
            <w:hideMark/>
          </w:tcPr>
          <w:p w14:paraId="50B26565"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757</w:t>
            </w:r>
          </w:p>
        </w:tc>
        <w:tc>
          <w:tcPr>
            <w:tcW w:w="1315" w:type="dxa"/>
            <w:tcBorders>
              <w:top w:val="nil"/>
              <w:left w:val="nil"/>
              <w:bottom w:val="single" w:sz="8" w:space="0" w:color="auto"/>
              <w:right w:val="single" w:sz="8" w:space="0" w:color="auto"/>
            </w:tcBorders>
            <w:shd w:val="clear" w:color="000000" w:fill="FFFFFF"/>
            <w:noWrap/>
            <w:vAlign w:val="center"/>
            <w:hideMark/>
          </w:tcPr>
          <w:p w14:paraId="66E8A2F7"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1,084</w:t>
            </w:r>
          </w:p>
        </w:tc>
      </w:tr>
      <w:tr w:rsidR="004B6245" w:rsidRPr="004B6245" w14:paraId="02C4A4C1"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4E51E212"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Reserves</w:t>
            </w:r>
          </w:p>
        </w:tc>
        <w:tc>
          <w:tcPr>
            <w:tcW w:w="1315" w:type="dxa"/>
            <w:tcBorders>
              <w:top w:val="nil"/>
              <w:left w:val="nil"/>
              <w:bottom w:val="single" w:sz="8" w:space="0" w:color="auto"/>
              <w:right w:val="single" w:sz="8" w:space="0" w:color="auto"/>
            </w:tcBorders>
            <w:shd w:val="clear" w:color="000000" w:fill="FFFFFF"/>
            <w:noWrap/>
            <w:vAlign w:val="center"/>
            <w:hideMark/>
          </w:tcPr>
          <w:p w14:paraId="365AB2AB"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28,289</w:t>
            </w:r>
          </w:p>
        </w:tc>
        <w:tc>
          <w:tcPr>
            <w:tcW w:w="1315" w:type="dxa"/>
            <w:tcBorders>
              <w:top w:val="nil"/>
              <w:left w:val="nil"/>
              <w:bottom w:val="single" w:sz="8" w:space="0" w:color="auto"/>
              <w:right w:val="single" w:sz="8" w:space="0" w:color="auto"/>
            </w:tcBorders>
            <w:shd w:val="clear" w:color="000000" w:fill="FFFFFF"/>
            <w:noWrap/>
            <w:vAlign w:val="center"/>
            <w:hideMark/>
          </w:tcPr>
          <w:p w14:paraId="508513B3"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27,153</w:t>
            </w:r>
          </w:p>
        </w:tc>
        <w:tc>
          <w:tcPr>
            <w:tcW w:w="1315" w:type="dxa"/>
            <w:tcBorders>
              <w:top w:val="nil"/>
              <w:left w:val="nil"/>
              <w:bottom w:val="single" w:sz="8" w:space="0" w:color="auto"/>
              <w:right w:val="single" w:sz="8" w:space="0" w:color="auto"/>
            </w:tcBorders>
            <w:shd w:val="clear" w:color="000000" w:fill="FFFFFF"/>
            <w:noWrap/>
            <w:vAlign w:val="center"/>
            <w:hideMark/>
          </w:tcPr>
          <w:p w14:paraId="1C51A21B"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26,661</w:t>
            </w:r>
          </w:p>
        </w:tc>
      </w:tr>
      <w:tr w:rsidR="004B6245" w:rsidRPr="004B6245" w14:paraId="0A1C72B6"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4CF12367"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Total Shareholders’ Funds</w:t>
            </w:r>
          </w:p>
        </w:tc>
        <w:tc>
          <w:tcPr>
            <w:tcW w:w="1315" w:type="dxa"/>
            <w:tcBorders>
              <w:top w:val="nil"/>
              <w:left w:val="nil"/>
              <w:bottom w:val="single" w:sz="8" w:space="0" w:color="auto"/>
              <w:right w:val="single" w:sz="8" w:space="0" w:color="auto"/>
            </w:tcBorders>
            <w:shd w:val="clear" w:color="000000" w:fill="FFFFFF"/>
            <w:noWrap/>
            <w:vAlign w:val="center"/>
            <w:hideMark/>
          </w:tcPr>
          <w:p w14:paraId="59E81576"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29,090</w:t>
            </w:r>
          </w:p>
        </w:tc>
        <w:tc>
          <w:tcPr>
            <w:tcW w:w="1315" w:type="dxa"/>
            <w:tcBorders>
              <w:top w:val="nil"/>
              <w:left w:val="nil"/>
              <w:bottom w:val="single" w:sz="8" w:space="0" w:color="auto"/>
              <w:right w:val="single" w:sz="8" w:space="0" w:color="auto"/>
            </w:tcBorders>
            <w:shd w:val="clear" w:color="000000" w:fill="FFFFFF"/>
            <w:noWrap/>
            <w:vAlign w:val="center"/>
            <w:hideMark/>
          </w:tcPr>
          <w:p w14:paraId="378C480E"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27,909</w:t>
            </w:r>
          </w:p>
        </w:tc>
        <w:tc>
          <w:tcPr>
            <w:tcW w:w="1315" w:type="dxa"/>
            <w:tcBorders>
              <w:top w:val="nil"/>
              <w:left w:val="nil"/>
              <w:bottom w:val="single" w:sz="8" w:space="0" w:color="auto"/>
              <w:right w:val="single" w:sz="8" w:space="0" w:color="auto"/>
            </w:tcBorders>
            <w:shd w:val="clear" w:color="000000" w:fill="FFFFFF"/>
            <w:noWrap/>
            <w:vAlign w:val="center"/>
            <w:hideMark/>
          </w:tcPr>
          <w:p w14:paraId="1BB5020D"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27,745</w:t>
            </w:r>
          </w:p>
        </w:tc>
      </w:tr>
      <w:tr w:rsidR="004B6245" w:rsidRPr="004B6245" w14:paraId="42C2ED48"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00695643"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Total Debt</w:t>
            </w:r>
          </w:p>
        </w:tc>
        <w:tc>
          <w:tcPr>
            <w:tcW w:w="1315" w:type="dxa"/>
            <w:tcBorders>
              <w:top w:val="nil"/>
              <w:left w:val="nil"/>
              <w:bottom w:val="single" w:sz="8" w:space="0" w:color="auto"/>
              <w:right w:val="single" w:sz="8" w:space="0" w:color="auto"/>
            </w:tcBorders>
            <w:shd w:val="clear" w:color="000000" w:fill="FFFFFF"/>
            <w:noWrap/>
            <w:vAlign w:val="center"/>
            <w:hideMark/>
          </w:tcPr>
          <w:p w14:paraId="641EE6E9"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8,948</w:t>
            </w:r>
          </w:p>
        </w:tc>
        <w:tc>
          <w:tcPr>
            <w:tcW w:w="1315" w:type="dxa"/>
            <w:tcBorders>
              <w:top w:val="nil"/>
              <w:left w:val="nil"/>
              <w:bottom w:val="single" w:sz="8" w:space="0" w:color="auto"/>
              <w:right w:val="single" w:sz="8" w:space="0" w:color="auto"/>
            </w:tcBorders>
            <w:shd w:val="clear" w:color="000000" w:fill="FFFFFF"/>
            <w:noWrap/>
            <w:vAlign w:val="center"/>
            <w:hideMark/>
          </w:tcPr>
          <w:p w14:paraId="108D56AF"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7,529</w:t>
            </w:r>
          </w:p>
        </w:tc>
        <w:tc>
          <w:tcPr>
            <w:tcW w:w="1315" w:type="dxa"/>
            <w:tcBorders>
              <w:top w:val="nil"/>
              <w:left w:val="nil"/>
              <w:bottom w:val="single" w:sz="8" w:space="0" w:color="auto"/>
              <w:right w:val="single" w:sz="8" w:space="0" w:color="auto"/>
            </w:tcBorders>
            <w:shd w:val="clear" w:color="000000" w:fill="FFFFFF"/>
            <w:noWrap/>
            <w:vAlign w:val="center"/>
            <w:hideMark/>
          </w:tcPr>
          <w:p w14:paraId="194337DE"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7,267</w:t>
            </w:r>
          </w:p>
        </w:tc>
      </w:tr>
      <w:tr w:rsidR="004B6245" w:rsidRPr="004B6245" w14:paraId="26FA26EE"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4B15AE62"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Other Non-Current Liabilities</w:t>
            </w:r>
          </w:p>
        </w:tc>
        <w:tc>
          <w:tcPr>
            <w:tcW w:w="1315" w:type="dxa"/>
            <w:tcBorders>
              <w:top w:val="nil"/>
              <w:left w:val="nil"/>
              <w:bottom w:val="single" w:sz="8" w:space="0" w:color="auto"/>
              <w:right w:val="single" w:sz="8" w:space="0" w:color="auto"/>
            </w:tcBorders>
            <w:shd w:val="clear" w:color="000000" w:fill="FFFFFF"/>
            <w:noWrap/>
            <w:vAlign w:val="center"/>
            <w:hideMark/>
          </w:tcPr>
          <w:p w14:paraId="19CFCD88"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110</w:t>
            </w:r>
          </w:p>
        </w:tc>
        <w:tc>
          <w:tcPr>
            <w:tcW w:w="1315" w:type="dxa"/>
            <w:tcBorders>
              <w:top w:val="nil"/>
              <w:left w:val="nil"/>
              <w:bottom w:val="single" w:sz="8" w:space="0" w:color="auto"/>
              <w:right w:val="single" w:sz="8" w:space="0" w:color="auto"/>
            </w:tcBorders>
            <w:shd w:val="clear" w:color="000000" w:fill="FFFFFF"/>
            <w:noWrap/>
            <w:vAlign w:val="center"/>
            <w:hideMark/>
          </w:tcPr>
          <w:p w14:paraId="540C8B69"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164</w:t>
            </w:r>
          </w:p>
        </w:tc>
        <w:tc>
          <w:tcPr>
            <w:tcW w:w="1315" w:type="dxa"/>
            <w:tcBorders>
              <w:top w:val="nil"/>
              <w:left w:val="nil"/>
              <w:bottom w:val="single" w:sz="8" w:space="0" w:color="auto"/>
              <w:right w:val="single" w:sz="8" w:space="0" w:color="auto"/>
            </w:tcBorders>
            <w:shd w:val="clear" w:color="000000" w:fill="FFFFFF"/>
            <w:noWrap/>
            <w:vAlign w:val="center"/>
            <w:hideMark/>
          </w:tcPr>
          <w:p w14:paraId="004D0D0C"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148</w:t>
            </w:r>
          </w:p>
        </w:tc>
      </w:tr>
      <w:tr w:rsidR="004B6245" w:rsidRPr="004B6245" w14:paraId="0DF76B6B"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65B43A53"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Deferred Taxes</w:t>
            </w:r>
          </w:p>
        </w:tc>
        <w:tc>
          <w:tcPr>
            <w:tcW w:w="1315" w:type="dxa"/>
            <w:tcBorders>
              <w:top w:val="nil"/>
              <w:left w:val="nil"/>
              <w:bottom w:val="single" w:sz="8" w:space="0" w:color="auto"/>
              <w:right w:val="single" w:sz="8" w:space="0" w:color="auto"/>
            </w:tcBorders>
            <w:shd w:val="clear" w:color="000000" w:fill="FFFFFF"/>
            <w:noWrap/>
            <w:vAlign w:val="center"/>
            <w:hideMark/>
          </w:tcPr>
          <w:p w14:paraId="4E2E5D6A"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3,080</w:t>
            </w:r>
          </w:p>
        </w:tc>
        <w:tc>
          <w:tcPr>
            <w:tcW w:w="1315" w:type="dxa"/>
            <w:tcBorders>
              <w:top w:val="nil"/>
              <w:left w:val="nil"/>
              <w:bottom w:val="single" w:sz="8" w:space="0" w:color="auto"/>
              <w:right w:val="single" w:sz="8" w:space="0" w:color="auto"/>
            </w:tcBorders>
            <w:shd w:val="clear" w:color="000000" w:fill="FFFFFF"/>
            <w:noWrap/>
            <w:vAlign w:val="center"/>
            <w:hideMark/>
          </w:tcPr>
          <w:p w14:paraId="63C28E7C"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3,439</w:t>
            </w:r>
          </w:p>
        </w:tc>
        <w:tc>
          <w:tcPr>
            <w:tcW w:w="1315" w:type="dxa"/>
            <w:tcBorders>
              <w:top w:val="nil"/>
              <w:left w:val="nil"/>
              <w:bottom w:val="single" w:sz="8" w:space="0" w:color="auto"/>
              <w:right w:val="single" w:sz="8" w:space="0" w:color="auto"/>
            </w:tcBorders>
            <w:shd w:val="clear" w:color="000000" w:fill="FFFFFF"/>
            <w:noWrap/>
            <w:vAlign w:val="center"/>
            <w:hideMark/>
          </w:tcPr>
          <w:p w14:paraId="39E1293A"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3,413</w:t>
            </w:r>
          </w:p>
        </w:tc>
      </w:tr>
      <w:tr w:rsidR="004B6245" w:rsidRPr="004B6245" w14:paraId="4303FD53"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67E09713"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Total Liabilities</w:t>
            </w:r>
          </w:p>
        </w:tc>
        <w:tc>
          <w:tcPr>
            <w:tcW w:w="1315" w:type="dxa"/>
            <w:tcBorders>
              <w:top w:val="nil"/>
              <w:left w:val="nil"/>
              <w:bottom w:val="single" w:sz="8" w:space="0" w:color="auto"/>
              <w:right w:val="single" w:sz="8" w:space="0" w:color="auto"/>
            </w:tcBorders>
            <w:shd w:val="clear" w:color="000000" w:fill="FFFFFF"/>
            <w:noWrap/>
            <w:vAlign w:val="center"/>
            <w:hideMark/>
          </w:tcPr>
          <w:p w14:paraId="2E109E60"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41,228</w:t>
            </w:r>
          </w:p>
        </w:tc>
        <w:tc>
          <w:tcPr>
            <w:tcW w:w="1315" w:type="dxa"/>
            <w:tcBorders>
              <w:top w:val="nil"/>
              <w:left w:val="nil"/>
              <w:bottom w:val="single" w:sz="8" w:space="0" w:color="auto"/>
              <w:right w:val="single" w:sz="8" w:space="0" w:color="auto"/>
            </w:tcBorders>
            <w:shd w:val="clear" w:color="000000" w:fill="FFFFFF"/>
            <w:noWrap/>
            <w:vAlign w:val="center"/>
            <w:hideMark/>
          </w:tcPr>
          <w:p w14:paraId="4E98A6FC"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39,042</w:t>
            </w:r>
          </w:p>
        </w:tc>
        <w:tc>
          <w:tcPr>
            <w:tcW w:w="1315" w:type="dxa"/>
            <w:tcBorders>
              <w:top w:val="nil"/>
              <w:left w:val="nil"/>
              <w:bottom w:val="single" w:sz="8" w:space="0" w:color="auto"/>
              <w:right w:val="single" w:sz="8" w:space="0" w:color="auto"/>
            </w:tcBorders>
            <w:shd w:val="clear" w:color="000000" w:fill="FFFFFF"/>
            <w:noWrap/>
            <w:vAlign w:val="center"/>
            <w:hideMark/>
          </w:tcPr>
          <w:p w14:paraId="514AF0C8"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38,572</w:t>
            </w:r>
          </w:p>
        </w:tc>
      </w:tr>
      <w:tr w:rsidR="004B6245" w:rsidRPr="004B6245" w14:paraId="47A98009"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0B1A3CBC"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Full Non- Current Assets</w:t>
            </w:r>
          </w:p>
        </w:tc>
        <w:tc>
          <w:tcPr>
            <w:tcW w:w="1315" w:type="dxa"/>
            <w:tcBorders>
              <w:top w:val="nil"/>
              <w:left w:val="nil"/>
              <w:bottom w:val="single" w:sz="8" w:space="0" w:color="auto"/>
              <w:right w:val="single" w:sz="8" w:space="0" w:color="auto"/>
            </w:tcBorders>
            <w:shd w:val="clear" w:color="000000" w:fill="FFFFFF"/>
            <w:noWrap/>
            <w:vAlign w:val="center"/>
            <w:hideMark/>
          </w:tcPr>
          <w:p w14:paraId="0898BB23"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33,581</w:t>
            </w:r>
          </w:p>
        </w:tc>
        <w:tc>
          <w:tcPr>
            <w:tcW w:w="1315" w:type="dxa"/>
            <w:tcBorders>
              <w:top w:val="nil"/>
              <w:left w:val="nil"/>
              <w:bottom w:val="single" w:sz="8" w:space="0" w:color="auto"/>
              <w:right w:val="single" w:sz="8" w:space="0" w:color="auto"/>
            </w:tcBorders>
            <w:shd w:val="clear" w:color="000000" w:fill="FFFFFF"/>
            <w:noWrap/>
            <w:vAlign w:val="center"/>
            <w:hideMark/>
          </w:tcPr>
          <w:p w14:paraId="664FE216"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35,918</w:t>
            </w:r>
          </w:p>
        </w:tc>
        <w:tc>
          <w:tcPr>
            <w:tcW w:w="1315" w:type="dxa"/>
            <w:tcBorders>
              <w:top w:val="nil"/>
              <w:left w:val="nil"/>
              <w:bottom w:val="single" w:sz="8" w:space="0" w:color="auto"/>
              <w:right w:val="single" w:sz="8" w:space="0" w:color="auto"/>
            </w:tcBorders>
            <w:shd w:val="clear" w:color="000000" w:fill="FFFFFF"/>
            <w:noWrap/>
            <w:vAlign w:val="center"/>
            <w:hideMark/>
          </w:tcPr>
          <w:p w14:paraId="21A164EC"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36,092</w:t>
            </w:r>
          </w:p>
        </w:tc>
      </w:tr>
      <w:tr w:rsidR="004B6245" w:rsidRPr="004B6245" w14:paraId="5B3DA03E"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4CA1ABFD"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Total Current Assets</w:t>
            </w:r>
          </w:p>
        </w:tc>
        <w:tc>
          <w:tcPr>
            <w:tcW w:w="1315" w:type="dxa"/>
            <w:tcBorders>
              <w:top w:val="nil"/>
              <w:left w:val="nil"/>
              <w:bottom w:val="single" w:sz="8" w:space="0" w:color="auto"/>
              <w:right w:val="single" w:sz="8" w:space="0" w:color="auto"/>
            </w:tcBorders>
            <w:shd w:val="clear" w:color="000000" w:fill="FFFFFF"/>
            <w:noWrap/>
            <w:vAlign w:val="center"/>
            <w:hideMark/>
          </w:tcPr>
          <w:p w14:paraId="714FF721"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11,759</w:t>
            </w:r>
          </w:p>
        </w:tc>
        <w:tc>
          <w:tcPr>
            <w:tcW w:w="1315" w:type="dxa"/>
            <w:tcBorders>
              <w:top w:val="nil"/>
              <w:left w:val="nil"/>
              <w:bottom w:val="single" w:sz="8" w:space="0" w:color="auto"/>
              <w:right w:val="single" w:sz="8" w:space="0" w:color="auto"/>
            </w:tcBorders>
            <w:shd w:val="clear" w:color="000000" w:fill="FFFFFF"/>
            <w:noWrap/>
            <w:vAlign w:val="center"/>
            <w:hideMark/>
          </w:tcPr>
          <w:p w14:paraId="23C88E3F"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8,116</w:t>
            </w:r>
          </w:p>
        </w:tc>
        <w:tc>
          <w:tcPr>
            <w:tcW w:w="1315" w:type="dxa"/>
            <w:tcBorders>
              <w:top w:val="nil"/>
              <w:left w:val="nil"/>
              <w:bottom w:val="single" w:sz="8" w:space="0" w:color="auto"/>
              <w:right w:val="single" w:sz="8" w:space="0" w:color="auto"/>
            </w:tcBorders>
            <w:shd w:val="clear" w:color="000000" w:fill="FFFFFF"/>
            <w:noWrap/>
            <w:vAlign w:val="center"/>
            <w:hideMark/>
          </w:tcPr>
          <w:p w14:paraId="6005D808"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11,373</w:t>
            </w:r>
          </w:p>
        </w:tc>
      </w:tr>
      <w:tr w:rsidR="004B6245" w:rsidRPr="004B6245" w14:paraId="0638087F"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66395598"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Total Current Liabilities</w:t>
            </w:r>
          </w:p>
        </w:tc>
        <w:tc>
          <w:tcPr>
            <w:tcW w:w="1315" w:type="dxa"/>
            <w:tcBorders>
              <w:top w:val="nil"/>
              <w:left w:val="nil"/>
              <w:bottom w:val="single" w:sz="8" w:space="0" w:color="auto"/>
              <w:right w:val="single" w:sz="8" w:space="0" w:color="auto"/>
            </w:tcBorders>
            <w:shd w:val="clear" w:color="000000" w:fill="FFFFFF"/>
            <w:noWrap/>
            <w:vAlign w:val="center"/>
            <w:hideMark/>
          </w:tcPr>
          <w:p w14:paraId="409597B6"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3,305</w:t>
            </w:r>
          </w:p>
        </w:tc>
        <w:tc>
          <w:tcPr>
            <w:tcW w:w="1315" w:type="dxa"/>
            <w:tcBorders>
              <w:top w:val="nil"/>
              <w:left w:val="nil"/>
              <w:bottom w:val="single" w:sz="8" w:space="0" w:color="auto"/>
              <w:right w:val="single" w:sz="8" w:space="0" w:color="auto"/>
            </w:tcBorders>
            <w:shd w:val="clear" w:color="000000" w:fill="FFFFFF"/>
            <w:noWrap/>
            <w:vAlign w:val="center"/>
            <w:hideMark/>
          </w:tcPr>
          <w:p w14:paraId="45EA05BF"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4,376</w:t>
            </w:r>
          </w:p>
        </w:tc>
        <w:tc>
          <w:tcPr>
            <w:tcW w:w="1315" w:type="dxa"/>
            <w:tcBorders>
              <w:top w:val="nil"/>
              <w:left w:val="nil"/>
              <w:bottom w:val="single" w:sz="8" w:space="0" w:color="auto"/>
              <w:right w:val="single" w:sz="8" w:space="0" w:color="auto"/>
            </w:tcBorders>
            <w:shd w:val="clear" w:color="000000" w:fill="FFFFFF"/>
            <w:noWrap/>
            <w:vAlign w:val="center"/>
            <w:hideMark/>
          </w:tcPr>
          <w:p w14:paraId="3DEB480E"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8,133</w:t>
            </w:r>
          </w:p>
        </w:tc>
      </w:tr>
      <w:tr w:rsidR="004B6245" w:rsidRPr="004B6245" w14:paraId="3AE4A382" w14:textId="77777777" w:rsidTr="004B6245">
        <w:trPr>
          <w:trHeight w:val="339"/>
        </w:trPr>
        <w:tc>
          <w:tcPr>
            <w:tcW w:w="3967" w:type="dxa"/>
            <w:tcBorders>
              <w:top w:val="nil"/>
              <w:left w:val="single" w:sz="8" w:space="0" w:color="auto"/>
              <w:bottom w:val="single" w:sz="8" w:space="0" w:color="auto"/>
              <w:right w:val="single" w:sz="8" w:space="0" w:color="auto"/>
            </w:tcBorders>
            <w:shd w:val="clear" w:color="000000" w:fill="FFFFFF"/>
            <w:noWrap/>
            <w:vAlign w:val="center"/>
            <w:hideMark/>
          </w:tcPr>
          <w:p w14:paraId="2EAAA796"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Net Current Assets</w:t>
            </w:r>
          </w:p>
        </w:tc>
        <w:tc>
          <w:tcPr>
            <w:tcW w:w="1315" w:type="dxa"/>
            <w:tcBorders>
              <w:top w:val="nil"/>
              <w:left w:val="nil"/>
              <w:bottom w:val="single" w:sz="8" w:space="0" w:color="auto"/>
              <w:right w:val="single" w:sz="8" w:space="0" w:color="auto"/>
            </w:tcBorders>
            <w:shd w:val="clear" w:color="000000" w:fill="FFFFFF"/>
            <w:noWrap/>
            <w:vAlign w:val="center"/>
            <w:hideMark/>
          </w:tcPr>
          <w:p w14:paraId="63EBE8DA"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42,034</w:t>
            </w:r>
          </w:p>
        </w:tc>
        <w:tc>
          <w:tcPr>
            <w:tcW w:w="1315" w:type="dxa"/>
            <w:tcBorders>
              <w:top w:val="nil"/>
              <w:left w:val="nil"/>
              <w:bottom w:val="single" w:sz="8" w:space="0" w:color="auto"/>
              <w:right w:val="single" w:sz="8" w:space="0" w:color="auto"/>
            </w:tcBorders>
            <w:shd w:val="clear" w:color="000000" w:fill="FFFFFF"/>
            <w:noWrap/>
            <w:vAlign w:val="center"/>
            <w:hideMark/>
          </w:tcPr>
          <w:p w14:paraId="6C50D859"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39,658</w:t>
            </w:r>
          </w:p>
        </w:tc>
        <w:tc>
          <w:tcPr>
            <w:tcW w:w="1315" w:type="dxa"/>
            <w:tcBorders>
              <w:top w:val="nil"/>
              <w:left w:val="nil"/>
              <w:bottom w:val="single" w:sz="8" w:space="0" w:color="auto"/>
              <w:right w:val="single" w:sz="8" w:space="0" w:color="auto"/>
            </w:tcBorders>
            <w:shd w:val="clear" w:color="000000" w:fill="FFFFFF"/>
            <w:noWrap/>
            <w:vAlign w:val="center"/>
            <w:hideMark/>
          </w:tcPr>
          <w:p w14:paraId="7488B069"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39,332</w:t>
            </w:r>
          </w:p>
        </w:tc>
      </w:tr>
      <w:tr w:rsidR="004B6245" w:rsidRPr="004B6245" w14:paraId="369CDFCF" w14:textId="77777777" w:rsidTr="00280AEE">
        <w:trPr>
          <w:trHeight w:val="326"/>
        </w:trPr>
        <w:tc>
          <w:tcPr>
            <w:tcW w:w="3967" w:type="dxa"/>
            <w:tcBorders>
              <w:top w:val="nil"/>
              <w:left w:val="single" w:sz="8" w:space="0" w:color="auto"/>
              <w:bottom w:val="single" w:sz="4" w:space="0" w:color="auto"/>
              <w:right w:val="single" w:sz="8" w:space="0" w:color="auto"/>
            </w:tcBorders>
            <w:shd w:val="clear" w:color="000000" w:fill="FFFFFF"/>
            <w:noWrap/>
            <w:vAlign w:val="center"/>
            <w:hideMark/>
          </w:tcPr>
          <w:p w14:paraId="70617356"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Total Assets</w:t>
            </w:r>
          </w:p>
        </w:tc>
        <w:tc>
          <w:tcPr>
            <w:tcW w:w="1315" w:type="dxa"/>
            <w:tcBorders>
              <w:top w:val="nil"/>
              <w:left w:val="nil"/>
              <w:bottom w:val="single" w:sz="4" w:space="0" w:color="auto"/>
              <w:right w:val="single" w:sz="8" w:space="0" w:color="auto"/>
            </w:tcBorders>
            <w:shd w:val="clear" w:color="000000" w:fill="FFFFFF"/>
            <w:noWrap/>
            <w:vAlign w:val="center"/>
            <w:hideMark/>
          </w:tcPr>
          <w:p w14:paraId="6592A486"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41,228</w:t>
            </w:r>
          </w:p>
        </w:tc>
        <w:tc>
          <w:tcPr>
            <w:tcW w:w="1315" w:type="dxa"/>
            <w:tcBorders>
              <w:top w:val="nil"/>
              <w:left w:val="nil"/>
              <w:bottom w:val="single" w:sz="4" w:space="0" w:color="auto"/>
              <w:right w:val="single" w:sz="8" w:space="0" w:color="auto"/>
            </w:tcBorders>
            <w:shd w:val="clear" w:color="000000" w:fill="FFFFFF"/>
            <w:noWrap/>
            <w:vAlign w:val="center"/>
            <w:hideMark/>
          </w:tcPr>
          <w:p w14:paraId="45BE934D"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39,042</w:t>
            </w:r>
          </w:p>
        </w:tc>
        <w:tc>
          <w:tcPr>
            <w:tcW w:w="1315" w:type="dxa"/>
            <w:tcBorders>
              <w:top w:val="nil"/>
              <w:left w:val="nil"/>
              <w:bottom w:val="single" w:sz="4" w:space="0" w:color="auto"/>
              <w:right w:val="single" w:sz="8" w:space="0" w:color="auto"/>
            </w:tcBorders>
            <w:shd w:val="clear" w:color="000000" w:fill="FFFFFF"/>
            <w:noWrap/>
            <w:vAlign w:val="center"/>
            <w:hideMark/>
          </w:tcPr>
          <w:p w14:paraId="3B25DD05"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38,572</w:t>
            </w:r>
          </w:p>
        </w:tc>
      </w:tr>
    </w:tbl>
    <w:p w14:paraId="3B42DD9E" w14:textId="77777777" w:rsidR="006564AA" w:rsidRDefault="006564AA" w:rsidP="004B6245">
      <w:pPr>
        <w:rPr>
          <w:rFonts w:cs="Times New Roman"/>
          <w:b/>
          <w:bCs/>
          <w:szCs w:val="24"/>
        </w:rPr>
      </w:pPr>
    </w:p>
    <w:p w14:paraId="0F3CD2F0" w14:textId="77777777" w:rsidR="006564AA" w:rsidRDefault="006564AA">
      <w:pPr>
        <w:jc w:val="center"/>
        <w:rPr>
          <w:rFonts w:cs="Times New Roman"/>
          <w:b/>
          <w:bCs/>
          <w:szCs w:val="24"/>
        </w:rPr>
      </w:pPr>
    </w:p>
    <w:p w14:paraId="2B75012E" w14:textId="77777777" w:rsidR="006564AA" w:rsidRDefault="00037F74" w:rsidP="00C512ED">
      <w:pPr>
        <w:jc w:val="center"/>
        <w:rPr>
          <w:rFonts w:cs="Times New Roman"/>
          <w:b/>
          <w:bCs/>
          <w:szCs w:val="24"/>
        </w:rPr>
      </w:pPr>
      <w:r>
        <w:rPr>
          <w:rFonts w:cs="Times New Roman"/>
          <w:b/>
          <w:bCs/>
          <w:szCs w:val="24"/>
        </w:rPr>
        <w:t>Income Statement</w:t>
      </w:r>
    </w:p>
    <w:p w14:paraId="42BAF9D5" w14:textId="77777777" w:rsidR="006564AA" w:rsidRDefault="00037F74" w:rsidP="00C512ED">
      <w:pPr>
        <w:jc w:val="center"/>
        <w:rPr>
          <w:rFonts w:eastAsia="Times New Roman" w:cs="Times New Roman"/>
          <w:b/>
          <w:bCs/>
          <w:color w:val="000000"/>
          <w:szCs w:val="24"/>
        </w:rPr>
      </w:pPr>
      <w:r>
        <w:rPr>
          <w:rFonts w:eastAsia="Times New Roman" w:cs="Times New Roman"/>
          <w:b/>
          <w:bCs/>
          <w:color w:val="000000"/>
          <w:szCs w:val="24"/>
        </w:rPr>
        <w:t>Year ending March (in Rs Crores)</w:t>
      </w:r>
    </w:p>
    <w:tbl>
      <w:tblPr>
        <w:tblW w:w="8007" w:type="dxa"/>
        <w:tblLook w:val="04A0" w:firstRow="1" w:lastRow="0" w:firstColumn="1" w:lastColumn="0" w:noHBand="0" w:noVBand="1"/>
      </w:tblPr>
      <w:tblGrid>
        <w:gridCol w:w="2745"/>
        <w:gridCol w:w="1754"/>
        <w:gridCol w:w="1754"/>
        <w:gridCol w:w="1754"/>
      </w:tblGrid>
      <w:tr w:rsidR="004B6245" w:rsidRPr="004B6245" w14:paraId="4FE466A4" w14:textId="77777777" w:rsidTr="00325766">
        <w:trPr>
          <w:trHeight w:val="406"/>
        </w:trPr>
        <w:tc>
          <w:tcPr>
            <w:tcW w:w="2745"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14:paraId="1A0F3C18"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Particulars</w:t>
            </w:r>
          </w:p>
        </w:tc>
        <w:tc>
          <w:tcPr>
            <w:tcW w:w="1754" w:type="dxa"/>
            <w:tcBorders>
              <w:top w:val="single" w:sz="8" w:space="0" w:color="auto"/>
              <w:left w:val="nil"/>
              <w:bottom w:val="single" w:sz="8" w:space="0" w:color="auto"/>
              <w:right w:val="single" w:sz="8" w:space="0" w:color="auto"/>
            </w:tcBorders>
            <w:shd w:val="clear" w:color="000000" w:fill="B6DDE8"/>
            <w:noWrap/>
            <w:vAlign w:val="center"/>
            <w:hideMark/>
          </w:tcPr>
          <w:p w14:paraId="558124C8"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 xml:space="preserve">FY17 </w:t>
            </w:r>
          </w:p>
        </w:tc>
        <w:tc>
          <w:tcPr>
            <w:tcW w:w="1754" w:type="dxa"/>
            <w:tcBorders>
              <w:top w:val="single" w:sz="8" w:space="0" w:color="auto"/>
              <w:left w:val="nil"/>
              <w:bottom w:val="single" w:sz="8" w:space="0" w:color="auto"/>
              <w:right w:val="single" w:sz="8" w:space="0" w:color="auto"/>
            </w:tcBorders>
            <w:shd w:val="clear" w:color="000000" w:fill="B6DDE8"/>
            <w:noWrap/>
            <w:vAlign w:val="center"/>
            <w:hideMark/>
          </w:tcPr>
          <w:p w14:paraId="566CF21C"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FY18</w:t>
            </w:r>
          </w:p>
        </w:tc>
        <w:tc>
          <w:tcPr>
            <w:tcW w:w="1754" w:type="dxa"/>
            <w:tcBorders>
              <w:top w:val="single" w:sz="8" w:space="0" w:color="auto"/>
              <w:left w:val="nil"/>
              <w:bottom w:val="single" w:sz="8" w:space="0" w:color="auto"/>
              <w:right w:val="single" w:sz="8" w:space="0" w:color="auto"/>
            </w:tcBorders>
            <w:shd w:val="clear" w:color="000000" w:fill="B6DDE8"/>
            <w:noWrap/>
            <w:vAlign w:val="center"/>
            <w:hideMark/>
          </w:tcPr>
          <w:p w14:paraId="2C90F3C4"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FY19</w:t>
            </w:r>
          </w:p>
        </w:tc>
      </w:tr>
      <w:tr w:rsidR="004B6245" w:rsidRPr="004B6245" w14:paraId="1500D9C7"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08428383"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Net Revenues</w:t>
            </w:r>
          </w:p>
        </w:tc>
        <w:tc>
          <w:tcPr>
            <w:tcW w:w="1754" w:type="dxa"/>
            <w:tcBorders>
              <w:top w:val="nil"/>
              <w:left w:val="nil"/>
              <w:bottom w:val="single" w:sz="8" w:space="0" w:color="auto"/>
              <w:right w:val="single" w:sz="8" w:space="0" w:color="auto"/>
            </w:tcBorders>
            <w:shd w:val="clear" w:color="000000" w:fill="FFFFFF"/>
            <w:noWrap/>
            <w:vAlign w:val="center"/>
            <w:hideMark/>
          </w:tcPr>
          <w:p w14:paraId="7ABBFB93"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11,191</w:t>
            </w:r>
          </w:p>
        </w:tc>
        <w:tc>
          <w:tcPr>
            <w:tcW w:w="1754" w:type="dxa"/>
            <w:tcBorders>
              <w:top w:val="nil"/>
              <w:left w:val="nil"/>
              <w:bottom w:val="single" w:sz="8" w:space="0" w:color="auto"/>
              <w:right w:val="single" w:sz="8" w:space="0" w:color="auto"/>
            </w:tcBorders>
            <w:shd w:val="clear" w:color="000000" w:fill="FFFFFF"/>
            <w:noWrap/>
            <w:vAlign w:val="center"/>
            <w:hideMark/>
          </w:tcPr>
          <w:p w14:paraId="18AF1F14"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12,141</w:t>
            </w:r>
          </w:p>
        </w:tc>
        <w:tc>
          <w:tcPr>
            <w:tcW w:w="1754" w:type="dxa"/>
            <w:tcBorders>
              <w:top w:val="nil"/>
              <w:left w:val="nil"/>
              <w:bottom w:val="single" w:sz="8" w:space="0" w:color="auto"/>
              <w:right w:val="single" w:sz="8" w:space="0" w:color="auto"/>
            </w:tcBorders>
            <w:shd w:val="clear" w:color="000000" w:fill="FFFFFF"/>
            <w:noWrap/>
            <w:vAlign w:val="center"/>
            <w:hideMark/>
          </w:tcPr>
          <w:p w14:paraId="114812AB"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15,170</w:t>
            </w:r>
          </w:p>
        </w:tc>
      </w:tr>
      <w:tr w:rsidR="004B6245" w:rsidRPr="004B6245" w14:paraId="7C84236B"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5CAF6ED9"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Total Expenses</w:t>
            </w:r>
          </w:p>
        </w:tc>
        <w:tc>
          <w:tcPr>
            <w:tcW w:w="1754" w:type="dxa"/>
            <w:tcBorders>
              <w:top w:val="nil"/>
              <w:left w:val="nil"/>
              <w:bottom w:val="single" w:sz="8" w:space="0" w:color="auto"/>
              <w:right w:val="single" w:sz="8" w:space="0" w:color="auto"/>
            </w:tcBorders>
            <w:shd w:val="clear" w:color="000000" w:fill="FFFFFF"/>
            <w:noWrap/>
            <w:vAlign w:val="center"/>
            <w:hideMark/>
          </w:tcPr>
          <w:p w14:paraId="513C6694"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7,557</w:t>
            </w:r>
          </w:p>
        </w:tc>
        <w:tc>
          <w:tcPr>
            <w:tcW w:w="1754" w:type="dxa"/>
            <w:tcBorders>
              <w:top w:val="nil"/>
              <w:left w:val="nil"/>
              <w:bottom w:val="single" w:sz="8" w:space="0" w:color="auto"/>
              <w:right w:val="single" w:sz="8" w:space="0" w:color="auto"/>
            </w:tcBorders>
            <w:shd w:val="clear" w:color="000000" w:fill="FFFFFF"/>
            <w:noWrap/>
            <w:vAlign w:val="center"/>
            <w:hideMark/>
          </w:tcPr>
          <w:p w14:paraId="15381D40"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6,745</w:t>
            </w:r>
          </w:p>
        </w:tc>
        <w:tc>
          <w:tcPr>
            <w:tcW w:w="1754" w:type="dxa"/>
            <w:tcBorders>
              <w:top w:val="nil"/>
              <w:left w:val="nil"/>
              <w:bottom w:val="single" w:sz="8" w:space="0" w:color="auto"/>
              <w:right w:val="single" w:sz="8" w:space="0" w:color="auto"/>
            </w:tcBorders>
            <w:shd w:val="clear" w:color="000000" w:fill="FFFFFF"/>
            <w:noWrap/>
            <w:vAlign w:val="center"/>
            <w:hideMark/>
          </w:tcPr>
          <w:p w14:paraId="24C6DFCB"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9,278</w:t>
            </w:r>
          </w:p>
        </w:tc>
      </w:tr>
      <w:tr w:rsidR="004B6245" w:rsidRPr="004B6245" w14:paraId="63D2B892"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744FB44F"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EBITDA</w:t>
            </w:r>
          </w:p>
        </w:tc>
        <w:tc>
          <w:tcPr>
            <w:tcW w:w="1754" w:type="dxa"/>
            <w:tcBorders>
              <w:top w:val="nil"/>
              <w:left w:val="nil"/>
              <w:bottom w:val="single" w:sz="8" w:space="0" w:color="auto"/>
              <w:right w:val="single" w:sz="8" w:space="0" w:color="auto"/>
            </w:tcBorders>
            <w:shd w:val="clear" w:color="000000" w:fill="FFFFFF"/>
            <w:noWrap/>
            <w:vAlign w:val="center"/>
            <w:hideMark/>
          </w:tcPr>
          <w:p w14:paraId="30C51F08"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3,634</w:t>
            </w:r>
          </w:p>
        </w:tc>
        <w:tc>
          <w:tcPr>
            <w:tcW w:w="1754" w:type="dxa"/>
            <w:tcBorders>
              <w:top w:val="nil"/>
              <w:left w:val="nil"/>
              <w:bottom w:val="single" w:sz="8" w:space="0" w:color="auto"/>
              <w:right w:val="single" w:sz="8" w:space="0" w:color="auto"/>
            </w:tcBorders>
            <w:shd w:val="clear" w:color="000000" w:fill="FFFFFF"/>
            <w:noWrap/>
            <w:vAlign w:val="center"/>
            <w:hideMark/>
          </w:tcPr>
          <w:p w14:paraId="154431C7"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5,395</w:t>
            </w:r>
          </w:p>
        </w:tc>
        <w:tc>
          <w:tcPr>
            <w:tcW w:w="1754" w:type="dxa"/>
            <w:tcBorders>
              <w:top w:val="nil"/>
              <w:left w:val="nil"/>
              <w:bottom w:val="single" w:sz="8" w:space="0" w:color="auto"/>
              <w:right w:val="single" w:sz="8" w:space="0" w:color="auto"/>
            </w:tcBorders>
            <w:shd w:val="clear" w:color="000000" w:fill="FFFFFF"/>
            <w:noWrap/>
            <w:vAlign w:val="center"/>
            <w:hideMark/>
          </w:tcPr>
          <w:p w14:paraId="743657C9"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5,892</w:t>
            </w:r>
          </w:p>
        </w:tc>
      </w:tr>
      <w:tr w:rsidR="004B6245" w:rsidRPr="004B6245" w14:paraId="61C94F33"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25FFB14D"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Depreciation</w:t>
            </w:r>
          </w:p>
        </w:tc>
        <w:tc>
          <w:tcPr>
            <w:tcW w:w="1754" w:type="dxa"/>
            <w:tcBorders>
              <w:top w:val="nil"/>
              <w:left w:val="nil"/>
              <w:bottom w:val="single" w:sz="8" w:space="0" w:color="auto"/>
              <w:right w:val="single" w:sz="8" w:space="0" w:color="auto"/>
            </w:tcBorders>
            <w:shd w:val="clear" w:color="000000" w:fill="FFFFFF"/>
            <w:noWrap/>
            <w:vAlign w:val="center"/>
            <w:hideMark/>
          </w:tcPr>
          <w:p w14:paraId="5D419EE7"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1,091</w:t>
            </w:r>
          </w:p>
        </w:tc>
        <w:tc>
          <w:tcPr>
            <w:tcW w:w="1754" w:type="dxa"/>
            <w:tcBorders>
              <w:top w:val="nil"/>
              <w:left w:val="nil"/>
              <w:bottom w:val="single" w:sz="8" w:space="0" w:color="auto"/>
              <w:right w:val="single" w:sz="8" w:space="0" w:color="auto"/>
            </w:tcBorders>
            <w:shd w:val="clear" w:color="000000" w:fill="FFFFFF"/>
            <w:noWrap/>
            <w:vAlign w:val="center"/>
            <w:hideMark/>
          </w:tcPr>
          <w:p w14:paraId="3979EC25"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1,270</w:t>
            </w:r>
          </w:p>
        </w:tc>
        <w:tc>
          <w:tcPr>
            <w:tcW w:w="1754" w:type="dxa"/>
            <w:tcBorders>
              <w:top w:val="nil"/>
              <w:left w:val="nil"/>
              <w:bottom w:val="single" w:sz="8" w:space="0" w:color="auto"/>
              <w:right w:val="single" w:sz="8" w:space="0" w:color="auto"/>
            </w:tcBorders>
            <w:shd w:val="clear" w:color="000000" w:fill="FFFFFF"/>
            <w:noWrap/>
            <w:vAlign w:val="center"/>
            <w:hideMark/>
          </w:tcPr>
          <w:p w14:paraId="15651452"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1,496</w:t>
            </w:r>
          </w:p>
        </w:tc>
      </w:tr>
      <w:tr w:rsidR="004B6245" w:rsidRPr="004B6245" w14:paraId="6E9265DA"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02F04753"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EBIT</w:t>
            </w:r>
          </w:p>
        </w:tc>
        <w:tc>
          <w:tcPr>
            <w:tcW w:w="1754" w:type="dxa"/>
            <w:tcBorders>
              <w:top w:val="nil"/>
              <w:left w:val="nil"/>
              <w:bottom w:val="single" w:sz="8" w:space="0" w:color="auto"/>
              <w:right w:val="single" w:sz="8" w:space="0" w:color="auto"/>
            </w:tcBorders>
            <w:shd w:val="clear" w:color="000000" w:fill="FFFFFF"/>
            <w:noWrap/>
            <w:vAlign w:val="center"/>
            <w:hideMark/>
          </w:tcPr>
          <w:p w14:paraId="56ECEEED"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2,543</w:t>
            </w:r>
          </w:p>
        </w:tc>
        <w:tc>
          <w:tcPr>
            <w:tcW w:w="1754" w:type="dxa"/>
            <w:tcBorders>
              <w:top w:val="nil"/>
              <w:left w:val="nil"/>
              <w:bottom w:val="single" w:sz="8" w:space="0" w:color="auto"/>
              <w:right w:val="single" w:sz="8" w:space="0" w:color="auto"/>
            </w:tcBorders>
            <w:shd w:val="clear" w:color="000000" w:fill="FFFFFF"/>
            <w:noWrap/>
            <w:vAlign w:val="center"/>
            <w:hideMark/>
          </w:tcPr>
          <w:p w14:paraId="5A96E7A5"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4,125</w:t>
            </w:r>
          </w:p>
        </w:tc>
        <w:tc>
          <w:tcPr>
            <w:tcW w:w="1754" w:type="dxa"/>
            <w:tcBorders>
              <w:top w:val="nil"/>
              <w:left w:val="nil"/>
              <w:bottom w:val="single" w:sz="8" w:space="0" w:color="auto"/>
              <w:right w:val="single" w:sz="8" w:space="0" w:color="auto"/>
            </w:tcBorders>
            <w:shd w:val="clear" w:color="000000" w:fill="FFFFFF"/>
            <w:noWrap/>
            <w:vAlign w:val="center"/>
            <w:hideMark/>
          </w:tcPr>
          <w:p w14:paraId="6A4184D9"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4,396</w:t>
            </w:r>
          </w:p>
        </w:tc>
      </w:tr>
      <w:tr w:rsidR="004B6245" w:rsidRPr="004B6245" w14:paraId="7B0702C6"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015A410E"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Interest</w:t>
            </w:r>
          </w:p>
        </w:tc>
        <w:tc>
          <w:tcPr>
            <w:tcW w:w="1754" w:type="dxa"/>
            <w:tcBorders>
              <w:top w:val="nil"/>
              <w:left w:val="nil"/>
              <w:bottom w:val="single" w:sz="8" w:space="0" w:color="auto"/>
              <w:right w:val="single" w:sz="8" w:space="0" w:color="auto"/>
            </w:tcBorders>
            <w:shd w:val="clear" w:color="000000" w:fill="FFFFFF"/>
            <w:noWrap/>
            <w:vAlign w:val="center"/>
            <w:hideMark/>
          </w:tcPr>
          <w:p w14:paraId="7E7E5614"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397</w:t>
            </w:r>
          </w:p>
        </w:tc>
        <w:tc>
          <w:tcPr>
            <w:tcW w:w="1754" w:type="dxa"/>
            <w:tcBorders>
              <w:top w:val="nil"/>
              <w:left w:val="nil"/>
              <w:bottom w:val="single" w:sz="8" w:space="0" w:color="auto"/>
              <w:right w:val="single" w:sz="8" w:space="0" w:color="auto"/>
            </w:tcBorders>
            <w:shd w:val="clear" w:color="000000" w:fill="FFFFFF"/>
            <w:noWrap/>
            <w:vAlign w:val="center"/>
            <w:hideMark/>
          </w:tcPr>
          <w:p w14:paraId="4FB92C9C"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416</w:t>
            </w:r>
          </w:p>
        </w:tc>
        <w:tc>
          <w:tcPr>
            <w:tcW w:w="1754" w:type="dxa"/>
            <w:tcBorders>
              <w:top w:val="nil"/>
              <w:left w:val="nil"/>
              <w:bottom w:val="single" w:sz="8" w:space="0" w:color="auto"/>
              <w:right w:val="single" w:sz="8" w:space="0" w:color="auto"/>
            </w:tcBorders>
            <w:shd w:val="clear" w:color="000000" w:fill="FFFFFF"/>
            <w:noWrap/>
            <w:vAlign w:val="center"/>
            <w:hideMark/>
          </w:tcPr>
          <w:p w14:paraId="0DF13EE8"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479</w:t>
            </w:r>
          </w:p>
        </w:tc>
      </w:tr>
      <w:tr w:rsidR="004B6245" w:rsidRPr="004B6245" w14:paraId="171B2C8B"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5702647C"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PBT</w:t>
            </w:r>
          </w:p>
        </w:tc>
        <w:tc>
          <w:tcPr>
            <w:tcW w:w="1754" w:type="dxa"/>
            <w:tcBorders>
              <w:top w:val="nil"/>
              <w:left w:val="nil"/>
              <w:bottom w:val="single" w:sz="8" w:space="0" w:color="auto"/>
              <w:right w:val="single" w:sz="8" w:space="0" w:color="auto"/>
            </w:tcBorders>
            <w:shd w:val="clear" w:color="000000" w:fill="FFFFFF"/>
            <w:noWrap/>
            <w:vAlign w:val="center"/>
            <w:hideMark/>
          </w:tcPr>
          <w:p w14:paraId="11D5BAF2"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2,146</w:t>
            </w:r>
          </w:p>
        </w:tc>
        <w:tc>
          <w:tcPr>
            <w:tcW w:w="1754" w:type="dxa"/>
            <w:tcBorders>
              <w:top w:val="nil"/>
              <w:left w:val="nil"/>
              <w:bottom w:val="single" w:sz="8" w:space="0" w:color="auto"/>
              <w:right w:val="single" w:sz="8" w:space="0" w:color="auto"/>
            </w:tcBorders>
            <w:shd w:val="clear" w:color="000000" w:fill="FFFFFF"/>
            <w:noWrap/>
            <w:vAlign w:val="center"/>
            <w:hideMark/>
          </w:tcPr>
          <w:p w14:paraId="4F719DD8"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3,710</w:t>
            </w:r>
          </w:p>
        </w:tc>
        <w:tc>
          <w:tcPr>
            <w:tcW w:w="1754" w:type="dxa"/>
            <w:tcBorders>
              <w:top w:val="nil"/>
              <w:left w:val="nil"/>
              <w:bottom w:val="single" w:sz="8" w:space="0" w:color="auto"/>
              <w:right w:val="single" w:sz="8" w:space="0" w:color="auto"/>
            </w:tcBorders>
            <w:shd w:val="clear" w:color="000000" w:fill="FFFFFF"/>
            <w:noWrap/>
            <w:vAlign w:val="center"/>
            <w:hideMark/>
          </w:tcPr>
          <w:p w14:paraId="54C14FB1"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3,916</w:t>
            </w:r>
          </w:p>
        </w:tc>
      </w:tr>
      <w:tr w:rsidR="004B6245" w:rsidRPr="004B6245" w14:paraId="2960967D"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088891EA" w14:textId="77777777" w:rsidR="004B6245" w:rsidRPr="004B6245" w:rsidRDefault="004B6245" w:rsidP="004B6245">
            <w:pPr>
              <w:rPr>
                <w:rFonts w:eastAsia="Times New Roman" w:cs="Times New Roman"/>
                <w:color w:val="000000"/>
                <w:szCs w:val="24"/>
                <w:lang w:eastAsia="en-IN" w:bidi="ar-SA"/>
              </w:rPr>
            </w:pPr>
            <w:r w:rsidRPr="004B6245">
              <w:rPr>
                <w:rFonts w:eastAsia="Times New Roman" w:cs="Times New Roman"/>
                <w:color w:val="000000"/>
                <w:szCs w:val="24"/>
                <w:lang w:eastAsia="en-IN" w:bidi="ar-SA"/>
              </w:rPr>
              <w:t>Tax</w:t>
            </w:r>
          </w:p>
        </w:tc>
        <w:tc>
          <w:tcPr>
            <w:tcW w:w="1754" w:type="dxa"/>
            <w:tcBorders>
              <w:top w:val="nil"/>
              <w:left w:val="nil"/>
              <w:bottom w:val="single" w:sz="8" w:space="0" w:color="auto"/>
              <w:right w:val="single" w:sz="8" w:space="0" w:color="auto"/>
            </w:tcBorders>
            <w:shd w:val="clear" w:color="000000" w:fill="FFFFFF"/>
            <w:noWrap/>
            <w:vAlign w:val="center"/>
            <w:hideMark/>
          </w:tcPr>
          <w:p w14:paraId="7A526112"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598</w:t>
            </w:r>
          </w:p>
        </w:tc>
        <w:tc>
          <w:tcPr>
            <w:tcW w:w="1754" w:type="dxa"/>
            <w:tcBorders>
              <w:top w:val="nil"/>
              <w:left w:val="nil"/>
              <w:bottom w:val="single" w:sz="8" w:space="0" w:color="auto"/>
              <w:right w:val="single" w:sz="8" w:space="0" w:color="auto"/>
            </w:tcBorders>
            <w:shd w:val="clear" w:color="000000" w:fill="FFFFFF"/>
            <w:noWrap/>
            <w:vAlign w:val="center"/>
            <w:hideMark/>
          </w:tcPr>
          <w:p w14:paraId="4562F00B"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1,042</w:t>
            </w:r>
          </w:p>
        </w:tc>
        <w:tc>
          <w:tcPr>
            <w:tcW w:w="1754" w:type="dxa"/>
            <w:tcBorders>
              <w:top w:val="nil"/>
              <w:left w:val="nil"/>
              <w:bottom w:val="single" w:sz="8" w:space="0" w:color="auto"/>
              <w:right w:val="single" w:sz="8" w:space="0" w:color="auto"/>
            </w:tcBorders>
            <w:shd w:val="clear" w:color="000000" w:fill="FFFFFF"/>
            <w:noWrap/>
            <w:vAlign w:val="center"/>
            <w:hideMark/>
          </w:tcPr>
          <w:p w14:paraId="7F9F9D40" w14:textId="77777777" w:rsidR="004B6245" w:rsidRPr="004B6245" w:rsidRDefault="004B6245" w:rsidP="004B6245">
            <w:pPr>
              <w:jc w:val="right"/>
              <w:rPr>
                <w:rFonts w:eastAsia="Times New Roman" w:cs="Times New Roman"/>
                <w:color w:val="000000"/>
                <w:szCs w:val="24"/>
                <w:lang w:eastAsia="en-IN" w:bidi="ar-SA"/>
              </w:rPr>
            </w:pPr>
            <w:r w:rsidRPr="004B6245">
              <w:rPr>
                <w:rFonts w:eastAsia="Times New Roman" w:cs="Times New Roman"/>
                <w:color w:val="000000"/>
                <w:szCs w:val="24"/>
                <w:lang w:eastAsia="en-IN" w:bidi="ar-SA"/>
              </w:rPr>
              <w:t>1,326</w:t>
            </w:r>
          </w:p>
        </w:tc>
      </w:tr>
      <w:tr w:rsidR="004B6245" w:rsidRPr="004B6245" w14:paraId="712B7081" w14:textId="77777777" w:rsidTr="00325766">
        <w:trPr>
          <w:trHeight w:val="406"/>
        </w:trPr>
        <w:tc>
          <w:tcPr>
            <w:tcW w:w="2745" w:type="dxa"/>
            <w:tcBorders>
              <w:top w:val="nil"/>
              <w:left w:val="single" w:sz="8" w:space="0" w:color="auto"/>
              <w:bottom w:val="single" w:sz="8" w:space="0" w:color="auto"/>
              <w:right w:val="single" w:sz="8" w:space="0" w:color="auto"/>
            </w:tcBorders>
            <w:shd w:val="clear" w:color="000000" w:fill="FFFFFF"/>
            <w:noWrap/>
            <w:vAlign w:val="center"/>
            <w:hideMark/>
          </w:tcPr>
          <w:p w14:paraId="797A0529" w14:textId="77777777" w:rsidR="004B6245" w:rsidRPr="004B6245" w:rsidRDefault="004B6245" w:rsidP="004B6245">
            <w:pPr>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PAT</w:t>
            </w:r>
          </w:p>
        </w:tc>
        <w:tc>
          <w:tcPr>
            <w:tcW w:w="1754" w:type="dxa"/>
            <w:tcBorders>
              <w:top w:val="nil"/>
              <w:left w:val="nil"/>
              <w:bottom w:val="single" w:sz="8" w:space="0" w:color="auto"/>
              <w:right w:val="single" w:sz="8" w:space="0" w:color="auto"/>
            </w:tcBorders>
            <w:shd w:val="clear" w:color="000000" w:fill="FFFFFF"/>
            <w:noWrap/>
            <w:vAlign w:val="center"/>
            <w:hideMark/>
          </w:tcPr>
          <w:p w14:paraId="5924E83C"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1,549</w:t>
            </w:r>
          </w:p>
        </w:tc>
        <w:tc>
          <w:tcPr>
            <w:tcW w:w="1754" w:type="dxa"/>
            <w:tcBorders>
              <w:top w:val="nil"/>
              <w:left w:val="nil"/>
              <w:bottom w:val="single" w:sz="8" w:space="0" w:color="auto"/>
              <w:right w:val="single" w:sz="8" w:space="0" w:color="auto"/>
            </w:tcBorders>
            <w:shd w:val="clear" w:color="000000" w:fill="FFFFFF"/>
            <w:noWrap/>
            <w:vAlign w:val="center"/>
            <w:hideMark/>
          </w:tcPr>
          <w:p w14:paraId="77EE26D3"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2,668</w:t>
            </w:r>
          </w:p>
        </w:tc>
        <w:tc>
          <w:tcPr>
            <w:tcW w:w="1754" w:type="dxa"/>
            <w:tcBorders>
              <w:top w:val="nil"/>
              <w:left w:val="nil"/>
              <w:bottom w:val="single" w:sz="8" w:space="0" w:color="auto"/>
              <w:right w:val="single" w:sz="8" w:space="0" w:color="auto"/>
            </w:tcBorders>
            <w:shd w:val="clear" w:color="000000" w:fill="FFFFFF"/>
            <w:noWrap/>
            <w:vAlign w:val="center"/>
            <w:hideMark/>
          </w:tcPr>
          <w:p w14:paraId="0654757A" w14:textId="77777777" w:rsidR="004B6245" w:rsidRPr="004B6245" w:rsidRDefault="004B6245" w:rsidP="004B6245">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2,590</w:t>
            </w:r>
          </w:p>
        </w:tc>
      </w:tr>
    </w:tbl>
    <w:p w14:paraId="2A8804FE" w14:textId="77777777" w:rsidR="006564AA" w:rsidRDefault="006564AA">
      <w:pPr>
        <w:rPr>
          <w:rFonts w:cs="Times New Roman"/>
          <w:b/>
          <w:bCs/>
          <w:color w:val="000000"/>
          <w:szCs w:val="24"/>
        </w:rPr>
      </w:pPr>
    </w:p>
    <w:p w14:paraId="3F344F21" w14:textId="77777777" w:rsidR="004B6245" w:rsidRDefault="004B6245">
      <w:pPr>
        <w:rPr>
          <w:rFonts w:cs="Times New Roman"/>
          <w:b/>
          <w:bCs/>
          <w:color w:val="000000"/>
          <w:szCs w:val="24"/>
        </w:rPr>
      </w:pPr>
    </w:p>
    <w:p w14:paraId="54CC6A12" w14:textId="77777777" w:rsidR="004B6245" w:rsidRDefault="004B6245">
      <w:pPr>
        <w:rPr>
          <w:rFonts w:cs="Times New Roman"/>
          <w:b/>
          <w:bCs/>
          <w:color w:val="000000"/>
          <w:szCs w:val="24"/>
        </w:rPr>
      </w:pPr>
    </w:p>
    <w:p w14:paraId="410E2083" w14:textId="77777777" w:rsidR="004B6245" w:rsidRDefault="004B6245">
      <w:pPr>
        <w:rPr>
          <w:rFonts w:cs="Times New Roman"/>
          <w:b/>
          <w:bCs/>
          <w:color w:val="000000"/>
          <w:szCs w:val="24"/>
        </w:rPr>
      </w:pPr>
    </w:p>
    <w:p w14:paraId="5602119D" w14:textId="77777777" w:rsidR="004B6245" w:rsidRDefault="004B6245">
      <w:pPr>
        <w:rPr>
          <w:rFonts w:cs="Times New Roman"/>
          <w:b/>
          <w:bCs/>
          <w:color w:val="000000"/>
          <w:szCs w:val="24"/>
        </w:rPr>
      </w:pPr>
    </w:p>
    <w:p w14:paraId="286A8D94" w14:textId="77777777" w:rsidR="002E452F" w:rsidRPr="002E452F" w:rsidRDefault="00037F74" w:rsidP="002E452F">
      <w:pPr>
        <w:pStyle w:val="ListParagraph"/>
        <w:numPr>
          <w:ilvl w:val="0"/>
          <w:numId w:val="16"/>
        </w:numPr>
        <w:spacing w:line="360" w:lineRule="auto"/>
        <w:rPr>
          <w:rFonts w:cs="Times New Roman"/>
          <w:b/>
          <w:bCs/>
          <w:color w:val="000000"/>
          <w:szCs w:val="24"/>
        </w:rPr>
      </w:pPr>
      <w:r w:rsidRPr="002E452F">
        <w:rPr>
          <w:rFonts w:cs="Times New Roman"/>
          <w:b/>
          <w:bCs/>
          <w:color w:val="000000"/>
          <w:szCs w:val="24"/>
        </w:rPr>
        <w:lastRenderedPageBreak/>
        <w:t>Essar oil ltd.</w:t>
      </w:r>
      <w:r w:rsidR="00F34861" w:rsidRPr="002E452F">
        <w:rPr>
          <w:rFonts w:cs="Times New Roman"/>
          <w:b/>
          <w:bCs/>
          <w:color w:val="000000"/>
          <w:szCs w:val="24"/>
        </w:rPr>
        <w:t xml:space="preserve"> </w:t>
      </w:r>
    </w:p>
    <w:p w14:paraId="1AC61C91" w14:textId="77777777" w:rsidR="006564AA" w:rsidRPr="002E452F" w:rsidRDefault="00037F74" w:rsidP="002E452F">
      <w:pPr>
        <w:jc w:val="center"/>
        <w:rPr>
          <w:b/>
          <w:bCs/>
          <w:color w:val="000000"/>
          <w:u w:val="single"/>
        </w:rPr>
      </w:pPr>
      <w:r w:rsidRPr="002E452F">
        <w:rPr>
          <w:b/>
          <w:bCs/>
          <w:u w:val="single"/>
        </w:rPr>
        <w:t>Balance Sheet</w:t>
      </w:r>
    </w:p>
    <w:tbl>
      <w:tblPr>
        <w:tblW w:w="8097" w:type="dxa"/>
        <w:tblLook w:val="04A0" w:firstRow="1" w:lastRow="0" w:firstColumn="1" w:lastColumn="0" w:noHBand="0" w:noVBand="1"/>
      </w:tblPr>
      <w:tblGrid>
        <w:gridCol w:w="4137"/>
        <w:gridCol w:w="1980"/>
        <w:gridCol w:w="1980"/>
      </w:tblGrid>
      <w:tr w:rsidR="003379AA" w14:paraId="34D8C1C1" w14:textId="77777777" w:rsidTr="00194F5C">
        <w:trPr>
          <w:trHeight w:val="375"/>
        </w:trPr>
        <w:tc>
          <w:tcPr>
            <w:tcW w:w="4137" w:type="dxa"/>
            <w:tcBorders>
              <w:top w:val="single" w:sz="4" w:space="0" w:color="auto"/>
              <w:left w:val="single" w:sz="4" w:space="0" w:color="auto"/>
              <w:bottom w:val="single" w:sz="4" w:space="0" w:color="auto"/>
              <w:right w:val="single" w:sz="4" w:space="0" w:color="auto"/>
            </w:tcBorders>
            <w:shd w:val="clear" w:color="auto" w:fill="B6DDE8"/>
            <w:noWrap/>
            <w:vAlign w:val="bottom"/>
            <w:hideMark/>
          </w:tcPr>
          <w:p w14:paraId="3D42AA30" w14:textId="77777777" w:rsidR="006564AA" w:rsidRDefault="00037F74">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Year ending in March (in Crore Rs.)</w:t>
            </w:r>
          </w:p>
        </w:tc>
        <w:tc>
          <w:tcPr>
            <w:tcW w:w="1980" w:type="dxa"/>
            <w:tcBorders>
              <w:top w:val="single" w:sz="4" w:space="0" w:color="auto"/>
              <w:left w:val="nil"/>
              <w:bottom w:val="single" w:sz="4" w:space="0" w:color="auto"/>
              <w:right w:val="single" w:sz="4" w:space="0" w:color="auto"/>
            </w:tcBorders>
            <w:shd w:val="clear" w:color="auto" w:fill="B6DDE8"/>
            <w:noWrap/>
            <w:vAlign w:val="bottom"/>
            <w:hideMark/>
          </w:tcPr>
          <w:p w14:paraId="4187C02A" w14:textId="77777777" w:rsidR="006564AA" w:rsidRDefault="00037F74">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FY19</w:t>
            </w:r>
          </w:p>
        </w:tc>
        <w:tc>
          <w:tcPr>
            <w:tcW w:w="1980" w:type="dxa"/>
            <w:tcBorders>
              <w:top w:val="single" w:sz="4" w:space="0" w:color="auto"/>
              <w:left w:val="nil"/>
              <w:bottom w:val="single" w:sz="4" w:space="0" w:color="auto"/>
              <w:right w:val="single" w:sz="4" w:space="0" w:color="auto"/>
            </w:tcBorders>
            <w:shd w:val="clear" w:color="auto" w:fill="B6DDE8"/>
            <w:noWrap/>
            <w:vAlign w:val="bottom"/>
            <w:hideMark/>
          </w:tcPr>
          <w:p w14:paraId="0FE3E51A" w14:textId="77777777" w:rsidR="006564AA" w:rsidRDefault="00037F74">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FY18</w:t>
            </w:r>
          </w:p>
        </w:tc>
      </w:tr>
      <w:tr w:rsidR="003379AA" w14:paraId="7F936925"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7A8DE280"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Total Shareholders Fund</w:t>
            </w:r>
          </w:p>
        </w:tc>
        <w:tc>
          <w:tcPr>
            <w:tcW w:w="1980" w:type="dxa"/>
            <w:tcBorders>
              <w:top w:val="nil"/>
              <w:left w:val="nil"/>
              <w:bottom w:val="single" w:sz="4" w:space="0" w:color="auto"/>
              <w:right w:val="single" w:sz="4" w:space="0" w:color="auto"/>
            </w:tcBorders>
            <w:noWrap/>
            <w:vAlign w:val="bottom"/>
            <w:hideMark/>
          </w:tcPr>
          <w:p w14:paraId="30373D17"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1,85,051</w:t>
            </w:r>
          </w:p>
        </w:tc>
        <w:tc>
          <w:tcPr>
            <w:tcW w:w="1980" w:type="dxa"/>
            <w:tcBorders>
              <w:top w:val="nil"/>
              <w:left w:val="nil"/>
              <w:bottom w:val="single" w:sz="4" w:space="0" w:color="auto"/>
              <w:right w:val="single" w:sz="4" w:space="0" w:color="auto"/>
            </w:tcBorders>
            <w:noWrap/>
            <w:vAlign w:val="bottom"/>
            <w:hideMark/>
          </w:tcPr>
          <w:p w14:paraId="522F671B"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1,80,875</w:t>
            </w:r>
          </w:p>
        </w:tc>
      </w:tr>
      <w:tr w:rsidR="003379AA" w14:paraId="6A8573C5"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5535B7B0"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Total Debt</w:t>
            </w:r>
          </w:p>
        </w:tc>
        <w:tc>
          <w:tcPr>
            <w:tcW w:w="1980" w:type="dxa"/>
            <w:tcBorders>
              <w:top w:val="nil"/>
              <w:left w:val="nil"/>
              <w:bottom w:val="single" w:sz="4" w:space="0" w:color="auto"/>
              <w:right w:val="single" w:sz="4" w:space="0" w:color="auto"/>
            </w:tcBorders>
            <w:noWrap/>
            <w:vAlign w:val="bottom"/>
            <w:hideMark/>
          </w:tcPr>
          <w:p w14:paraId="08D4AF89"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89,370</w:t>
            </w:r>
          </w:p>
        </w:tc>
        <w:tc>
          <w:tcPr>
            <w:tcW w:w="1980" w:type="dxa"/>
            <w:tcBorders>
              <w:top w:val="nil"/>
              <w:left w:val="nil"/>
              <w:bottom w:val="single" w:sz="4" w:space="0" w:color="auto"/>
              <w:right w:val="single" w:sz="4" w:space="0" w:color="auto"/>
            </w:tcBorders>
            <w:noWrap/>
            <w:vAlign w:val="bottom"/>
            <w:hideMark/>
          </w:tcPr>
          <w:p w14:paraId="625ED104"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78,783</w:t>
            </w:r>
          </w:p>
        </w:tc>
      </w:tr>
      <w:tr w:rsidR="003379AA" w14:paraId="3330D4DE"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1CB74D4C"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Deferred Tax Liabilities</w:t>
            </w:r>
          </w:p>
        </w:tc>
        <w:tc>
          <w:tcPr>
            <w:tcW w:w="1980" w:type="dxa"/>
            <w:tcBorders>
              <w:top w:val="nil"/>
              <w:left w:val="nil"/>
              <w:bottom w:val="single" w:sz="4" w:space="0" w:color="auto"/>
              <w:right w:val="single" w:sz="4" w:space="0" w:color="auto"/>
            </w:tcBorders>
            <w:noWrap/>
            <w:vAlign w:val="bottom"/>
            <w:hideMark/>
          </w:tcPr>
          <w:p w14:paraId="3F1D1255"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72,661</w:t>
            </w:r>
          </w:p>
        </w:tc>
        <w:tc>
          <w:tcPr>
            <w:tcW w:w="1980" w:type="dxa"/>
            <w:tcBorders>
              <w:top w:val="nil"/>
              <w:left w:val="nil"/>
              <w:bottom w:val="single" w:sz="4" w:space="0" w:color="auto"/>
              <w:right w:val="single" w:sz="4" w:space="0" w:color="auto"/>
            </w:tcBorders>
            <w:noWrap/>
            <w:vAlign w:val="bottom"/>
            <w:hideMark/>
          </w:tcPr>
          <w:p w14:paraId="595529C8"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68,523</w:t>
            </w:r>
          </w:p>
        </w:tc>
      </w:tr>
      <w:tr w:rsidR="003379AA" w14:paraId="429ADEE6"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7363221C"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Other Non-Current Liabilities</w:t>
            </w:r>
          </w:p>
        </w:tc>
        <w:tc>
          <w:tcPr>
            <w:tcW w:w="1980" w:type="dxa"/>
            <w:tcBorders>
              <w:top w:val="nil"/>
              <w:left w:val="nil"/>
              <w:bottom w:val="single" w:sz="4" w:space="0" w:color="auto"/>
              <w:right w:val="single" w:sz="4" w:space="0" w:color="auto"/>
            </w:tcBorders>
            <w:noWrap/>
            <w:vAlign w:val="bottom"/>
            <w:hideMark/>
          </w:tcPr>
          <w:p w14:paraId="3D2087BB"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1,07,329</w:t>
            </w:r>
          </w:p>
        </w:tc>
        <w:tc>
          <w:tcPr>
            <w:tcW w:w="1980" w:type="dxa"/>
            <w:tcBorders>
              <w:top w:val="nil"/>
              <w:left w:val="nil"/>
              <w:bottom w:val="single" w:sz="4" w:space="0" w:color="auto"/>
              <w:right w:val="single" w:sz="4" w:space="0" w:color="auto"/>
            </w:tcBorders>
            <w:noWrap/>
            <w:vAlign w:val="bottom"/>
            <w:hideMark/>
          </w:tcPr>
          <w:p w14:paraId="2403D8A4"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71670</w:t>
            </w:r>
          </w:p>
        </w:tc>
      </w:tr>
      <w:tr w:rsidR="003379AA" w14:paraId="7D4E76F2"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4A65F6CB"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Current Liabilities</w:t>
            </w:r>
          </w:p>
        </w:tc>
        <w:tc>
          <w:tcPr>
            <w:tcW w:w="1980" w:type="dxa"/>
            <w:tcBorders>
              <w:top w:val="nil"/>
              <w:left w:val="nil"/>
              <w:bottom w:val="single" w:sz="4" w:space="0" w:color="auto"/>
              <w:right w:val="single" w:sz="4" w:space="0" w:color="auto"/>
            </w:tcBorders>
            <w:noWrap/>
            <w:vAlign w:val="bottom"/>
            <w:hideMark/>
          </w:tcPr>
          <w:p w14:paraId="44B9B066"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248408</w:t>
            </w:r>
          </w:p>
        </w:tc>
        <w:tc>
          <w:tcPr>
            <w:tcW w:w="1980" w:type="dxa"/>
            <w:tcBorders>
              <w:top w:val="nil"/>
              <w:left w:val="nil"/>
              <w:bottom w:val="single" w:sz="4" w:space="0" w:color="auto"/>
              <w:right w:val="single" w:sz="4" w:space="0" w:color="auto"/>
            </w:tcBorders>
            <w:noWrap/>
            <w:vAlign w:val="bottom"/>
            <w:hideMark/>
          </w:tcPr>
          <w:p w14:paraId="22B10D0D"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300364</w:t>
            </w:r>
          </w:p>
        </w:tc>
      </w:tr>
      <w:tr w:rsidR="003379AA" w14:paraId="60EEA632"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46363034" w14:textId="77777777" w:rsidR="006564AA" w:rsidRDefault="00037F74">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Total Liabilities</w:t>
            </w:r>
          </w:p>
        </w:tc>
        <w:tc>
          <w:tcPr>
            <w:tcW w:w="1980" w:type="dxa"/>
            <w:tcBorders>
              <w:top w:val="nil"/>
              <w:left w:val="nil"/>
              <w:bottom w:val="single" w:sz="4" w:space="0" w:color="auto"/>
              <w:right w:val="single" w:sz="4" w:space="0" w:color="auto"/>
            </w:tcBorders>
            <w:noWrap/>
            <w:vAlign w:val="bottom"/>
            <w:hideMark/>
          </w:tcPr>
          <w:p w14:paraId="27E41255" w14:textId="77777777" w:rsidR="006564AA" w:rsidRDefault="00037F74">
            <w:pPr>
              <w:spacing w:line="360" w:lineRule="auto"/>
              <w:jc w:val="right"/>
              <w:rPr>
                <w:rFonts w:eastAsia="Times New Roman" w:cs="Times New Roman"/>
                <w:b/>
                <w:bCs/>
                <w:color w:val="000000"/>
                <w:szCs w:val="24"/>
                <w:lang w:eastAsia="en-IN"/>
              </w:rPr>
            </w:pPr>
            <w:r>
              <w:rPr>
                <w:rFonts w:eastAsia="Times New Roman" w:cs="Times New Roman"/>
                <w:b/>
                <w:bCs/>
                <w:color w:val="000000"/>
                <w:szCs w:val="24"/>
                <w:lang w:eastAsia="en-IN"/>
              </w:rPr>
              <w:t>7,02,819</w:t>
            </w:r>
          </w:p>
        </w:tc>
        <w:tc>
          <w:tcPr>
            <w:tcW w:w="1980" w:type="dxa"/>
            <w:tcBorders>
              <w:top w:val="nil"/>
              <w:left w:val="nil"/>
              <w:bottom w:val="single" w:sz="4" w:space="0" w:color="auto"/>
              <w:right w:val="single" w:sz="4" w:space="0" w:color="auto"/>
            </w:tcBorders>
            <w:noWrap/>
            <w:vAlign w:val="bottom"/>
            <w:hideMark/>
          </w:tcPr>
          <w:p w14:paraId="73A01FBE" w14:textId="77777777" w:rsidR="006564AA" w:rsidRDefault="00037F74">
            <w:pPr>
              <w:spacing w:line="360" w:lineRule="auto"/>
              <w:jc w:val="right"/>
              <w:rPr>
                <w:rFonts w:eastAsia="Times New Roman" w:cs="Times New Roman"/>
                <w:b/>
                <w:bCs/>
                <w:color w:val="000000"/>
                <w:szCs w:val="24"/>
                <w:lang w:eastAsia="en-IN"/>
              </w:rPr>
            </w:pPr>
            <w:r>
              <w:rPr>
                <w:rFonts w:eastAsia="Times New Roman" w:cs="Times New Roman"/>
                <w:b/>
                <w:bCs/>
                <w:color w:val="000000"/>
                <w:szCs w:val="24"/>
                <w:lang w:eastAsia="en-IN"/>
              </w:rPr>
              <w:t>7,00,215</w:t>
            </w:r>
          </w:p>
        </w:tc>
      </w:tr>
      <w:tr w:rsidR="003379AA" w14:paraId="4BCC49C4"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3E6AB4D7"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Total Current Assets</w:t>
            </w:r>
          </w:p>
        </w:tc>
        <w:tc>
          <w:tcPr>
            <w:tcW w:w="1980" w:type="dxa"/>
            <w:tcBorders>
              <w:top w:val="nil"/>
              <w:left w:val="nil"/>
              <w:bottom w:val="single" w:sz="4" w:space="0" w:color="auto"/>
              <w:right w:val="single" w:sz="4" w:space="0" w:color="auto"/>
            </w:tcBorders>
            <w:noWrap/>
            <w:vAlign w:val="bottom"/>
            <w:hideMark/>
          </w:tcPr>
          <w:p w14:paraId="1EA86C6E"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5,46,744</w:t>
            </w:r>
          </w:p>
        </w:tc>
        <w:tc>
          <w:tcPr>
            <w:tcW w:w="1980" w:type="dxa"/>
            <w:tcBorders>
              <w:top w:val="nil"/>
              <w:left w:val="nil"/>
              <w:bottom w:val="single" w:sz="4" w:space="0" w:color="auto"/>
              <w:right w:val="single" w:sz="4" w:space="0" w:color="auto"/>
            </w:tcBorders>
            <w:noWrap/>
            <w:vAlign w:val="bottom"/>
            <w:hideMark/>
          </w:tcPr>
          <w:p w14:paraId="3E548703"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5,38,495</w:t>
            </w:r>
          </w:p>
        </w:tc>
      </w:tr>
      <w:tr w:rsidR="003379AA" w14:paraId="1989D944"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7736CF93"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Total Non-Current Assets</w:t>
            </w:r>
          </w:p>
        </w:tc>
        <w:tc>
          <w:tcPr>
            <w:tcW w:w="1980" w:type="dxa"/>
            <w:tcBorders>
              <w:top w:val="nil"/>
              <w:left w:val="nil"/>
              <w:bottom w:val="single" w:sz="4" w:space="0" w:color="auto"/>
              <w:right w:val="single" w:sz="4" w:space="0" w:color="auto"/>
            </w:tcBorders>
            <w:noWrap/>
            <w:vAlign w:val="bottom"/>
            <w:hideMark/>
          </w:tcPr>
          <w:p w14:paraId="0CC61F69"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1,56,075</w:t>
            </w:r>
          </w:p>
        </w:tc>
        <w:tc>
          <w:tcPr>
            <w:tcW w:w="1980" w:type="dxa"/>
            <w:tcBorders>
              <w:top w:val="nil"/>
              <w:left w:val="nil"/>
              <w:bottom w:val="single" w:sz="4" w:space="0" w:color="auto"/>
              <w:right w:val="single" w:sz="4" w:space="0" w:color="auto"/>
            </w:tcBorders>
            <w:noWrap/>
            <w:vAlign w:val="bottom"/>
            <w:hideMark/>
          </w:tcPr>
          <w:p w14:paraId="27AFACED"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1,61,720</w:t>
            </w:r>
          </w:p>
        </w:tc>
      </w:tr>
      <w:tr w:rsidR="003379AA" w14:paraId="6AE73950" w14:textId="77777777" w:rsidTr="00194F5C">
        <w:trPr>
          <w:trHeight w:val="375"/>
        </w:trPr>
        <w:tc>
          <w:tcPr>
            <w:tcW w:w="4137" w:type="dxa"/>
            <w:tcBorders>
              <w:top w:val="nil"/>
              <w:left w:val="single" w:sz="4" w:space="0" w:color="auto"/>
              <w:bottom w:val="single" w:sz="4" w:space="0" w:color="auto"/>
              <w:right w:val="single" w:sz="4" w:space="0" w:color="auto"/>
            </w:tcBorders>
            <w:noWrap/>
            <w:vAlign w:val="bottom"/>
            <w:hideMark/>
          </w:tcPr>
          <w:p w14:paraId="5860BF06" w14:textId="77777777" w:rsidR="006564AA" w:rsidRDefault="00037F74">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Total Assets</w:t>
            </w:r>
          </w:p>
        </w:tc>
        <w:tc>
          <w:tcPr>
            <w:tcW w:w="1980" w:type="dxa"/>
            <w:tcBorders>
              <w:top w:val="nil"/>
              <w:left w:val="nil"/>
              <w:bottom w:val="single" w:sz="4" w:space="0" w:color="auto"/>
              <w:right w:val="single" w:sz="4" w:space="0" w:color="auto"/>
            </w:tcBorders>
            <w:noWrap/>
            <w:vAlign w:val="bottom"/>
            <w:hideMark/>
          </w:tcPr>
          <w:p w14:paraId="128D214C" w14:textId="77777777" w:rsidR="006564AA" w:rsidRDefault="00037F74">
            <w:pPr>
              <w:spacing w:line="360" w:lineRule="auto"/>
              <w:jc w:val="right"/>
              <w:rPr>
                <w:rFonts w:eastAsia="Times New Roman" w:cs="Times New Roman"/>
                <w:b/>
                <w:bCs/>
                <w:color w:val="000000"/>
                <w:szCs w:val="24"/>
                <w:lang w:eastAsia="en-IN"/>
              </w:rPr>
            </w:pPr>
            <w:r>
              <w:rPr>
                <w:rFonts w:eastAsia="Times New Roman" w:cs="Times New Roman"/>
                <w:b/>
                <w:bCs/>
                <w:color w:val="000000"/>
                <w:szCs w:val="24"/>
                <w:lang w:eastAsia="en-IN"/>
              </w:rPr>
              <w:t>7,02,819</w:t>
            </w:r>
          </w:p>
        </w:tc>
        <w:tc>
          <w:tcPr>
            <w:tcW w:w="1980" w:type="dxa"/>
            <w:tcBorders>
              <w:top w:val="nil"/>
              <w:left w:val="nil"/>
              <w:bottom w:val="single" w:sz="4" w:space="0" w:color="auto"/>
              <w:right w:val="single" w:sz="4" w:space="0" w:color="auto"/>
            </w:tcBorders>
            <w:noWrap/>
            <w:vAlign w:val="bottom"/>
            <w:hideMark/>
          </w:tcPr>
          <w:p w14:paraId="4B432B76" w14:textId="77777777" w:rsidR="006564AA" w:rsidRDefault="00037F74">
            <w:pPr>
              <w:spacing w:line="360" w:lineRule="auto"/>
              <w:jc w:val="right"/>
              <w:rPr>
                <w:rFonts w:eastAsia="Times New Roman" w:cs="Times New Roman"/>
                <w:b/>
                <w:bCs/>
                <w:color w:val="000000"/>
                <w:szCs w:val="24"/>
                <w:lang w:eastAsia="en-IN"/>
              </w:rPr>
            </w:pPr>
            <w:r>
              <w:rPr>
                <w:rFonts w:eastAsia="Times New Roman" w:cs="Times New Roman"/>
                <w:b/>
                <w:bCs/>
                <w:color w:val="000000"/>
                <w:szCs w:val="24"/>
                <w:lang w:eastAsia="en-IN"/>
              </w:rPr>
              <w:t>7,00,215</w:t>
            </w:r>
          </w:p>
        </w:tc>
      </w:tr>
    </w:tbl>
    <w:p w14:paraId="438E9E09" w14:textId="77777777" w:rsidR="006564AA" w:rsidRDefault="006564AA">
      <w:pPr>
        <w:spacing w:line="360" w:lineRule="auto"/>
        <w:rPr>
          <w:rFonts w:eastAsia="Calibri" w:cs="Times New Roman"/>
          <w:szCs w:val="24"/>
          <w:lang w:bidi="ar-SA"/>
        </w:rPr>
      </w:pPr>
    </w:p>
    <w:p w14:paraId="51518F5E" w14:textId="77777777" w:rsidR="006564AA" w:rsidRPr="00F34861" w:rsidRDefault="00037F74" w:rsidP="00F34861">
      <w:pPr>
        <w:spacing w:line="360" w:lineRule="auto"/>
        <w:jc w:val="center"/>
        <w:rPr>
          <w:rFonts w:cs="Times New Roman"/>
          <w:b/>
          <w:bCs/>
          <w:szCs w:val="24"/>
          <w:u w:val="single"/>
        </w:rPr>
      </w:pPr>
      <w:r w:rsidRPr="00F34861">
        <w:rPr>
          <w:rFonts w:cs="Times New Roman"/>
          <w:b/>
          <w:bCs/>
          <w:szCs w:val="24"/>
          <w:u w:val="single"/>
        </w:rPr>
        <w:t>Income Statement</w:t>
      </w:r>
      <w:r w:rsidR="00325766">
        <w:rPr>
          <w:rFonts w:cs="Times New Roman"/>
          <w:b/>
          <w:bCs/>
          <w:szCs w:val="24"/>
          <w:u w:val="single"/>
        </w:rPr>
        <w:t xml:space="preserve"> (in Rs Crores)</w:t>
      </w:r>
    </w:p>
    <w:tbl>
      <w:tblPr>
        <w:tblW w:w="8075" w:type="dxa"/>
        <w:tblLook w:val="04A0" w:firstRow="1" w:lastRow="0" w:firstColumn="1" w:lastColumn="0" w:noHBand="0" w:noVBand="1"/>
      </w:tblPr>
      <w:tblGrid>
        <w:gridCol w:w="3779"/>
        <w:gridCol w:w="2648"/>
        <w:gridCol w:w="1648"/>
      </w:tblGrid>
      <w:tr w:rsidR="003379AA" w14:paraId="4C5F3496" w14:textId="77777777" w:rsidTr="00194F5C">
        <w:trPr>
          <w:trHeight w:val="322"/>
        </w:trPr>
        <w:tc>
          <w:tcPr>
            <w:tcW w:w="3779" w:type="dxa"/>
            <w:tcBorders>
              <w:top w:val="single" w:sz="4" w:space="0" w:color="auto"/>
              <w:left w:val="single" w:sz="4" w:space="0" w:color="auto"/>
              <w:bottom w:val="single" w:sz="4" w:space="0" w:color="auto"/>
              <w:right w:val="single" w:sz="4" w:space="0" w:color="auto"/>
            </w:tcBorders>
            <w:shd w:val="clear" w:color="auto" w:fill="B6DDE8"/>
            <w:noWrap/>
            <w:vAlign w:val="bottom"/>
            <w:hideMark/>
          </w:tcPr>
          <w:p w14:paraId="40F5E9A8" w14:textId="77777777" w:rsidR="006564AA" w:rsidRDefault="00037F74">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Particulars</w:t>
            </w:r>
          </w:p>
        </w:tc>
        <w:tc>
          <w:tcPr>
            <w:tcW w:w="2648" w:type="dxa"/>
            <w:tcBorders>
              <w:top w:val="single" w:sz="4" w:space="0" w:color="auto"/>
              <w:left w:val="nil"/>
              <w:bottom w:val="single" w:sz="4" w:space="0" w:color="auto"/>
              <w:right w:val="single" w:sz="4" w:space="0" w:color="auto"/>
            </w:tcBorders>
            <w:shd w:val="clear" w:color="auto" w:fill="B6DDE8"/>
            <w:noWrap/>
            <w:vAlign w:val="bottom"/>
            <w:hideMark/>
          </w:tcPr>
          <w:p w14:paraId="3511AA13" w14:textId="77777777" w:rsidR="006564AA" w:rsidRDefault="00037F74">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FY18</w:t>
            </w:r>
          </w:p>
        </w:tc>
        <w:tc>
          <w:tcPr>
            <w:tcW w:w="1648" w:type="dxa"/>
            <w:tcBorders>
              <w:top w:val="single" w:sz="4" w:space="0" w:color="auto"/>
              <w:left w:val="nil"/>
              <w:bottom w:val="single" w:sz="4" w:space="0" w:color="auto"/>
              <w:right w:val="single" w:sz="4" w:space="0" w:color="auto"/>
            </w:tcBorders>
            <w:shd w:val="clear" w:color="auto" w:fill="B6DDE8"/>
            <w:noWrap/>
            <w:vAlign w:val="bottom"/>
            <w:hideMark/>
          </w:tcPr>
          <w:p w14:paraId="01B65ECB" w14:textId="77777777" w:rsidR="006564AA" w:rsidRDefault="00037F74">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FY19</w:t>
            </w:r>
          </w:p>
        </w:tc>
      </w:tr>
      <w:tr w:rsidR="003379AA" w14:paraId="6991B97D"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7B714A17"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Net Revenues</w:t>
            </w:r>
          </w:p>
        </w:tc>
        <w:tc>
          <w:tcPr>
            <w:tcW w:w="2648" w:type="dxa"/>
            <w:tcBorders>
              <w:top w:val="nil"/>
              <w:left w:val="nil"/>
              <w:bottom w:val="single" w:sz="4" w:space="0" w:color="auto"/>
              <w:right w:val="single" w:sz="4" w:space="0" w:color="auto"/>
            </w:tcBorders>
            <w:noWrap/>
            <w:vAlign w:val="bottom"/>
            <w:hideMark/>
          </w:tcPr>
          <w:p w14:paraId="44343EE7"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8,67,704.00</w:t>
            </w:r>
          </w:p>
        </w:tc>
        <w:tc>
          <w:tcPr>
            <w:tcW w:w="1648" w:type="dxa"/>
            <w:tcBorders>
              <w:top w:val="nil"/>
              <w:left w:val="nil"/>
              <w:bottom w:val="single" w:sz="4" w:space="0" w:color="auto"/>
              <w:right w:val="single" w:sz="4" w:space="0" w:color="auto"/>
            </w:tcBorders>
            <w:noWrap/>
            <w:vAlign w:val="bottom"/>
            <w:hideMark/>
          </w:tcPr>
          <w:p w14:paraId="235E0926"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10,04,316.00</w:t>
            </w:r>
          </w:p>
        </w:tc>
      </w:tr>
      <w:tr w:rsidR="003379AA" w14:paraId="5A4E1362"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1685E394"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Total Expenses</w:t>
            </w:r>
          </w:p>
        </w:tc>
        <w:tc>
          <w:tcPr>
            <w:tcW w:w="2648" w:type="dxa"/>
            <w:tcBorders>
              <w:top w:val="nil"/>
              <w:left w:val="nil"/>
              <w:bottom w:val="single" w:sz="4" w:space="0" w:color="auto"/>
              <w:right w:val="single" w:sz="4" w:space="0" w:color="auto"/>
            </w:tcBorders>
            <w:noWrap/>
            <w:vAlign w:val="bottom"/>
            <w:hideMark/>
          </w:tcPr>
          <w:p w14:paraId="29785F36"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8,15,622.00</w:t>
            </w:r>
          </w:p>
        </w:tc>
        <w:tc>
          <w:tcPr>
            <w:tcW w:w="1648" w:type="dxa"/>
            <w:tcBorders>
              <w:top w:val="nil"/>
              <w:left w:val="nil"/>
              <w:bottom w:val="single" w:sz="4" w:space="0" w:color="auto"/>
              <w:right w:val="single" w:sz="4" w:space="0" w:color="auto"/>
            </w:tcBorders>
            <w:noWrap/>
            <w:vAlign w:val="bottom"/>
            <w:hideMark/>
          </w:tcPr>
          <w:p w14:paraId="09E9682C"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9,61,112.00</w:t>
            </w:r>
          </w:p>
        </w:tc>
      </w:tr>
      <w:tr w:rsidR="003379AA" w14:paraId="7705E30C"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004A87AC" w14:textId="77777777" w:rsidR="006564AA" w:rsidRPr="0023702F" w:rsidRDefault="00037F74">
            <w:pPr>
              <w:spacing w:line="360" w:lineRule="auto"/>
              <w:rPr>
                <w:rFonts w:eastAsia="Times New Roman" w:cs="Times New Roman"/>
                <w:b/>
                <w:bCs/>
                <w:color w:val="000000"/>
                <w:szCs w:val="24"/>
                <w:lang w:eastAsia="en-IN"/>
              </w:rPr>
            </w:pPr>
            <w:r w:rsidRPr="0023702F">
              <w:rPr>
                <w:rFonts w:eastAsia="Times New Roman" w:cs="Times New Roman"/>
                <w:b/>
                <w:bCs/>
                <w:color w:val="000000"/>
                <w:szCs w:val="24"/>
                <w:lang w:eastAsia="en-IN"/>
              </w:rPr>
              <w:t>EBITDA</w:t>
            </w:r>
          </w:p>
        </w:tc>
        <w:tc>
          <w:tcPr>
            <w:tcW w:w="2648" w:type="dxa"/>
            <w:tcBorders>
              <w:top w:val="nil"/>
              <w:left w:val="nil"/>
              <w:bottom w:val="single" w:sz="4" w:space="0" w:color="auto"/>
              <w:right w:val="single" w:sz="4" w:space="0" w:color="auto"/>
            </w:tcBorders>
            <w:noWrap/>
            <w:vAlign w:val="bottom"/>
            <w:hideMark/>
          </w:tcPr>
          <w:p w14:paraId="464388A2" w14:textId="77777777" w:rsidR="006564AA" w:rsidRPr="0023702F" w:rsidRDefault="00037F74">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52,082.00</w:t>
            </w:r>
          </w:p>
        </w:tc>
        <w:tc>
          <w:tcPr>
            <w:tcW w:w="1648" w:type="dxa"/>
            <w:tcBorders>
              <w:top w:val="nil"/>
              <w:left w:val="nil"/>
              <w:bottom w:val="single" w:sz="4" w:space="0" w:color="auto"/>
              <w:right w:val="single" w:sz="4" w:space="0" w:color="auto"/>
            </w:tcBorders>
            <w:noWrap/>
            <w:vAlign w:val="bottom"/>
            <w:hideMark/>
          </w:tcPr>
          <w:p w14:paraId="27DD7CB5" w14:textId="77777777" w:rsidR="006564AA" w:rsidRPr="0023702F" w:rsidRDefault="00037F74">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43,204.00</w:t>
            </w:r>
          </w:p>
        </w:tc>
      </w:tr>
      <w:tr w:rsidR="003379AA" w14:paraId="76219C92"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37E44583"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Depreciation</w:t>
            </w:r>
          </w:p>
        </w:tc>
        <w:tc>
          <w:tcPr>
            <w:tcW w:w="2648" w:type="dxa"/>
            <w:tcBorders>
              <w:top w:val="nil"/>
              <w:left w:val="nil"/>
              <w:bottom w:val="single" w:sz="4" w:space="0" w:color="auto"/>
              <w:right w:val="single" w:sz="4" w:space="0" w:color="auto"/>
            </w:tcBorders>
            <w:noWrap/>
            <w:vAlign w:val="bottom"/>
            <w:hideMark/>
          </w:tcPr>
          <w:p w14:paraId="4B4B79B2"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14,890.00</w:t>
            </w:r>
          </w:p>
        </w:tc>
        <w:tc>
          <w:tcPr>
            <w:tcW w:w="1648" w:type="dxa"/>
            <w:tcBorders>
              <w:top w:val="nil"/>
              <w:left w:val="nil"/>
              <w:bottom w:val="single" w:sz="4" w:space="0" w:color="auto"/>
              <w:right w:val="single" w:sz="4" w:space="0" w:color="auto"/>
            </w:tcBorders>
            <w:noWrap/>
            <w:vAlign w:val="bottom"/>
            <w:hideMark/>
          </w:tcPr>
          <w:p w14:paraId="298889F7"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15,489.00</w:t>
            </w:r>
          </w:p>
        </w:tc>
      </w:tr>
      <w:tr w:rsidR="003379AA" w14:paraId="2FBC6329"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02809710" w14:textId="77777777" w:rsidR="006564AA" w:rsidRPr="0023702F" w:rsidRDefault="00037F74">
            <w:pPr>
              <w:spacing w:line="360" w:lineRule="auto"/>
              <w:rPr>
                <w:rFonts w:eastAsia="Times New Roman" w:cs="Times New Roman"/>
                <w:b/>
                <w:bCs/>
                <w:color w:val="000000"/>
                <w:szCs w:val="24"/>
                <w:lang w:eastAsia="en-IN"/>
              </w:rPr>
            </w:pPr>
            <w:r w:rsidRPr="0023702F">
              <w:rPr>
                <w:rFonts w:eastAsia="Times New Roman" w:cs="Times New Roman"/>
                <w:b/>
                <w:bCs/>
                <w:color w:val="000000"/>
                <w:szCs w:val="24"/>
                <w:lang w:eastAsia="en-IN"/>
              </w:rPr>
              <w:t>EBIT</w:t>
            </w:r>
          </w:p>
        </w:tc>
        <w:tc>
          <w:tcPr>
            <w:tcW w:w="2648" w:type="dxa"/>
            <w:tcBorders>
              <w:top w:val="nil"/>
              <w:left w:val="nil"/>
              <w:bottom w:val="single" w:sz="4" w:space="0" w:color="auto"/>
              <w:right w:val="single" w:sz="4" w:space="0" w:color="auto"/>
            </w:tcBorders>
            <w:noWrap/>
            <w:vAlign w:val="bottom"/>
            <w:hideMark/>
          </w:tcPr>
          <w:p w14:paraId="1A2FE468" w14:textId="77777777" w:rsidR="006564AA" w:rsidRPr="0023702F" w:rsidRDefault="00037F74">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37,192.00</w:t>
            </w:r>
          </w:p>
        </w:tc>
        <w:tc>
          <w:tcPr>
            <w:tcW w:w="1648" w:type="dxa"/>
            <w:tcBorders>
              <w:top w:val="nil"/>
              <w:left w:val="nil"/>
              <w:bottom w:val="single" w:sz="4" w:space="0" w:color="auto"/>
              <w:right w:val="single" w:sz="4" w:space="0" w:color="auto"/>
            </w:tcBorders>
            <w:noWrap/>
            <w:vAlign w:val="bottom"/>
            <w:hideMark/>
          </w:tcPr>
          <w:p w14:paraId="3A5A27FA" w14:textId="77777777" w:rsidR="006564AA" w:rsidRPr="0023702F" w:rsidRDefault="00037F74">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27,715.00</w:t>
            </w:r>
          </w:p>
        </w:tc>
      </w:tr>
      <w:tr w:rsidR="003379AA" w14:paraId="19232903"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6934DE5B"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Interest</w:t>
            </w:r>
          </w:p>
        </w:tc>
        <w:tc>
          <w:tcPr>
            <w:tcW w:w="2648" w:type="dxa"/>
            <w:tcBorders>
              <w:top w:val="nil"/>
              <w:left w:val="nil"/>
              <w:bottom w:val="single" w:sz="4" w:space="0" w:color="auto"/>
              <w:right w:val="single" w:sz="4" w:space="0" w:color="auto"/>
            </w:tcBorders>
            <w:noWrap/>
            <w:vAlign w:val="bottom"/>
            <w:hideMark/>
          </w:tcPr>
          <w:p w14:paraId="2C432752"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27,705.00</w:t>
            </w:r>
          </w:p>
        </w:tc>
        <w:tc>
          <w:tcPr>
            <w:tcW w:w="1648" w:type="dxa"/>
            <w:tcBorders>
              <w:top w:val="nil"/>
              <w:left w:val="nil"/>
              <w:bottom w:val="single" w:sz="4" w:space="0" w:color="auto"/>
              <w:right w:val="single" w:sz="4" w:space="0" w:color="auto"/>
            </w:tcBorders>
            <w:noWrap/>
            <w:vAlign w:val="bottom"/>
            <w:hideMark/>
          </w:tcPr>
          <w:p w14:paraId="27483B99"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22,329.00</w:t>
            </w:r>
          </w:p>
        </w:tc>
      </w:tr>
      <w:tr w:rsidR="003379AA" w14:paraId="5208598F"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74E9160D" w14:textId="77777777" w:rsidR="006564AA" w:rsidRPr="0023702F" w:rsidRDefault="00037F74">
            <w:pPr>
              <w:spacing w:line="360" w:lineRule="auto"/>
              <w:rPr>
                <w:rFonts w:eastAsia="Times New Roman" w:cs="Times New Roman"/>
                <w:b/>
                <w:bCs/>
                <w:color w:val="000000"/>
                <w:szCs w:val="24"/>
                <w:lang w:eastAsia="en-IN"/>
              </w:rPr>
            </w:pPr>
            <w:r w:rsidRPr="0023702F">
              <w:rPr>
                <w:rFonts w:eastAsia="Times New Roman" w:cs="Times New Roman"/>
                <w:b/>
                <w:bCs/>
                <w:color w:val="000000"/>
                <w:szCs w:val="24"/>
                <w:lang w:eastAsia="en-IN"/>
              </w:rPr>
              <w:t>PBT</w:t>
            </w:r>
          </w:p>
        </w:tc>
        <w:tc>
          <w:tcPr>
            <w:tcW w:w="2648" w:type="dxa"/>
            <w:tcBorders>
              <w:top w:val="nil"/>
              <w:left w:val="nil"/>
              <w:bottom w:val="single" w:sz="4" w:space="0" w:color="auto"/>
              <w:right w:val="single" w:sz="4" w:space="0" w:color="auto"/>
            </w:tcBorders>
            <w:noWrap/>
            <w:vAlign w:val="bottom"/>
            <w:hideMark/>
          </w:tcPr>
          <w:p w14:paraId="2CFFF93E" w14:textId="77777777" w:rsidR="006564AA" w:rsidRPr="0023702F" w:rsidRDefault="00037F74">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9,487.00</w:t>
            </w:r>
          </w:p>
        </w:tc>
        <w:tc>
          <w:tcPr>
            <w:tcW w:w="1648" w:type="dxa"/>
            <w:tcBorders>
              <w:top w:val="nil"/>
              <w:left w:val="nil"/>
              <w:bottom w:val="single" w:sz="4" w:space="0" w:color="auto"/>
              <w:right w:val="single" w:sz="4" w:space="0" w:color="auto"/>
            </w:tcBorders>
            <w:noWrap/>
            <w:vAlign w:val="bottom"/>
            <w:hideMark/>
          </w:tcPr>
          <w:p w14:paraId="73099790" w14:textId="77777777" w:rsidR="006564AA" w:rsidRPr="0023702F" w:rsidRDefault="00037F74">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5,386.00</w:t>
            </w:r>
          </w:p>
        </w:tc>
      </w:tr>
      <w:tr w:rsidR="003379AA" w14:paraId="011796C2"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2560B2AB" w14:textId="77777777" w:rsidR="006564AA" w:rsidRDefault="00037F74">
            <w:pPr>
              <w:spacing w:line="360" w:lineRule="auto"/>
              <w:rPr>
                <w:rFonts w:eastAsia="Times New Roman" w:cs="Times New Roman"/>
                <w:color w:val="000000"/>
                <w:szCs w:val="24"/>
                <w:lang w:eastAsia="en-IN"/>
              </w:rPr>
            </w:pPr>
            <w:r>
              <w:rPr>
                <w:rFonts w:eastAsia="Times New Roman" w:cs="Times New Roman"/>
                <w:color w:val="000000"/>
                <w:szCs w:val="24"/>
                <w:lang w:eastAsia="en-IN"/>
              </w:rPr>
              <w:t>Tax</w:t>
            </w:r>
          </w:p>
        </w:tc>
        <w:tc>
          <w:tcPr>
            <w:tcW w:w="2648" w:type="dxa"/>
            <w:tcBorders>
              <w:top w:val="nil"/>
              <w:left w:val="nil"/>
              <w:bottom w:val="single" w:sz="4" w:space="0" w:color="auto"/>
              <w:right w:val="single" w:sz="4" w:space="0" w:color="auto"/>
            </w:tcBorders>
            <w:noWrap/>
            <w:vAlign w:val="bottom"/>
            <w:hideMark/>
          </w:tcPr>
          <w:p w14:paraId="09B31D4C"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3,244.00</w:t>
            </w:r>
          </w:p>
        </w:tc>
        <w:tc>
          <w:tcPr>
            <w:tcW w:w="1648" w:type="dxa"/>
            <w:tcBorders>
              <w:top w:val="nil"/>
              <w:left w:val="nil"/>
              <w:bottom w:val="single" w:sz="4" w:space="0" w:color="auto"/>
              <w:right w:val="single" w:sz="4" w:space="0" w:color="auto"/>
            </w:tcBorders>
            <w:noWrap/>
            <w:vAlign w:val="bottom"/>
            <w:hideMark/>
          </w:tcPr>
          <w:p w14:paraId="3777918D" w14:textId="77777777" w:rsidR="006564AA" w:rsidRDefault="00037F74">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1,944.00</w:t>
            </w:r>
          </w:p>
        </w:tc>
      </w:tr>
      <w:tr w:rsidR="003379AA" w:rsidRPr="0023702F" w14:paraId="19D9C2B5" w14:textId="77777777" w:rsidTr="00194F5C">
        <w:trPr>
          <w:trHeight w:val="322"/>
        </w:trPr>
        <w:tc>
          <w:tcPr>
            <w:tcW w:w="3779" w:type="dxa"/>
            <w:tcBorders>
              <w:top w:val="nil"/>
              <w:left w:val="single" w:sz="4" w:space="0" w:color="auto"/>
              <w:bottom w:val="single" w:sz="4" w:space="0" w:color="auto"/>
              <w:right w:val="single" w:sz="4" w:space="0" w:color="auto"/>
            </w:tcBorders>
            <w:noWrap/>
            <w:vAlign w:val="bottom"/>
            <w:hideMark/>
          </w:tcPr>
          <w:p w14:paraId="00FF3D5D" w14:textId="77777777" w:rsidR="006564AA" w:rsidRPr="0023702F" w:rsidRDefault="00037F74">
            <w:pPr>
              <w:spacing w:line="360" w:lineRule="auto"/>
              <w:rPr>
                <w:rFonts w:eastAsia="Times New Roman" w:cs="Times New Roman"/>
                <w:b/>
                <w:bCs/>
                <w:color w:val="000000"/>
                <w:szCs w:val="24"/>
                <w:lang w:eastAsia="en-IN"/>
              </w:rPr>
            </w:pPr>
            <w:r w:rsidRPr="0023702F">
              <w:rPr>
                <w:rFonts w:eastAsia="Times New Roman" w:cs="Times New Roman"/>
                <w:b/>
                <w:bCs/>
                <w:color w:val="000000"/>
                <w:szCs w:val="24"/>
                <w:lang w:eastAsia="en-IN"/>
              </w:rPr>
              <w:t>PAT</w:t>
            </w:r>
          </w:p>
        </w:tc>
        <w:tc>
          <w:tcPr>
            <w:tcW w:w="2648" w:type="dxa"/>
            <w:tcBorders>
              <w:top w:val="nil"/>
              <w:left w:val="nil"/>
              <w:bottom w:val="single" w:sz="4" w:space="0" w:color="auto"/>
              <w:right w:val="single" w:sz="4" w:space="0" w:color="auto"/>
            </w:tcBorders>
            <w:noWrap/>
            <w:vAlign w:val="bottom"/>
            <w:hideMark/>
          </w:tcPr>
          <w:p w14:paraId="5AE1C4B1" w14:textId="77777777" w:rsidR="006564AA" w:rsidRPr="0023702F" w:rsidRDefault="00037F74">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6,243.00</w:t>
            </w:r>
          </w:p>
        </w:tc>
        <w:tc>
          <w:tcPr>
            <w:tcW w:w="1648" w:type="dxa"/>
            <w:tcBorders>
              <w:top w:val="nil"/>
              <w:left w:val="nil"/>
              <w:bottom w:val="single" w:sz="4" w:space="0" w:color="auto"/>
              <w:right w:val="single" w:sz="4" w:space="0" w:color="auto"/>
            </w:tcBorders>
            <w:noWrap/>
            <w:vAlign w:val="bottom"/>
            <w:hideMark/>
          </w:tcPr>
          <w:p w14:paraId="2243B093" w14:textId="77777777" w:rsidR="006564AA" w:rsidRPr="0023702F" w:rsidRDefault="00037F74">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3,442.00</w:t>
            </w:r>
          </w:p>
        </w:tc>
      </w:tr>
    </w:tbl>
    <w:p w14:paraId="520F6249" w14:textId="77777777" w:rsidR="006564AA" w:rsidRPr="0023702F" w:rsidRDefault="006564AA">
      <w:pPr>
        <w:rPr>
          <w:rFonts w:cs="Times New Roman"/>
          <w:b/>
          <w:bCs/>
          <w:szCs w:val="24"/>
        </w:rPr>
      </w:pPr>
    </w:p>
    <w:p w14:paraId="333A5DC4" w14:textId="77777777" w:rsidR="00F34861" w:rsidRDefault="00F34861">
      <w:pPr>
        <w:rPr>
          <w:rFonts w:cs="Times New Roman"/>
          <w:b/>
          <w:bCs/>
          <w:szCs w:val="24"/>
        </w:rPr>
      </w:pPr>
    </w:p>
    <w:p w14:paraId="612BFA79" w14:textId="77777777" w:rsidR="00F34861" w:rsidRDefault="00F34861">
      <w:pPr>
        <w:rPr>
          <w:rFonts w:cs="Times New Roman"/>
          <w:b/>
          <w:bCs/>
          <w:szCs w:val="24"/>
        </w:rPr>
      </w:pPr>
    </w:p>
    <w:p w14:paraId="6F34DEBA" w14:textId="77777777" w:rsidR="00F34861" w:rsidRDefault="00F34861">
      <w:pPr>
        <w:rPr>
          <w:rFonts w:cs="Times New Roman"/>
          <w:b/>
          <w:bCs/>
          <w:szCs w:val="24"/>
        </w:rPr>
      </w:pPr>
    </w:p>
    <w:p w14:paraId="5A517F8D" w14:textId="77777777" w:rsidR="00F34861" w:rsidRDefault="00F34861">
      <w:pPr>
        <w:rPr>
          <w:rFonts w:cs="Times New Roman"/>
          <w:b/>
          <w:bCs/>
          <w:szCs w:val="24"/>
        </w:rPr>
      </w:pPr>
    </w:p>
    <w:p w14:paraId="03973957" w14:textId="77777777" w:rsidR="00F34861" w:rsidRDefault="00F34861">
      <w:pPr>
        <w:rPr>
          <w:rFonts w:cs="Times New Roman"/>
          <w:b/>
          <w:bCs/>
          <w:szCs w:val="24"/>
        </w:rPr>
      </w:pPr>
    </w:p>
    <w:p w14:paraId="5B7F6E69" w14:textId="77777777" w:rsidR="004B6245" w:rsidRDefault="004B6245">
      <w:pPr>
        <w:rPr>
          <w:rFonts w:cs="Times New Roman"/>
          <w:b/>
          <w:bCs/>
          <w:szCs w:val="24"/>
        </w:rPr>
      </w:pPr>
    </w:p>
    <w:p w14:paraId="42BB87A3" w14:textId="77777777" w:rsidR="004B6245" w:rsidRDefault="004B6245">
      <w:pPr>
        <w:rPr>
          <w:rFonts w:cs="Times New Roman"/>
          <w:b/>
          <w:bCs/>
          <w:szCs w:val="24"/>
        </w:rPr>
      </w:pPr>
    </w:p>
    <w:p w14:paraId="2F4F5BB9" w14:textId="77777777" w:rsidR="004B6245" w:rsidRDefault="004B6245">
      <w:pPr>
        <w:rPr>
          <w:rFonts w:cs="Times New Roman"/>
          <w:b/>
          <w:bCs/>
          <w:szCs w:val="24"/>
        </w:rPr>
      </w:pPr>
    </w:p>
    <w:p w14:paraId="127E8414" w14:textId="77777777" w:rsidR="004B6245" w:rsidRDefault="004B6245">
      <w:pPr>
        <w:rPr>
          <w:rFonts w:cs="Times New Roman"/>
          <w:b/>
          <w:bCs/>
          <w:szCs w:val="24"/>
        </w:rPr>
      </w:pPr>
    </w:p>
    <w:p w14:paraId="1A9DABC4" w14:textId="77777777" w:rsidR="004B6245" w:rsidRDefault="004B6245">
      <w:pPr>
        <w:rPr>
          <w:rFonts w:cs="Times New Roman"/>
          <w:b/>
          <w:bCs/>
          <w:szCs w:val="24"/>
        </w:rPr>
      </w:pPr>
    </w:p>
    <w:p w14:paraId="2DD33008" w14:textId="77777777" w:rsidR="00F34861" w:rsidRDefault="00F34861">
      <w:pPr>
        <w:rPr>
          <w:rFonts w:cs="Times New Roman"/>
          <w:b/>
          <w:bCs/>
          <w:szCs w:val="24"/>
        </w:rPr>
      </w:pPr>
    </w:p>
    <w:p w14:paraId="19E674BB" w14:textId="77777777" w:rsidR="00194F5C" w:rsidRDefault="00194F5C">
      <w:pPr>
        <w:rPr>
          <w:rFonts w:cs="Times New Roman"/>
          <w:b/>
          <w:bCs/>
          <w:szCs w:val="24"/>
        </w:rPr>
      </w:pPr>
    </w:p>
    <w:p w14:paraId="3918EAE6" w14:textId="77777777" w:rsidR="00194F5C" w:rsidRDefault="00194F5C">
      <w:pPr>
        <w:rPr>
          <w:rFonts w:cs="Times New Roman"/>
          <w:b/>
          <w:bCs/>
          <w:szCs w:val="24"/>
        </w:rPr>
      </w:pPr>
    </w:p>
    <w:p w14:paraId="0BF83F8B" w14:textId="77777777" w:rsidR="006564AA" w:rsidRDefault="00037F74" w:rsidP="00194F5C">
      <w:pPr>
        <w:ind w:right="-170"/>
        <w:rPr>
          <w:rFonts w:cs="Times New Roman"/>
          <w:b/>
          <w:bCs/>
          <w:color w:val="000000"/>
          <w:szCs w:val="24"/>
        </w:rPr>
      </w:pPr>
      <w:r>
        <w:rPr>
          <w:rFonts w:cs="Times New Roman"/>
          <w:b/>
          <w:bCs/>
          <w:szCs w:val="24"/>
        </w:rPr>
        <w:lastRenderedPageBreak/>
        <w:t>C ONGC</w:t>
      </w:r>
    </w:p>
    <w:p w14:paraId="4DAA5DA2" w14:textId="77777777" w:rsidR="006564AA" w:rsidRPr="008B158C" w:rsidRDefault="006564AA" w:rsidP="00194F5C">
      <w:pPr>
        <w:tabs>
          <w:tab w:val="left" w:pos="8080"/>
        </w:tabs>
        <w:jc w:val="center"/>
        <w:rPr>
          <w:rFonts w:cs="Times New Roman"/>
          <w:b/>
          <w:bCs/>
          <w:szCs w:val="24"/>
          <w:u w:val="single"/>
        </w:rPr>
      </w:pPr>
    </w:p>
    <w:p w14:paraId="1BD6FB27" w14:textId="77777777" w:rsidR="006564AA" w:rsidRPr="008B158C" w:rsidRDefault="00037F74" w:rsidP="00F34861">
      <w:pPr>
        <w:jc w:val="center"/>
        <w:rPr>
          <w:rFonts w:cs="Times New Roman"/>
          <w:b/>
          <w:bCs/>
          <w:szCs w:val="24"/>
          <w:u w:val="single"/>
        </w:rPr>
      </w:pPr>
      <w:r w:rsidRPr="008B158C">
        <w:rPr>
          <w:rFonts w:cs="Times New Roman"/>
          <w:b/>
          <w:bCs/>
          <w:szCs w:val="24"/>
          <w:u w:val="single"/>
        </w:rPr>
        <w:t>Balance Sheet</w:t>
      </w:r>
    </w:p>
    <w:p w14:paraId="216DBED8" w14:textId="77777777" w:rsidR="006564AA" w:rsidRPr="008B158C" w:rsidRDefault="00037F74" w:rsidP="00194F5C">
      <w:pPr>
        <w:tabs>
          <w:tab w:val="left" w:pos="8080"/>
        </w:tabs>
        <w:jc w:val="center"/>
        <w:rPr>
          <w:rFonts w:cs="Times New Roman"/>
          <w:b/>
          <w:bCs/>
          <w:szCs w:val="24"/>
          <w:u w:val="single"/>
        </w:rPr>
      </w:pPr>
      <w:r w:rsidRPr="008B158C">
        <w:rPr>
          <w:rFonts w:eastAsia="Times New Roman" w:cs="Times New Roman"/>
          <w:b/>
          <w:bCs/>
          <w:color w:val="000000"/>
          <w:szCs w:val="24"/>
          <w:u w:val="single"/>
        </w:rPr>
        <w:t>Year Ending March (in Rs Crores)</w:t>
      </w:r>
    </w:p>
    <w:tbl>
      <w:tblPr>
        <w:tblW w:w="8075" w:type="dxa"/>
        <w:tblLook w:val="04A0" w:firstRow="1" w:lastRow="0" w:firstColumn="1" w:lastColumn="0" w:noHBand="0" w:noVBand="1"/>
      </w:tblPr>
      <w:tblGrid>
        <w:gridCol w:w="2833"/>
        <w:gridCol w:w="1764"/>
        <w:gridCol w:w="1815"/>
        <w:gridCol w:w="1771"/>
      </w:tblGrid>
      <w:tr w:rsidR="003379AA" w14:paraId="7C878E85"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auto" w:fill="B6DDE8"/>
            <w:noWrap/>
            <w:vAlign w:val="bottom"/>
            <w:hideMark/>
          </w:tcPr>
          <w:p w14:paraId="0A3F1660" w14:textId="77777777" w:rsidR="006564AA" w:rsidRDefault="00037F74">
            <w:pPr>
              <w:rPr>
                <w:rFonts w:eastAsia="Times New Roman" w:cs="Times New Roman"/>
                <w:color w:val="000000"/>
                <w:szCs w:val="24"/>
              </w:rPr>
            </w:pPr>
            <w:r>
              <w:rPr>
                <w:rFonts w:eastAsia="Times New Roman" w:cs="Times New Roman"/>
                <w:b/>
                <w:bCs/>
                <w:color w:val="000000"/>
                <w:szCs w:val="24"/>
                <w:lang w:eastAsia="en-IN"/>
              </w:rPr>
              <w:t>Particulars</w:t>
            </w:r>
          </w:p>
        </w:tc>
        <w:tc>
          <w:tcPr>
            <w:tcW w:w="1789" w:type="dxa"/>
            <w:tcBorders>
              <w:top w:val="single" w:sz="4" w:space="0" w:color="auto"/>
              <w:left w:val="nil"/>
              <w:bottom w:val="single" w:sz="4" w:space="0" w:color="auto"/>
              <w:right w:val="single" w:sz="4" w:space="0" w:color="auto"/>
            </w:tcBorders>
            <w:shd w:val="clear" w:color="auto" w:fill="B6DDE8"/>
            <w:noWrap/>
            <w:vAlign w:val="bottom"/>
            <w:hideMark/>
          </w:tcPr>
          <w:p w14:paraId="314A134E" w14:textId="77777777" w:rsidR="006564AA" w:rsidRDefault="00037F74">
            <w:pPr>
              <w:rPr>
                <w:rFonts w:eastAsia="Times New Roman" w:cs="Times New Roman"/>
                <w:b/>
                <w:bCs/>
                <w:color w:val="000000"/>
                <w:szCs w:val="24"/>
              </w:rPr>
            </w:pPr>
            <w:r>
              <w:rPr>
                <w:rFonts w:eastAsia="Times New Roman" w:cs="Times New Roman"/>
                <w:b/>
                <w:bCs/>
                <w:color w:val="000000"/>
                <w:szCs w:val="24"/>
              </w:rPr>
              <w:t>FY17</w:t>
            </w:r>
          </w:p>
        </w:tc>
        <w:tc>
          <w:tcPr>
            <w:tcW w:w="1841" w:type="dxa"/>
            <w:tcBorders>
              <w:top w:val="single" w:sz="4" w:space="0" w:color="auto"/>
              <w:left w:val="nil"/>
              <w:bottom w:val="single" w:sz="4" w:space="0" w:color="auto"/>
              <w:right w:val="single" w:sz="4" w:space="0" w:color="auto"/>
            </w:tcBorders>
            <w:shd w:val="clear" w:color="auto" w:fill="B6DDE8"/>
            <w:noWrap/>
            <w:vAlign w:val="bottom"/>
            <w:hideMark/>
          </w:tcPr>
          <w:p w14:paraId="01D3542F" w14:textId="77777777" w:rsidR="006564AA" w:rsidRDefault="00037F74">
            <w:pPr>
              <w:rPr>
                <w:rFonts w:eastAsia="Times New Roman" w:cs="Times New Roman"/>
                <w:b/>
                <w:bCs/>
                <w:color w:val="000000"/>
                <w:szCs w:val="24"/>
              </w:rPr>
            </w:pPr>
            <w:r>
              <w:rPr>
                <w:rFonts w:eastAsia="Times New Roman" w:cs="Times New Roman"/>
                <w:b/>
                <w:bCs/>
                <w:color w:val="000000"/>
                <w:szCs w:val="24"/>
              </w:rPr>
              <w:t>FY18</w:t>
            </w:r>
          </w:p>
        </w:tc>
        <w:tc>
          <w:tcPr>
            <w:tcW w:w="1568" w:type="dxa"/>
            <w:tcBorders>
              <w:top w:val="single" w:sz="4" w:space="0" w:color="auto"/>
              <w:left w:val="nil"/>
              <w:bottom w:val="single" w:sz="4" w:space="0" w:color="auto"/>
              <w:right w:val="single" w:sz="4" w:space="0" w:color="auto"/>
            </w:tcBorders>
            <w:shd w:val="clear" w:color="auto" w:fill="B6DDE8"/>
            <w:noWrap/>
            <w:vAlign w:val="bottom"/>
            <w:hideMark/>
          </w:tcPr>
          <w:p w14:paraId="23512F12" w14:textId="77777777" w:rsidR="006564AA" w:rsidRDefault="00037F74" w:rsidP="00194F5C">
            <w:pPr>
              <w:ind w:right="320"/>
              <w:rPr>
                <w:rFonts w:eastAsia="Times New Roman" w:cs="Times New Roman"/>
                <w:b/>
                <w:bCs/>
                <w:color w:val="000000"/>
                <w:szCs w:val="24"/>
              </w:rPr>
            </w:pPr>
            <w:r>
              <w:rPr>
                <w:rFonts w:eastAsia="Times New Roman" w:cs="Times New Roman"/>
                <w:b/>
                <w:bCs/>
                <w:color w:val="000000"/>
                <w:szCs w:val="24"/>
              </w:rPr>
              <w:t>FY19</w:t>
            </w:r>
          </w:p>
        </w:tc>
      </w:tr>
      <w:tr w:rsidR="003379AA" w14:paraId="742BA02D"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7737202" w14:textId="77777777" w:rsidR="006564AA" w:rsidRDefault="00037F74">
            <w:pPr>
              <w:rPr>
                <w:rFonts w:eastAsia="Times New Roman" w:cs="Times New Roman"/>
                <w:color w:val="000000"/>
                <w:szCs w:val="24"/>
              </w:rPr>
            </w:pPr>
            <w:r>
              <w:rPr>
                <w:rFonts w:eastAsia="Times New Roman" w:cs="Times New Roman"/>
                <w:color w:val="000000"/>
                <w:szCs w:val="24"/>
              </w:rPr>
              <w:t>Share capital</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22E9B3EF" w14:textId="77777777" w:rsidR="006564AA" w:rsidRDefault="00037F74">
            <w:pPr>
              <w:jc w:val="right"/>
              <w:rPr>
                <w:rFonts w:eastAsia="Times New Roman" w:cs="Times New Roman"/>
                <w:color w:val="000000"/>
                <w:szCs w:val="24"/>
              </w:rPr>
            </w:pPr>
            <w:r>
              <w:rPr>
                <w:rFonts w:eastAsia="Times New Roman" w:cs="Times New Roman"/>
                <w:color w:val="000000"/>
                <w:szCs w:val="24"/>
              </w:rPr>
              <w:t>64,166.32</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7AA89F61" w14:textId="77777777" w:rsidR="006564AA" w:rsidRDefault="00037F74">
            <w:pPr>
              <w:jc w:val="right"/>
              <w:rPr>
                <w:rFonts w:eastAsia="Times New Roman" w:cs="Times New Roman"/>
                <w:color w:val="000000"/>
                <w:szCs w:val="24"/>
              </w:rPr>
            </w:pPr>
            <w:r>
              <w:rPr>
                <w:rFonts w:eastAsia="Times New Roman" w:cs="Times New Roman"/>
                <w:color w:val="000000"/>
                <w:szCs w:val="24"/>
              </w:rPr>
              <w:t>64,166.32</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31F737FD" w14:textId="77777777" w:rsidR="006564AA" w:rsidRDefault="00037F74" w:rsidP="00194F5C">
            <w:pPr>
              <w:ind w:right="320"/>
              <w:jc w:val="right"/>
              <w:rPr>
                <w:rFonts w:eastAsia="Times New Roman" w:cs="Times New Roman"/>
                <w:color w:val="000000"/>
                <w:szCs w:val="24"/>
              </w:rPr>
            </w:pPr>
            <w:r>
              <w:rPr>
                <w:rFonts w:eastAsia="Times New Roman" w:cs="Times New Roman"/>
                <w:color w:val="000000"/>
                <w:szCs w:val="24"/>
              </w:rPr>
              <w:t>62,901.54</w:t>
            </w:r>
          </w:p>
        </w:tc>
      </w:tr>
      <w:tr w:rsidR="003379AA" w14:paraId="140E8B56"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8ACD230" w14:textId="77777777" w:rsidR="006564AA" w:rsidRDefault="00037F74">
            <w:pPr>
              <w:rPr>
                <w:rFonts w:eastAsia="Times New Roman" w:cs="Times New Roman"/>
                <w:color w:val="000000"/>
                <w:szCs w:val="24"/>
              </w:rPr>
            </w:pPr>
            <w:r>
              <w:rPr>
                <w:rFonts w:eastAsia="Times New Roman" w:cs="Times New Roman"/>
                <w:color w:val="000000"/>
                <w:szCs w:val="24"/>
              </w:rPr>
              <w:t>Other Equity</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29084E63" w14:textId="77777777" w:rsidR="006564AA" w:rsidRDefault="00037F74">
            <w:pPr>
              <w:jc w:val="right"/>
              <w:rPr>
                <w:rFonts w:eastAsia="Times New Roman" w:cs="Times New Roman"/>
                <w:color w:val="000000"/>
                <w:szCs w:val="24"/>
              </w:rPr>
            </w:pPr>
            <w:r>
              <w:rPr>
                <w:rFonts w:eastAsia="Times New Roman" w:cs="Times New Roman"/>
                <w:color w:val="000000"/>
                <w:szCs w:val="24"/>
              </w:rPr>
              <w:t>17,91,217.48</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3EB3E25D" w14:textId="77777777" w:rsidR="006564AA" w:rsidRDefault="00037F74">
            <w:pPr>
              <w:jc w:val="right"/>
              <w:rPr>
                <w:rFonts w:eastAsia="Times New Roman" w:cs="Times New Roman"/>
                <w:color w:val="000000"/>
                <w:szCs w:val="24"/>
              </w:rPr>
            </w:pPr>
            <w:r>
              <w:rPr>
                <w:rFonts w:eastAsia="Times New Roman" w:cs="Times New Roman"/>
                <w:color w:val="000000"/>
                <w:szCs w:val="24"/>
              </w:rPr>
              <w:t>18,69,680.49</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15FFDEAF" w14:textId="77777777" w:rsidR="006564AA" w:rsidRDefault="00037F74" w:rsidP="00194F5C">
            <w:pPr>
              <w:ind w:right="320"/>
              <w:jc w:val="right"/>
              <w:rPr>
                <w:rFonts w:eastAsia="Times New Roman" w:cs="Times New Roman"/>
                <w:color w:val="000000"/>
                <w:szCs w:val="24"/>
              </w:rPr>
            </w:pPr>
            <w:r>
              <w:rPr>
                <w:rFonts w:eastAsia="Times New Roman" w:cs="Times New Roman"/>
                <w:color w:val="000000"/>
                <w:szCs w:val="24"/>
              </w:rPr>
              <w:t>19,67,024.01</w:t>
            </w:r>
          </w:p>
        </w:tc>
      </w:tr>
      <w:tr w:rsidR="003379AA" w14:paraId="418B988C"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0418B8" w14:textId="77777777" w:rsidR="006564AA" w:rsidRPr="004B6245" w:rsidRDefault="00037F74">
            <w:pPr>
              <w:rPr>
                <w:rFonts w:eastAsia="Times New Roman" w:cs="Times New Roman"/>
                <w:b/>
                <w:bCs/>
                <w:color w:val="000000"/>
                <w:szCs w:val="24"/>
              </w:rPr>
            </w:pPr>
            <w:r w:rsidRPr="004B6245">
              <w:rPr>
                <w:rFonts w:eastAsia="Times New Roman" w:cs="Times New Roman"/>
                <w:b/>
                <w:bCs/>
                <w:color w:val="000000"/>
                <w:szCs w:val="24"/>
              </w:rPr>
              <w:t>Total Shareholders’ Funds</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71350057" w14:textId="77777777" w:rsidR="006564AA" w:rsidRPr="004B6245" w:rsidRDefault="00037F74">
            <w:pPr>
              <w:jc w:val="right"/>
              <w:rPr>
                <w:rFonts w:eastAsia="Times New Roman" w:cs="Times New Roman"/>
                <w:b/>
                <w:bCs/>
                <w:color w:val="000000"/>
                <w:szCs w:val="24"/>
              </w:rPr>
            </w:pPr>
            <w:r w:rsidRPr="004B6245">
              <w:rPr>
                <w:rFonts w:eastAsia="Times New Roman" w:cs="Times New Roman"/>
                <w:b/>
                <w:bCs/>
                <w:color w:val="000000"/>
                <w:szCs w:val="24"/>
              </w:rPr>
              <w:t>18,55,383.80</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195AFDF9" w14:textId="77777777" w:rsidR="006564AA" w:rsidRPr="004B6245" w:rsidRDefault="00037F74">
            <w:pPr>
              <w:jc w:val="right"/>
              <w:rPr>
                <w:rFonts w:eastAsia="Times New Roman" w:cs="Times New Roman"/>
                <w:b/>
                <w:bCs/>
                <w:color w:val="000000"/>
                <w:szCs w:val="24"/>
              </w:rPr>
            </w:pPr>
            <w:r w:rsidRPr="004B6245">
              <w:rPr>
                <w:rFonts w:eastAsia="Times New Roman" w:cs="Times New Roman"/>
                <w:b/>
                <w:bCs/>
                <w:color w:val="000000"/>
                <w:szCs w:val="24"/>
              </w:rPr>
              <w:t>19,33,846.81</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52CDF061" w14:textId="77777777" w:rsidR="006564AA" w:rsidRPr="004B6245" w:rsidRDefault="00037F74" w:rsidP="00194F5C">
            <w:pPr>
              <w:ind w:right="320"/>
              <w:jc w:val="right"/>
              <w:rPr>
                <w:rFonts w:eastAsia="Times New Roman" w:cs="Times New Roman"/>
                <w:b/>
                <w:bCs/>
                <w:color w:val="000000"/>
                <w:szCs w:val="24"/>
              </w:rPr>
            </w:pPr>
            <w:r w:rsidRPr="004B6245">
              <w:rPr>
                <w:rFonts w:eastAsia="Times New Roman" w:cs="Times New Roman"/>
                <w:b/>
                <w:bCs/>
                <w:color w:val="000000"/>
                <w:szCs w:val="24"/>
              </w:rPr>
              <w:t>20,29,925.55</w:t>
            </w:r>
          </w:p>
        </w:tc>
      </w:tr>
      <w:tr w:rsidR="003379AA" w14:paraId="3C56E2B1"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680E80" w14:textId="77777777" w:rsidR="006564AA" w:rsidRDefault="00037F74">
            <w:pPr>
              <w:rPr>
                <w:rFonts w:eastAsia="Times New Roman" w:cs="Times New Roman"/>
                <w:color w:val="000000"/>
                <w:szCs w:val="24"/>
              </w:rPr>
            </w:pPr>
            <w:r>
              <w:rPr>
                <w:rFonts w:eastAsia="Times New Roman" w:cs="Times New Roman"/>
                <w:color w:val="000000"/>
                <w:szCs w:val="24"/>
              </w:rPr>
              <w:t>Total Debt</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6A00FD98" w14:textId="77777777" w:rsidR="006564AA" w:rsidRDefault="00037F74">
            <w:pPr>
              <w:jc w:val="right"/>
              <w:rPr>
                <w:rFonts w:eastAsia="Times New Roman" w:cs="Times New Roman"/>
                <w:color w:val="000000"/>
                <w:szCs w:val="24"/>
              </w:rPr>
            </w:pPr>
            <w:r>
              <w:rPr>
                <w:rFonts w:eastAsia="Times New Roman" w:cs="Times New Roman"/>
                <w:color w:val="000000"/>
                <w:szCs w:val="24"/>
              </w:rPr>
              <w:t>1,95,435.83</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430D99CB" w14:textId="77777777" w:rsidR="006564AA" w:rsidRDefault="00037F74">
            <w:pPr>
              <w:jc w:val="right"/>
              <w:rPr>
                <w:rFonts w:eastAsia="Times New Roman" w:cs="Times New Roman"/>
                <w:color w:val="000000"/>
                <w:szCs w:val="24"/>
              </w:rPr>
            </w:pPr>
            <w:r>
              <w:rPr>
                <w:rFonts w:eastAsia="Times New Roman" w:cs="Times New Roman"/>
                <w:color w:val="000000"/>
                <w:szCs w:val="24"/>
              </w:rPr>
              <w:t>2,14,512.20</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7BD1D7F6" w14:textId="77777777" w:rsidR="006564AA" w:rsidRDefault="00037F74" w:rsidP="00194F5C">
            <w:pPr>
              <w:ind w:right="320"/>
              <w:jc w:val="right"/>
              <w:rPr>
                <w:rFonts w:eastAsia="Times New Roman" w:cs="Times New Roman"/>
                <w:color w:val="000000"/>
                <w:szCs w:val="24"/>
              </w:rPr>
            </w:pPr>
            <w:r>
              <w:rPr>
                <w:rFonts w:eastAsia="Times New Roman" w:cs="Times New Roman"/>
                <w:color w:val="000000"/>
                <w:szCs w:val="24"/>
              </w:rPr>
              <w:t>2,37,438.69</w:t>
            </w:r>
          </w:p>
        </w:tc>
      </w:tr>
      <w:tr w:rsidR="003379AA" w14:paraId="6C338682"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C43708C" w14:textId="77777777" w:rsidR="006564AA" w:rsidRDefault="00037F74">
            <w:pPr>
              <w:rPr>
                <w:rFonts w:eastAsia="Times New Roman" w:cs="Times New Roman"/>
                <w:color w:val="000000"/>
                <w:szCs w:val="24"/>
              </w:rPr>
            </w:pPr>
            <w:r>
              <w:rPr>
                <w:rFonts w:eastAsia="Times New Roman" w:cs="Times New Roman"/>
                <w:color w:val="000000"/>
                <w:szCs w:val="24"/>
              </w:rPr>
              <w:t>Other Non-Current Liabilities</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7241994D" w14:textId="77777777" w:rsidR="006564AA" w:rsidRDefault="00037F74">
            <w:pPr>
              <w:jc w:val="right"/>
              <w:rPr>
                <w:rFonts w:eastAsia="Times New Roman" w:cs="Times New Roman"/>
                <w:color w:val="000000"/>
                <w:szCs w:val="24"/>
              </w:rPr>
            </w:pPr>
            <w:r>
              <w:rPr>
                <w:rFonts w:eastAsia="Times New Roman" w:cs="Times New Roman"/>
                <w:color w:val="000000"/>
                <w:szCs w:val="24"/>
              </w:rPr>
              <w:t>7,708.52</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59A31548" w14:textId="77777777" w:rsidR="006564AA" w:rsidRDefault="00037F74">
            <w:pPr>
              <w:jc w:val="right"/>
              <w:rPr>
                <w:rFonts w:eastAsia="Times New Roman" w:cs="Times New Roman"/>
                <w:color w:val="000000"/>
                <w:szCs w:val="24"/>
              </w:rPr>
            </w:pPr>
            <w:r>
              <w:rPr>
                <w:rFonts w:eastAsia="Times New Roman" w:cs="Times New Roman"/>
                <w:color w:val="000000"/>
                <w:szCs w:val="24"/>
              </w:rPr>
              <w:t>7,712.61</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6074642A" w14:textId="77777777" w:rsidR="006564AA" w:rsidRDefault="00037F74" w:rsidP="00194F5C">
            <w:pPr>
              <w:ind w:right="320"/>
              <w:jc w:val="right"/>
              <w:rPr>
                <w:rFonts w:eastAsia="Times New Roman" w:cs="Times New Roman"/>
                <w:color w:val="000000"/>
                <w:szCs w:val="24"/>
              </w:rPr>
            </w:pPr>
            <w:r>
              <w:rPr>
                <w:rFonts w:eastAsia="Times New Roman" w:cs="Times New Roman"/>
                <w:color w:val="000000"/>
                <w:szCs w:val="24"/>
              </w:rPr>
              <w:t>7,121.30</w:t>
            </w:r>
          </w:p>
        </w:tc>
      </w:tr>
      <w:tr w:rsidR="003379AA" w14:paraId="20BC85AF"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FBC0E9C" w14:textId="77777777" w:rsidR="006564AA" w:rsidRDefault="00037F74">
            <w:pPr>
              <w:rPr>
                <w:rFonts w:eastAsia="Times New Roman" w:cs="Times New Roman"/>
                <w:color w:val="000000"/>
                <w:szCs w:val="24"/>
              </w:rPr>
            </w:pPr>
            <w:r>
              <w:rPr>
                <w:rFonts w:eastAsia="Times New Roman" w:cs="Times New Roman"/>
                <w:color w:val="000000"/>
                <w:szCs w:val="24"/>
              </w:rPr>
              <w:t>Deferred Taxes</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3C892102" w14:textId="77777777" w:rsidR="006564AA" w:rsidRDefault="00037F74">
            <w:pPr>
              <w:jc w:val="right"/>
              <w:rPr>
                <w:rFonts w:eastAsia="Times New Roman" w:cs="Times New Roman"/>
                <w:color w:val="000000"/>
                <w:szCs w:val="24"/>
              </w:rPr>
            </w:pPr>
            <w:r>
              <w:rPr>
                <w:rFonts w:eastAsia="Times New Roman" w:cs="Times New Roman"/>
                <w:color w:val="000000"/>
                <w:szCs w:val="24"/>
              </w:rPr>
              <w:t>2,21,632.12</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73C41540" w14:textId="77777777" w:rsidR="006564AA" w:rsidRDefault="00037F74">
            <w:pPr>
              <w:jc w:val="right"/>
              <w:rPr>
                <w:rFonts w:eastAsia="Times New Roman" w:cs="Times New Roman"/>
                <w:color w:val="000000"/>
                <w:szCs w:val="24"/>
              </w:rPr>
            </w:pPr>
            <w:r>
              <w:rPr>
                <w:rFonts w:eastAsia="Times New Roman" w:cs="Times New Roman"/>
                <w:color w:val="000000"/>
                <w:szCs w:val="24"/>
              </w:rPr>
              <w:t>2,62,591.57</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44703C0D" w14:textId="77777777" w:rsidR="006564AA" w:rsidRDefault="00037F74" w:rsidP="00194F5C">
            <w:pPr>
              <w:ind w:right="320"/>
              <w:jc w:val="right"/>
              <w:rPr>
                <w:rFonts w:eastAsia="Times New Roman" w:cs="Times New Roman"/>
                <w:color w:val="000000"/>
                <w:szCs w:val="24"/>
              </w:rPr>
            </w:pPr>
            <w:r>
              <w:rPr>
                <w:rFonts w:eastAsia="Times New Roman" w:cs="Times New Roman"/>
                <w:color w:val="000000"/>
                <w:szCs w:val="24"/>
              </w:rPr>
              <w:t>2,80,703.80</w:t>
            </w:r>
          </w:p>
        </w:tc>
      </w:tr>
      <w:tr w:rsidR="003379AA" w14:paraId="177B7FCA"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B613E92" w14:textId="77777777" w:rsidR="006564AA" w:rsidRPr="0023702F" w:rsidRDefault="00037F74">
            <w:pPr>
              <w:rPr>
                <w:rFonts w:eastAsia="Times New Roman" w:cs="Times New Roman"/>
                <w:color w:val="000000"/>
                <w:szCs w:val="24"/>
              </w:rPr>
            </w:pPr>
            <w:r w:rsidRPr="0023702F">
              <w:rPr>
                <w:rFonts w:eastAsia="Times New Roman" w:cs="Times New Roman"/>
                <w:color w:val="000000"/>
                <w:szCs w:val="24"/>
              </w:rPr>
              <w:t>Total Current Liabilities</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5CAA697D" w14:textId="77777777" w:rsidR="006564AA" w:rsidRPr="0023702F" w:rsidRDefault="00037F74">
            <w:pPr>
              <w:jc w:val="right"/>
              <w:rPr>
                <w:rFonts w:eastAsia="Times New Roman" w:cs="Times New Roman"/>
                <w:color w:val="000000"/>
                <w:szCs w:val="24"/>
              </w:rPr>
            </w:pPr>
            <w:r w:rsidRPr="0023702F">
              <w:rPr>
                <w:rFonts w:eastAsia="Times New Roman" w:cs="Times New Roman"/>
                <w:color w:val="000000"/>
                <w:szCs w:val="24"/>
              </w:rPr>
              <w:t>1,92,334.66</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109DC365" w14:textId="77777777" w:rsidR="006564AA" w:rsidRPr="0023702F" w:rsidRDefault="00037F74">
            <w:pPr>
              <w:jc w:val="right"/>
              <w:rPr>
                <w:rFonts w:eastAsia="Times New Roman" w:cs="Times New Roman"/>
                <w:color w:val="000000"/>
                <w:szCs w:val="24"/>
              </w:rPr>
            </w:pPr>
            <w:r w:rsidRPr="0023702F">
              <w:rPr>
                <w:rFonts w:eastAsia="Times New Roman" w:cs="Times New Roman"/>
                <w:color w:val="000000"/>
                <w:szCs w:val="24"/>
              </w:rPr>
              <w:t>4,93,618.59</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0F5DAB26" w14:textId="77777777" w:rsidR="006564AA" w:rsidRPr="0023702F" w:rsidRDefault="00037F74" w:rsidP="00194F5C">
            <w:pPr>
              <w:ind w:right="320"/>
              <w:jc w:val="right"/>
              <w:rPr>
                <w:rFonts w:eastAsia="Times New Roman" w:cs="Times New Roman"/>
                <w:color w:val="000000"/>
                <w:szCs w:val="24"/>
              </w:rPr>
            </w:pPr>
            <w:r w:rsidRPr="0023702F">
              <w:rPr>
                <w:rFonts w:eastAsia="Times New Roman" w:cs="Times New Roman"/>
                <w:color w:val="000000"/>
                <w:szCs w:val="24"/>
              </w:rPr>
              <w:t>4,67,168.78</w:t>
            </w:r>
          </w:p>
        </w:tc>
      </w:tr>
      <w:tr w:rsidR="003379AA" w14:paraId="77190729"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7E21796" w14:textId="77777777" w:rsidR="006564AA" w:rsidRPr="0023702F" w:rsidRDefault="00037F74">
            <w:pPr>
              <w:rPr>
                <w:rFonts w:eastAsia="Times New Roman" w:cs="Times New Roman"/>
                <w:b/>
                <w:bCs/>
                <w:color w:val="000000"/>
                <w:szCs w:val="24"/>
              </w:rPr>
            </w:pPr>
            <w:r w:rsidRPr="0023702F">
              <w:rPr>
                <w:rFonts w:eastAsia="Times New Roman" w:cs="Times New Roman"/>
                <w:b/>
                <w:bCs/>
                <w:color w:val="000000"/>
                <w:szCs w:val="24"/>
              </w:rPr>
              <w:t>Total Liabilities</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37AFBFF7" w14:textId="77777777" w:rsidR="006564AA" w:rsidRPr="0023702F" w:rsidRDefault="00037F74">
            <w:pPr>
              <w:jc w:val="right"/>
              <w:rPr>
                <w:rFonts w:eastAsia="Times New Roman" w:cs="Times New Roman"/>
                <w:b/>
                <w:bCs/>
                <w:color w:val="000000"/>
                <w:szCs w:val="24"/>
              </w:rPr>
            </w:pPr>
            <w:r w:rsidRPr="0023702F">
              <w:rPr>
                <w:rFonts w:eastAsia="Times New Roman" w:cs="Times New Roman"/>
                <w:b/>
                <w:bCs/>
                <w:color w:val="000000"/>
                <w:szCs w:val="24"/>
              </w:rPr>
              <w:t>24,72,494.93</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6C6444EA" w14:textId="77777777" w:rsidR="006564AA" w:rsidRPr="0023702F" w:rsidRDefault="00037F74">
            <w:pPr>
              <w:jc w:val="right"/>
              <w:rPr>
                <w:rFonts w:eastAsia="Times New Roman" w:cs="Times New Roman"/>
                <w:b/>
                <w:bCs/>
                <w:color w:val="000000"/>
                <w:szCs w:val="24"/>
              </w:rPr>
            </w:pPr>
            <w:r w:rsidRPr="0023702F">
              <w:rPr>
                <w:rFonts w:eastAsia="Times New Roman" w:cs="Times New Roman"/>
                <w:b/>
                <w:bCs/>
                <w:color w:val="000000"/>
                <w:szCs w:val="24"/>
              </w:rPr>
              <w:t>29,12,281.78</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5DB4AB35" w14:textId="77777777" w:rsidR="006564AA" w:rsidRPr="0023702F" w:rsidRDefault="00037F74" w:rsidP="00194F5C">
            <w:pPr>
              <w:ind w:right="320"/>
              <w:jc w:val="right"/>
              <w:rPr>
                <w:rFonts w:eastAsia="Times New Roman" w:cs="Times New Roman"/>
                <w:b/>
                <w:bCs/>
                <w:color w:val="000000"/>
                <w:szCs w:val="24"/>
              </w:rPr>
            </w:pPr>
            <w:r w:rsidRPr="0023702F">
              <w:rPr>
                <w:rFonts w:eastAsia="Times New Roman" w:cs="Times New Roman"/>
                <w:b/>
                <w:bCs/>
                <w:color w:val="000000"/>
                <w:szCs w:val="24"/>
              </w:rPr>
              <w:t>30,22,358.12</w:t>
            </w:r>
          </w:p>
        </w:tc>
      </w:tr>
      <w:tr w:rsidR="003379AA" w14:paraId="61421511"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634BA37" w14:textId="77777777" w:rsidR="006564AA" w:rsidRDefault="00037F74">
            <w:pPr>
              <w:rPr>
                <w:rFonts w:eastAsia="Times New Roman" w:cs="Times New Roman"/>
                <w:color w:val="000000"/>
                <w:szCs w:val="24"/>
              </w:rPr>
            </w:pPr>
            <w:r>
              <w:rPr>
                <w:rFonts w:eastAsia="Times New Roman" w:cs="Times New Roman"/>
                <w:color w:val="000000"/>
                <w:szCs w:val="24"/>
              </w:rPr>
              <w:t>Total Non-Current Assets</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7FD88F71" w14:textId="77777777" w:rsidR="006564AA" w:rsidRDefault="00037F74">
            <w:pPr>
              <w:jc w:val="right"/>
              <w:rPr>
                <w:rFonts w:eastAsia="Times New Roman" w:cs="Times New Roman"/>
                <w:color w:val="000000"/>
                <w:szCs w:val="24"/>
              </w:rPr>
            </w:pPr>
            <w:r>
              <w:rPr>
                <w:rFonts w:eastAsia="Times New Roman" w:cs="Times New Roman"/>
                <w:color w:val="000000"/>
                <w:szCs w:val="24"/>
              </w:rPr>
              <w:t>21,73,422.11</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3203DC7C" w14:textId="77777777" w:rsidR="006564AA" w:rsidRDefault="00037F74">
            <w:pPr>
              <w:jc w:val="right"/>
              <w:rPr>
                <w:rFonts w:eastAsia="Times New Roman" w:cs="Times New Roman"/>
                <w:color w:val="000000"/>
                <w:szCs w:val="24"/>
              </w:rPr>
            </w:pPr>
            <w:r>
              <w:rPr>
                <w:rFonts w:eastAsia="Times New Roman" w:cs="Times New Roman"/>
                <w:color w:val="000000"/>
                <w:szCs w:val="24"/>
              </w:rPr>
              <w:t>26,97,116.25</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592E5364" w14:textId="77777777" w:rsidR="006564AA" w:rsidRDefault="00037F74" w:rsidP="00194F5C">
            <w:pPr>
              <w:ind w:right="320"/>
              <w:jc w:val="right"/>
              <w:rPr>
                <w:rFonts w:eastAsia="Times New Roman" w:cs="Times New Roman"/>
                <w:color w:val="000000"/>
                <w:szCs w:val="24"/>
              </w:rPr>
            </w:pPr>
            <w:r>
              <w:rPr>
                <w:rFonts w:eastAsia="Times New Roman" w:cs="Times New Roman"/>
                <w:color w:val="000000"/>
                <w:szCs w:val="24"/>
              </w:rPr>
              <w:t>27,38,444.64</w:t>
            </w:r>
          </w:p>
        </w:tc>
      </w:tr>
      <w:tr w:rsidR="003379AA" w14:paraId="130648F9"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F2F230A" w14:textId="77777777" w:rsidR="006564AA" w:rsidRPr="0023702F" w:rsidRDefault="00037F74">
            <w:pPr>
              <w:rPr>
                <w:rFonts w:eastAsia="Times New Roman" w:cs="Times New Roman"/>
                <w:color w:val="000000"/>
                <w:szCs w:val="24"/>
              </w:rPr>
            </w:pPr>
            <w:r w:rsidRPr="0023702F">
              <w:rPr>
                <w:rFonts w:eastAsia="Times New Roman" w:cs="Times New Roman"/>
                <w:color w:val="000000"/>
                <w:szCs w:val="24"/>
              </w:rPr>
              <w:t>Total Current Assets</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0E6005C3" w14:textId="77777777" w:rsidR="006564AA" w:rsidRPr="0023702F" w:rsidRDefault="00037F74">
            <w:pPr>
              <w:jc w:val="right"/>
              <w:rPr>
                <w:rFonts w:eastAsia="Times New Roman" w:cs="Times New Roman"/>
                <w:color w:val="000000"/>
                <w:szCs w:val="24"/>
              </w:rPr>
            </w:pPr>
            <w:r w:rsidRPr="0023702F">
              <w:rPr>
                <w:rFonts w:eastAsia="Times New Roman" w:cs="Times New Roman"/>
                <w:color w:val="000000"/>
                <w:szCs w:val="24"/>
              </w:rPr>
              <w:t>2,99,072.82</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14C9B620" w14:textId="77777777" w:rsidR="006564AA" w:rsidRPr="0023702F" w:rsidRDefault="00037F74">
            <w:pPr>
              <w:jc w:val="right"/>
              <w:rPr>
                <w:rFonts w:eastAsia="Times New Roman" w:cs="Times New Roman"/>
                <w:color w:val="000000"/>
                <w:szCs w:val="24"/>
              </w:rPr>
            </w:pPr>
            <w:r w:rsidRPr="0023702F">
              <w:rPr>
                <w:rFonts w:eastAsia="Times New Roman" w:cs="Times New Roman"/>
                <w:color w:val="000000"/>
                <w:szCs w:val="24"/>
              </w:rPr>
              <w:t>2,15,165.53</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195CAA84" w14:textId="77777777" w:rsidR="006564AA" w:rsidRPr="0023702F" w:rsidRDefault="00037F74" w:rsidP="00194F5C">
            <w:pPr>
              <w:ind w:right="320"/>
              <w:jc w:val="right"/>
              <w:rPr>
                <w:rFonts w:eastAsia="Times New Roman" w:cs="Times New Roman"/>
                <w:color w:val="000000"/>
                <w:szCs w:val="24"/>
              </w:rPr>
            </w:pPr>
            <w:r w:rsidRPr="0023702F">
              <w:rPr>
                <w:rFonts w:eastAsia="Times New Roman" w:cs="Times New Roman"/>
                <w:color w:val="000000"/>
                <w:szCs w:val="24"/>
              </w:rPr>
              <w:t>2,83,903.48</w:t>
            </w:r>
          </w:p>
        </w:tc>
      </w:tr>
      <w:tr w:rsidR="003379AA" w14:paraId="39CE4553" w14:textId="77777777" w:rsidTr="00194F5C">
        <w:trPr>
          <w:trHeight w:val="422"/>
        </w:trPr>
        <w:tc>
          <w:tcPr>
            <w:tcW w:w="287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2A22B7" w14:textId="77777777" w:rsidR="006564AA" w:rsidRPr="004B6245" w:rsidRDefault="00037F74">
            <w:pPr>
              <w:rPr>
                <w:rFonts w:eastAsia="Times New Roman" w:cs="Times New Roman"/>
                <w:b/>
                <w:bCs/>
                <w:color w:val="000000"/>
                <w:szCs w:val="24"/>
              </w:rPr>
            </w:pPr>
            <w:r w:rsidRPr="004B6245">
              <w:rPr>
                <w:rFonts w:eastAsia="Times New Roman" w:cs="Times New Roman"/>
                <w:b/>
                <w:bCs/>
                <w:color w:val="000000"/>
                <w:szCs w:val="24"/>
              </w:rPr>
              <w:t>Total Assets</w:t>
            </w:r>
          </w:p>
        </w:tc>
        <w:tc>
          <w:tcPr>
            <w:tcW w:w="1789" w:type="dxa"/>
            <w:tcBorders>
              <w:top w:val="single" w:sz="4" w:space="0" w:color="auto"/>
              <w:left w:val="nil"/>
              <w:bottom w:val="single" w:sz="4" w:space="0" w:color="auto"/>
              <w:right w:val="single" w:sz="4" w:space="0" w:color="auto"/>
            </w:tcBorders>
            <w:shd w:val="clear" w:color="000000" w:fill="FFFFFF"/>
            <w:noWrap/>
            <w:vAlign w:val="bottom"/>
            <w:hideMark/>
          </w:tcPr>
          <w:p w14:paraId="3282B167" w14:textId="77777777" w:rsidR="006564AA" w:rsidRPr="004B6245" w:rsidRDefault="00037F74">
            <w:pPr>
              <w:jc w:val="right"/>
              <w:rPr>
                <w:rFonts w:eastAsia="Times New Roman" w:cs="Times New Roman"/>
                <w:b/>
                <w:bCs/>
                <w:color w:val="000000"/>
                <w:szCs w:val="24"/>
              </w:rPr>
            </w:pPr>
            <w:r w:rsidRPr="004B6245">
              <w:rPr>
                <w:rFonts w:eastAsia="Times New Roman" w:cs="Times New Roman"/>
                <w:b/>
                <w:bCs/>
                <w:color w:val="000000"/>
                <w:szCs w:val="24"/>
              </w:rPr>
              <w:t>24,72,494.93</w:t>
            </w:r>
          </w:p>
        </w:tc>
        <w:tc>
          <w:tcPr>
            <w:tcW w:w="1841" w:type="dxa"/>
            <w:tcBorders>
              <w:top w:val="single" w:sz="4" w:space="0" w:color="auto"/>
              <w:left w:val="nil"/>
              <w:bottom w:val="single" w:sz="4" w:space="0" w:color="auto"/>
              <w:right w:val="single" w:sz="4" w:space="0" w:color="auto"/>
            </w:tcBorders>
            <w:shd w:val="clear" w:color="000000" w:fill="FFFFFF"/>
            <w:noWrap/>
            <w:vAlign w:val="bottom"/>
            <w:hideMark/>
          </w:tcPr>
          <w:p w14:paraId="5ADC9E0C" w14:textId="77777777" w:rsidR="006564AA" w:rsidRPr="004B6245" w:rsidRDefault="00037F74">
            <w:pPr>
              <w:jc w:val="right"/>
              <w:rPr>
                <w:rFonts w:eastAsia="Times New Roman" w:cs="Times New Roman"/>
                <w:b/>
                <w:bCs/>
                <w:color w:val="000000"/>
                <w:szCs w:val="24"/>
              </w:rPr>
            </w:pPr>
            <w:r w:rsidRPr="004B6245">
              <w:rPr>
                <w:rFonts w:eastAsia="Times New Roman" w:cs="Times New Roman"/>
                <w:b/>
                <w:bCs/>
                <w:color w:val="000000"/>
                <w:szCs w:val="24"/>
              </w:rPr>
              <w:t>29,12,281.78</w:t>
            </w:r>
          </w:p>
        </w:tc>
        <w:tc>
          <w:tcPr>
            <w:tcW w:w="1568" w:type="dxa"/>
            <w:tcBorders>
              <w:top w:val="single" w:sz="4" w:space="0" w:color="auto"/>
              <w:left w:val="nil"/>
              <w:bottom w:val="single" w:sz="4" w:space="0" w:color="auto"/>
              <w:right w:val="single" w:sz="4" w:space="0" w:color="auto"/>
            </w:tcBorders>
            <w:shd w:val="clear" w:color="000000" w:fill="FFFFFF"/>
            <w:noWrap/>
            <w:vAlign w:val="bottom"/>
            <w:hideMark/>
          </w:tcPr>
          <w:p w14:paraId="5CA82632" w14:textId="77777777" w:rsidR="006564AA" w:rsidRPr="004B6245" w:rsidRDefault="00037F74" w:rsidP="00194F5C">
            <w:pPr>
              <w:ind w:right="320"/>
              <w:jc w:val="right"/>
              <w:rPr>
                <w:rFonts w:eastAsia="Times New Roman" w:cs="Times New Roman"/>
                <w:b/>
                <w:bCs/>
                <w:color w:val="000000"/>
                <w:szCs w:val="24"/>
              </w:rPr>
            </w:pPr>
            <w:r w:rsidRPr="004B6245">
              <w:rPr>
                <w:rFonts w:eastAsia="Times New Roman" w:cs="Times New Roman"/>
                <w:b/>
                <w:bCs/>
                <w:color w:val="000000"/>
                <w:szCs w:val="24"/>
              </w:rPr>
              <w:t>30,22,348.12</w:t>
            </w:r>
          </w:p>
        </w:tc>
      </w:tr>
    </w:tbl>
    <w:p w14:paraId="39464FFA" w14:textId="77777777" w:rsidR="006564AA" w:rsidRDefault="006564AA" w:rsidP="0023702F">
      <w:pPr>
        <w:rPr>
          <w:rFonts w:cs="Times New Roman"/>
          <w:szCs w:val="24"/>
        </w:rPr>
      </w:pPr>
    </w:p>
    <w:p w14:paraId="597706F4" w14:textId="77777777" w:rsidR="006564AA" w:rsidRDefault="006564AA">
      <w:pPr>
        <w:jc w:val="center"/>
        <w:rPr>
          <w:rFonts w:cs="Times New Roman"/>
          <w:szCs w:val="24"/>
        </w:rPr>
      </w:pPr>
    </w:p>
    <w:p w14:paraId="4652B660" w14:textId="77777777" w:rsidR="006564AA" w:rsidRPr="008B158C" w:rsidRDefault="00037F74">
      <w:pPr>
        <w:jc w:val="center"/>
        <w:rPr>
          <w:rFonts w:cs="Times New Roman"/>
          <w:b/>
          <w:bCs/>
          <w:szCs w:val="24"/>
          <w:u w:val="single"/>
        </w:rPr>
      </w:pPr>
      <w:r w:rsidRPr="008B158C">
        <w:rPr>
          <w:rFonts w:cs="Times New Roman"/>
          <w:b/>
          <w:bCs/>
          <w:szCs w:val="24"/>
          <w:u w:val="single"/>
        </w:rPr>
        <w:t>Income Statement</w:t>
      </w:r>
    </w:p>
    <w:p w14:paraId="6E2B64C0" w14:textId="77777777" w:rsidR="006564AA" w:rsidRPr="008B158C" w:rsidRDefault="00037F74">
      <w:pPr>
        <w:jc w:val="center"/>
        <w:rPr>
          <w:rFonts w:cs="Times New Roman"/>
          <w:b/>
          <w:bCs/>
          <w:color w:val="7030A0"/>
          <w:szCs w:val="24"/>
          <w:u w:val="single"/>
        </w:rPr>
      </w:pPr>
      <w:r w:rsidRPr="008B158C">
        <w:rPr>
          <w:rFonts w:eastAsia="Times New Roman" w:cs="Times New Roman"/>
          <w:b/>
          <w:bCs/>
          <w:color w:val="000000"/>
          <w:szCs w:val="24"/>
          <w:u w:val="single"/>
        </w:rPr>
        <w:t>Year ending March (in Rs. Crores)</w:t>
      </w:r>
    </w:p>
    <w:tbl>
      <w:tblPr>
        <w:tblW w:w="8080" w:type="dxa"/>
        <w:tblLook w:val="04A0" w:firstRow="1" w:lastRow="0" w:firstColumn="1" w:lastColumn="0" w:noHBand="0" w:noVBand="1"/>
      </w:tblPr>
      <w:tblGrid>
        <w:gridCol w:w="2085"/>
        <w:gridCol w:w="2163"/>
        <w:gridCol w:w="2163"/>
        <w:gridCol w:w="1772"/>
      </w:tblGrid>
      <w:tr w:rsidR="003379AA" w14:paraId="370659F6" w14:textId="77777777" w:rsidTr="00194F5C">
        <w:trPr>
          <w:trHeight w:val="369"/>
        </w:trPr>
        <w:tc>
          <w:tcPr>
            <w:tcW w:w="2101" w:type="dxa"/>
            <w:tcBorders>
              <w:top w:val="nil"/>
              <w:left w:val="nil"/>
              <w:bottom w:val="nil"/>
              <w:right w:val="nil"/>
            </w:tcBorders>
            <w:shd w:val="clear" w:color="auto" w:fill="B6DDE8"/>
            <w:noWrap/>
            <w:vAlign w:val="bottom"/>
            <w:hideMark/>
          </w:tcPr>
          <w:p w14:paraId="11C51ED3" w14:textId="77777777" w:rsidR="006564AA" w:rsidRDefault="00037F74">
            <w:pPr>
              <w:rPr>
                <w:rFonts w:eastAsia="Times New Roman" w:cs="Times New Roman"/>
                <w:szCs w:val="24"/>
                <w:lang w:eastAsia="en-IN" w:bidi="ar-SA"/>
              </w:rPr>
            </w:pPr>
            <w:r>
              <w:rPr>
                <w:rFonts w:eastAsia="Times New Roman" w:cs="Times New Roman"/>
                <w:b/>
                <w:bCs/>
                <w:color w:val="000000"/>
                <w:szCs w:val="24"/>
                <w:lang w:eastAsia="en-IN"/>
              </w:rPr>
              <w:t>Particulars</w:t>
            </w:r>
          </w:p>
        </w:tc>
        <w:tc>
          <w:tcPr>
            <w:tcW w:w="2180" w:type="dxa"/>
            <w:tcBorders>
              <w:top w:val="single" w:sz="8" w:space="0" w:color="auto"/>
              <w:left w:val="nil"/>
              <w:bottom w:val="single" w:sz="8" w:space="0" w:color="auto"/>
              <w:right w:val="single" w:sz="8" w:space="0" w:color="auto"/>
            </w:tcBorders>
            <w:shd w:val="clear" w:color="auto" w:fill="B6DDE8"/>
            <w:noWrap/>
            <w:vAlign w:val="center"/>
            <w:hideMark/>
          </w:tcPr>
          <w:p w14:paraId="523C4EE8"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 xml:space="preserve">FY17 </w:t>
            </w:r>
          </w:p>
        </w:tc>
        <w:tc>
          <w:tcPr>
            <w:tcW w:w="2180" w:type="dxa"/>
            <w:tcBorders>
              <w:top w:val="single" w:sz="8" w:space="0" w:color="auto"/>
              <w:left w:val="nil"/>
              <w:bottom w:val="single" w:sz="8" w:space="0" w:color="auto"/>
              <w:right w:val="single" w:sz="8" w:space="0" w:color="auto"/>
            </w:tcBorders>
            <w:shd w:val="clear" w:color="auto" w:fill="B6DDE8"/>
            <w:noWrap/>
            <w:vAlign w:val="center"/>
            <w:hideMark/>
          </w:tcPr>
          <w:p w14:paraId="6EABF458"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FY18</w:t>
            </w:r>
          </w:p>
        </w:tc>
        <w:tc>
          <w:tcPr>
            <w:tcW w:w="1619" w:type="dxa"/>
            <w:tcBorders>
              <w:top w:val="single" w:sz="8" w:space="0" w:color="auto"/>
              <w:left w:val="nil"/>
              <w:bottom w:val="single" w:sz="8" w:space="0" w:color="auto"/>
              <w:right w:val="single" w:sz="8" w:space="0" w:color="auto"/>
            </w:tcBorders>
            <w:shd w:val="clear" w:color="auto" w:fill="B6DDE8"/>
            <w:noWrap/>
            <w:vAlign w:val="center"/>
            <w:hideMark/>
          </w:tcPr>
          <w:p w14:paraId="55C9BA8B" w14:textId="77777777" w:rsidR="006564AA" w:rsidRDefault="00037F74" w:rsidP="00194F5C">
            <w:pPr>
              <w:ind w:right="310"/>
              <w:rPr>
                <w:rFonts w:eastAsia="Times New Roman" w:cs="Times New Roman"/>
                <w:b/>
                <w:bCs/>
                <w:color w:val="000000"/>
                <w:szCs w:val="24"/>
                <w:lang w:eastAsia="en-IN" w:bidi="ar-SA"/>
              </w:rPr>
            </w:pPr>
            <w:r>
              <w:rPr>
                <w:rFonts w:eastAsia="Times New Roman" w:cs="Times New Roman"/>
                <w:b/>
                <w:bCs/>
                <w:color w:val="000000"/>
                <w:szCs w:val="24"/>
                <w:lang w:eastAsia="en-IN" w:bidi="ar-SA"/>
              </w:rPr>
              <w:t>FY19</w:t>
            </w:r>
          </w:p>
        </w:tc>
      </w:tr>
      <w:tr w:rsidR="003379AA" w14:paraId="2E760EA0"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09B608B0"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Net Revenues</w:t>
            </w:r>
          </w:p>
        </w:tc>
        <w:tc>
          <w:tcPr>
            <w:tcW w:w="2180" w:type="dxa"/>
            <w:tcBorders>
              <w:top w:val="nil"/>
              <w:left w:val="nil"/>
              <w:bottom w:val="single" w:sz="8" w:space="0" w:color="auto"/>
              <w:right w:val="single" w:sz="8" w:space="0" w:color="auto"/>
            </w:tcBorders>
            <w:shd w:val="clear" w:color="000000" w:fill="FFFFFF"/>
            <w:noWrap/>
            <w:vAlign w:val="center"/>
            <w:hideMark/>
          </w:tcPr>
          <w:p w14:paraId="27780502"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8,54,558.55</w:t>
            </w:r>
          </w:p>
        </w:tc>
        <w:tc>
          <w:tcPr>
            <w:tcW w:w="2180" w:type="dxa"/>
            <w:tcBorders>
              <w:top w:val="nil"/>
              <w:left w:val="nil"/>
              <w:bottom w:val="single" w:sz="8" w:space="0" w:color="auto"/>
              <w:right w:val="single" w:sz="8" w:space="0" w:color="auto"/>
            </w:tcBorders>
            <w:shd w:val="clear" w:color="000000" w:fill="FFFFFF"/>
            <w:noWrap/>
            <w:vAlign w:val="center"/>
            <w:hideMark/>
          </w:tcPr>
          <w:p w14:paraId="4264D2A0"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9,28,876.48</w:t>
            </w:r>
          </w:p>
        </w:tc>
        <w:tc>
          <w:tcPr>
            <w:tcW w:w="1619" w:type="dxa"/>
            <w:tcBorders>
              <w:top w:val="nil"/>
              <w:left w:val="nil"/>
              <w:bottom w:val="single" w:sz="8" w:space="0" w:color="auto"/>
              <w:right w:val="single" w:sz="8" w:space="0" w:color="auto"/>
            </w:tcBorders>
            <w:shd w:val="clear" w:color="000000" w:fill="FFFFFF"/>
            <w:vAlign w:val="center"/>
            <w:hideMark/>
          </w:tcPr>
          <w:p w14:paraId="30F1271B" w14:textId="77777777" w:rsidR="006564AA" w:rsidRDefault="00037F74" w:rsidP="00194F5C">
            <w:pPr>
              <w:ind w:right="310"/>
              <w:jc w:val="right"/>
              <w:rPr>
                <w:rFonts w:eastAsia="Times New Roman" w:cs="Times New Roman"/>
                <w:b/>
                <w:bCs/>
                <w:color w:val="231F20"/>
                <w:szCs w:val="24"/>
                <w:lang w:eastAsia="en-IN" w:bidi="ar-SA"/>
              </w:rPr>
            </w:pPr>
            <w:r>
              <w:rPr>
                <w:rFonts w:eastAsia="Times New Roman" w:cs="Times New Roman"/>
                <w:b/>
                <w:bCs/>
                <w:color w:val="231F20"/>
                <w:szCs w:val="24"/>
                <w:lang w:eastAsia="en-IN" w:bidi="ar-SA"/>
              </w:rPr>
              <w:t>11,71,735.58</w:t>
            </w:r>
          </w:p>
        </w:tc>
      </w:tr>
      <w:tr w:rsidR="003379AA" w14:paraId="6C608280"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021BE579"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Total Expenses</w:t>
            </w:r>
          </w:p>
        </w:tc>
        <w:tc>
          <w:tcPr>
            <w:tcW w:w="2180" w:type="dxa"/>
            <w:tcBorders>
              <w:top w:val="nil"/>
              <w:left w:val="nil"/>
              <w:bottom w:val="single" w:sz="8" w:space="0" w:color="auto"/>
              <w:right w:val="single" w:sz="8" w:space="0" w:color="auto"/>
            </w:tcBorders>
            <w:shd w:val="clear" w:color="000000" w:fill="FFFFFF"/>
            <w:noWrap/>
            <w:vAlign w:val="center"/>
            <w:hideMark/>
          </w:tcPr>
          <w:p w14:paraId="033F022A"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4,68,290.66</w:t>
            </w:r>
          </w:p>
        </w:tc>
        <w:tc>
          <w:tcPr>
            <w:tcW w:w="2180" w:type="dxa"/>
            <w:tcBorders>
              <w:top w:val="nil"/>
              <w:left w:val="nil"/>
              <w:bottom w:val="single" w:sz="8" w:space="0" w:color="auto"/>
              <w:right w:val="single" w:sz="8" w:space="0" w:color="auto"/>
            </w:tcBorders>
            <w:shd w:val="clear" w:color="000000" w:fill="FFFFFF"/>
            <w:noWrap/>
            <w:vAlign w:val="center"/>
            <w:hideMark/>
          </w:tcPr>
          <w:p w14:paraId="2342C95F"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4,80,165.32</w:t>
            </w:r>
          </w:p>
        </w:tc>
        <w:tc>
          <w:tcPr>
            <w:tcW w:w="1619" w:type="dxa"/>
            <w:tcBorders>
              <w:top w:val="nil"/>
              <w:left w:val="nil"/>
              <w:bottom w:val="single" w:sz="8" w:space="0" w:color="auto"/>
              <w:right w:val="single" w:sz="8" w:space="0" w:color="auto"/>
            </w:tcBorders>
            <w:shd w:val="clear" w:color="000000" w:fill="FFFFFF"/>
            <w:noWrap/>
            <w:vAlign w:val="center"/>
            <w:hideMark/>
          </w:tcPr>
          <w:p w14:paraId="54341041" w14:textId="77777777" w:rsidR="006564AA" w:rsidRDefault="00037F74" w:rsidP="00194F5C">
            <w:pPr>
              <w:ind w:right="310"/>
              <w:jc w:val="right"/>
              <w:rPr>
                <w:rFonts w:eastAsia="Times New Roman" w:cs="Times New Roman"/>
                <w:color w:val="000000"/>
                <w:szCs w:val="24"/>
                <w:lang w:eastAsia="en-IN" w:bidi="ar-SA"/>
              </w:rPr>
            </w:pPr>
            <w:r>
              <w:rPr>
                <w:rFonts w:eastAsia="Times New Roman" w:cs="Times New Roman"/>
                <w:color w:val="000000"/>
                <w:szCs w:val="24"/>
                <w:lang w:eastAsia="en-IN" w:bidi="ar-SA"/>
              </w:rPr>
              <w:t>5,89,487.75</w:t>
            </w:r>
          </w:p>
        </w:tc>
      </w:tr>
      <w:tr w:rsidR="003379AA" w14:paraId="5EED94D2"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4D7B5020"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EBITDA</w:t>
            </w:r>
          </w:p>
        </w:tc>
        <w:tc>
          <w:tcPr>
            <w:tcW w:w="2180" w:type="dxa"/>
            <w:tcBorders>
              <w:top w:val="nil"/>
              <w:left w:val="nil"/>
              <w:bottom w:val="single" w:sz="8" w:space="0" w:color="auto"/>
              <w:right w:val="single" w:sz="8" w:space="0" w:color="auto"/>
            </w:tcBorders>
            <w:shd w:val="clear" w:color="000000" w:fill="FFFFFF"/>
            <w:noWrap/>
            <w:vAlign w:val="center"/>
            <w:hideMark/>
          </w:tcPr>
          <w:p w14:paraId="0EBDBD8F" w14:textId="77777777" w:rsidR="006564AA" w:rsidRPr="004B6245" w:rsidRDefault="00037F74">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3,86,267.89</w:t>
            </w:r>
          </w:p>
        </w:tc>
        <w:tc>
          <w:tcPr>
            <w:tcW w:w="2180" w:type="dxa"/>
            <w:tcBorders>
              <w:top w:val="nil"/>
              <w:left w:val="nil"/>
              <w:bottom w:val="single" w:sz="8" w:space="0" w:color="auto"/>
              <w:right w:val="single" w:sz="8" w:space="0" w:color="auto"/>
            </w:tcBorders>
            <w:shd w:val="clear" w:color="000000" w:fill="FFFFFF"/>
            <w:noWrap/>
            <w:vAlign w:val="center"/>
            <w:hideMark/>
          </w:tcPr>
          <w:p w14:paraId="201DD9F0" w14:textId="77777777" w:rsidR="006564AA" w:rsidRPr="004B6245" w:rsidRDefault="00037F74">
            <w:pPr>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4,48,711.16</w:t>
            </w:r>
          </w:p>
        </w:tc>
        <w:tc>
          <w:tcPr>
            <w:tcW w:w="1619" w:type="dxa"/>
            <w:tcBorders>
              <w:top w:val="nil"/>
              <w:left w:val="nil"/>
              <w:bottom w:val="single" w:sz="8" w:space="0" w:color="auto"/>
              <w:right w:val="single" w:sz="8" w:space="0" w:color="auto"/>
            </w:tcBorders>
            <w:shd w:val="clear" w:color="000000" w:fill="FFFFFF"/>
            <w:noWrap/>
            <w:vAlign w:val="center"/>
            <w:hideMark/>
          </w:tcPr>
          <w:p w14:paraId="343E8E80" w14:textId="77777777" w:rsidR="006564AA" w:rsidRPr="004B6245" w:rsidRDefault="00037F74" w:rsidP="00194F5C">
            <w:pPr>
              <w:ind w:right="310"/>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5,82,247.83</w:t>
            </w:r>
          </w:p>
        </w:tc>
      </w:tr>
      <w:tr w:rsidR="003379AA" w14:paraId="0B091E4E"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5B7331B3"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Depreciation</w:t>
            </w:r>
          </w:p>
        </w:tc>
        <w:tc>
          <w:tcPr>
            <w:tcW w:w="2180" w:type="dxa"/>
            <w:tcBorders>
              <w:top w:val="nil"/>
              <w:left w:val="nil"/>
              <w:bottom w:val="single" w:sz="8" w:space="0" w:color="auto"/>
              <w:right w:val="single" w:sz="8" w:space="0" w:color="auto"/>
            </w:tcBorders>
            <w:shd w:val="clear" w:color="000000" w:fill="FFFFFF"/>
            <w:noWrap/>
            <w:vAlign w:val="center"/>
            <w:hideMark/>
          </w:tcPr>
          <w:p w14:paraId="6D469211"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1,21,895.38</w:t>
            </w:r>
          </w:p>
        </w:tc>
        <w:tc>
          <w:tcPr>
            <w:tcW w:w="2180" w:type="dxa"/>
            <w:tcBorders>
              <w:top w:val="nil"/>
              <w:left w:val="nil"/>
              <w:bottom w:val="single" w:sz="8" w:space="0" w:color="auto"/>
              <w:right w:val="single" w:sz="8" w:space="0" w:color="auto"/>
            </w:tcBorders>
            <w:shd w:val="clear" w:color="000000" w:fill="FFFFFF"/>
            <w:noWrap/>
            <w:vAlign w:val="center"/>
            <w:hideMark/>
          </w:tcPr>
          <w:p w14:paraId="475E818C"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1,44,701.72</w:t>
            </w:r>
          </w:p>
        </w:tc>
        <w:tc>
          <w:tcPr>
            <w:tcW w:w="1619" w:type="dxa"/>
            <w:tcBorders>
              <w:top w:val="nil"/>
              <w:left w:val="nil"/>
              <w:bottom w:val="single" w:sz="8" w:space="0" w:color="auto"/>
              <w:right w:val="single" w:sz="8" w:space="0" w:color="auto"/>
            </w:tcBorders>
            <w:shd w:val="clear" w:color="000000" w:fill="FFFFFF"/>
            <w:noWrap/>
            <w:vAlign w:val="center"/>
            <w:hideMark/>
          </w:tcPr>
          <w:p w14:paraId="0F9CBCF1" w14:textId="77777777" w:rsidR="006564AA" w:rsidRDefault="00037F74" w:rsidP="00194F5C">
            <w:pPr>
              <w:ind w:right="310"/>
              <w:jc w:val="right"/>
              <w:rPr>
                <w:rFonts w:eastAsia="Times New Roman" w:cs="Times New Roman"/>
                <w:color w:val="000000"/>
                <w:szCs w:val="24"/>
                <w:lang w:eastAsia="en-IN" w:bidi="ar-SA"/>
              </w:rPr>
            </w:pPr>
            <w:r>
              <w:rPr>
                <w:rFonts w:eastAsia="Times New Roman" w:cs="Times New Roman"/>
                <w:color w:val="000000"/>
                <w:szCs w:val="24"/>
                <w:lang w:eastAsia="en-IN" w:bidi="ar-SA"/>
              </w:rPr>
              <w:t>1,57,786.22</w:t>
            </w:r>
          </w:p>
        </w:tc>
      </w:tr>
      <w:tr w:rsidR="003379AA" w14:paraId="73363DAC"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77DC4503"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EBIT</w:t>
            </w:r>
          </w:p>
        </w:tc>
        <w:tc>
          <w:tcPr>
            <w:tcW w:w="2180" w:type="dxa"/>
            <w:tcBorders>
              <w:top w:val="nil"/>
              <w:left w:val="nil"/>
              <w:bottom w:val="single" w:sz="8" w:space="0" w:color="auto"/>
              <w:right w:val="single" w:sz="8" w:space="0" w:color="auto"/>
            </w:tcBorders>
            <w:shd w:val="clear" w:color="000000" w:fill="FFFFFF"/>
            <w:noWrap/>
            <w:vAlign w:val="center"/>
            <w:hideMark/>
          </w:tcPr>
          <w:p w14:paraId="58508A83"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2,64,372.51</w:t>
            </w:r>
          </w:p>
        </w:tc>
        <w:tc>
          <w:tcPr>
            <w:tcW w:w="2180" w:type="dxa"/>
            <w:tcBorders>
              <w:top w:val="nil"/>
              <w:left w:val="nil"/>
              <w:bottom w:val="single" w:sz="8" w:space="0" w:color="auto"/>
              <w:right w:val="single" w:sz="8" w:space="0" w:color="auto"/>
            </w:tcBorders>
            <w:shd w:val="clear" w:color="000000" w:fill="FFFFFF"/>
            <w:noWrap/>
            <w:vAlign w:val="center"/>
            <w:hideMark/>
          </w:tcPr>
          <w:p w14:paraId="24DE9856"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3,04,009.44</w:t>
            </w:r>
          </w:p>
        </w:tc>
        <w:tc>
          <w:tcPr>
            <w:tcW w:w="1619" w:type="dxa"/>
            <w:tcBorders>
              <w:top w:val="nil"/>
              <w:left w:val="nil"/>
              <w:bottom w:val="single" w:sz="8" w:space="0" w:color="auto"/>
              <w:right w:val="single" w:sz="8" w:space="0" w:color="auto"/>
            </w:tcBorders>
            <w:shd w:val="clear" w:color="000000" w:fill="FFFFFF"/>
            <w:noWrap/>
            <w:vAlign w:val="center"/>
            <w:hideMark/>
          </w:tcPr>
          <w:p w14:paraId="0A86DF6E" w14:textId="77777777" w:rsidR="006564AA" w:rsidRDefault="00037F74" w:rsidP="00194F5C">
            <w:pPr>
              <w:ind w:right="310"/>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4,24,461.61</w:t>
            </w:r>
          </w:p>
        </w:tc>
      </w:tr>
      <w:tr w:rsidR="003379AA" w14:paraId="7B1092F4"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02E8F0F7"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Interest</w:t>
            </w:r>
          </w:p>
        </w:tc>
        <w:tc>
          <w:tcPr>
            <w:tcW w:w="2180" w:type="dxa"/>
            <w:tcBorders>
              <w:top w:val="nil"/>
              <w:left w:val="nil"/>
              <w:bottom w:val="single" w:sz="8" w:space="0" w:color="auto"/>
              <w:right w:val="single" w:sz="8" w:space="0" w:color="auto"/>
            </w:tcBorders>
            <w:shd w:val="clear" w:color="000000" w:fill="FFFFFF"/>
            <w:noWrap/>
            <w:vAlign w:val="center"/>
            <w:hideMark/>
          </w:tcPr>
          <w:p w14:paraId="3D70E269"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12,217.38</w:t>
            </w:r>
          </w:p>
        </w:tc>
        <w:tc>
          <w:tcPr>
            <w:tcW w:w="2180" w:type="dxa"/>
            <w:tcBorders>
              <w:top w:val="nil"/>
              <w:left w:val="nil"/>
              <w:bottom w:val="single" w:sz="8" w:space="0" w:color="auto"/>
              <w:right w:val="single" w:sz="8" w:space="0" w:color="auto"/>
            </w:tcBorders>
            <w:shd w:val="clear" w:color="000000" w:fill="FFFFFF"/>
            <w:noWrap/>
            <w:vAlign w:val="center"/>
            <w:hideMark/>
          </w:tcPr>
          <w:p w14:paraId="2EAAB635"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15,084.70</w:t>
            </w:r>
          </w:p>
        </w:tc>
        <w:tc>
          <w:tcPr>
            <w:tcW w:w="1619" w:type="dxa"/>
            <w:tcBorders>
              <w:top w:val="nil"/>
              <w:left w:val="nil"/>
              <w:bottom w:val="single" w:sz="8" w:space="0" w:color="auto"/>
              <w:right w:val="single" w:sz="8" w:space="0" w:color="auto"/>
            </w:tcBorders>
            <w:shd w:val="clear" w:color="000000" w:fill="FFFFFF"/>
            <w:noWrap/>
            <w:vAlign w:val="center"/>
            <w:hideMark/>
          </w:tcPr>
          <w:p w14:paraId="661CD47C" w14:textId="77777777" w:rsidR="006564AA" w:rsidRDefault="00037F74" w:rsidP="00194F5C">
            <w:pPr>
              <w:ind w:right="310"/>
              <w:jc w:val="right"/>
              <w:rPr>
                <w:rFonts w:eastAsia="Times New Roman" w:cs="Times New Roman"/>
                <w:color w:val="000000"/>
                <w:szCs w:val="24"/>
                <w:lang w:eastAsia="en-IN" w:bidi="ar-SA"/>
              </w:rPr>
            </w:pPr>
            <w:r>
              <w:rPr>
                <w:rFonts w:eastAsia="Times New Roman" w:cs="Times New Roman"/>
                <w:color w:val="000000"/>
                <w:szCs w:val="24"/>
                <w:lang w:eastAsia="en-IN" w:bidi="ar-SA"/>
              </w:rPr>
              <w:t>24,921.36</w:t>
            </w:r>
          </w:p>
        </w:tc>
      </w:tr>
      <w:tr w:rsidR="003379AA" w14:paraId="2ACF8198"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45E288C9"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PBT</w:t>
            </w:r>
          </w:p>
        </w:tc>
        <w:tc>
          <w:tcPr>
            <w:tcW w:w="2180" w:type="dxa"/>
            <w:tcBorders>
              <w:top w:val="nil"/>
              <w:left w:val="nil"/>
              <w:bottom w:val="single" w:sz="8" w:space="0" w:color="auto"/>
              <w:right w:val="single" w:sz="8" w:space="0" w:color="auto"/>
            </w:tcBorders>
            <w:shd w:val="clear" w:color="000000" w:fill="FFFFFF"/>
            <w:noWrap/>
            <w:vAlign w:val="center"/>
            <w:hideMark/>
          </w:tcPr>
          <w:p w14:paraId="1EA66176"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2,52,155.13</w:t>
            </w:r>
          </w:p>
        </w:tc>
        <w:tc>
          <w:tcPr>
            <w:tcW w:w="2180" w:type="dxa"/>
            <w:tcBorders>
              <w:top w:val="nil"/>
              <w:left w:val="nil"/>
              <w:bottom w:val="single" w:sz="8" w:space="0" w:color="auto"/>
              <w:right w:val="single" w:sz="8" w:space="0" w:color="auto"/>
            </w:tcBorders>
            <w:shd w:val="clear" w:color="000000" w:fill="FFFFFF"/>
            <w:noWrap/>
            <w:vAlign w:val="center"/>
            <w:hideMark/>
          </w:tcPr>
          <w:p w14:paraId="6FF5A88E"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2,88,924.74</w:t>
            </w:r>
          </w:p>
        </w:tc>
        <w:tc>
          <w:tcPr>
            <w:tcW w:w="1619" w:type="dxa"/>
            <w:tcBorders>
              <w:top w:val="nil"/>
              <w:left w:val="nil"/>
              <w:bottom w:val="single" w:sz="8" w:space="0" w:color="auto"/>
              <w:right w:val="single" w:sz="8" w:space="0" w:color="auto"/>
            </w:tcBorders>
            <w:shd w:val="clear" w:color="000000" w:fill="FFFFFF"/>
            <w:noWrap/>
            <w:vAlign w:val="center"/>
            <w:hideMark/>
          </w:tcPr>
          <w:p w14:paraId="3E5054BC" w14:textId="77777777" w:rsidR="006564AA" w:rsidRDefault="00037F74" w:rsidP="00194F5C">
            <w:pPr>
              <w:ind w:right="310"/>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3,99,540.25</w:t>
            </w:r>
          </w:p>
        </w:tc>
      </w:tr>
      <w:tr w:rsidR="003379AA" w14:paraId="607729F6"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75AB8120"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Tax</w:t>
            </w:r>
          </w:p>
        </w:tc>
        <w:tc>
          <w:tcPr>
            <w:tcW w:w="2180" w:type="dxa"/>
            <w:tcBorders>
              <w:top w:val="nil"/>
              <w:left w:val="nil"/>
              <w:bottom w:val="single" w:sz="8" w:space="0" w:color="auto"/>
              <w:right w:val="single" w:sz="8" w:space="0" w:color="auto"/>
            </w:tcBorders>
            <w:shd w:val="clear" w:color="000000" w:fill="FFFFFF"/>
            <w:noWrap/>
            <w:vAlign w:val="center"/>
            <w:hideMark/>
          </w:tcPr>
          <w:p w14:paraId="4F85B1D1"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73,151.36</w:t>
            </w:r>
          </w:p>
        </w:tc>
        <w:tc>
          <w:tcPr>
            <w:tcW w:w="2180" w:type="dxa"/>
            <w:tcBorders>
              <w:top w:val="nil"/>
              <w:left w:val="nil"/>
              <w:bottom w:val="single" w:sz="8" w:space="0" w:color="auto"/>
              <w:right w:val="single" w:sz="8" w:space="0" w:color="auto"/>
            </w:tcBorders>
            <w:shd w:val="clear" w:color="000000" w:fill="FFFFFF"/>
            <w:noWrap/>
            <w:vAlign w:val="center"/>
            <w:hideMark/>
          </w:tcPr>
          <w:p w14:paraId="57038F3E"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89,472.14</w:t>
            </w:r>
          </w:p>
        </w:tc>
        <w:tc>
          <w:tcPr>
            <w:tcW w:w="1619" w:type="dxa"/>
            <w:tcBorders>
              <w:top w:val="nil"/>
              <w:left w:val="nil"/>
              <w:bottom w:val="single" w:sz="8" w:space="0" w:color="auto"/>
              <w:right w:val="single" w:sz="8" w:space="0" w:color="auto"/>
            </w:tcBorders>
            <w:shd w:val="clear" w:color="000000" w:fill="FFFFFF"/>
            <w:noWrap/>
            <w:vAlign w:val="center"/>
            <w:hideMark/>
          </w:tcPr>
          <w:p w14:paraId="3E9B2214" w14:textId="77777777" w:rsidR="006564AA" w:rsidRDefault="00037F74" w:rsidP="00194F5C">
            <w:pPr>
              <w:ind w:right="310"/>
              <w:jc w:val="right"/>
              <w:rPr>
                <w:rFonts w:eastAsia="Times New Roman" w:cs="Times New Roman"/>
                <w:color w:val="000000"/>
                <w:szCs w:val="24"/>
                <w:lang w:eastAsia="en-IN" w:bidi="ar-SA"/>
              </w:rPr>
            </w:pPr>
            <w:r>
              <w:rPr>
                <w:rFonts w:eastAsia="Times New Roman" w:cs="Times New Roman"/>
                <w:color w:val="000000"/>
                <w:szCs w:val="24"/>
                <w:lang w:eastAsia="en-IN" w:bidi="ar-SA"/>
              </w:rPr>
              <w:t>1,32,382.36</w:t>
            </w:r>
          </w:p>
        </w:tc>
      </w:tr>
      <w:tr w:rsidR="003379AA" w14:paraId="4BDC366A" w14:textId="77777777" w:rsidTr="00194F5C">
        <w:trPr>
          <w:trHeight w:val="441"/>
        </w:trPr>
        <w:tc>
          <w:tcPr>
            <w:tcW w:w="2101" w:type="dxa"/>
            <w:tcBorders>
              <w:top w:val="nil"/>
              <w:left w:val="single" w:sz="8" w:space="0" w:color="auto"/>
              <w:bottom w:val="single" w:sz="8" w:space="0" w:color="auto"/>
              <w:right w:val="single" w:sz="8" w:space="0" w:color="auto"/>
            </w:tcBorders>
            <w:shd w:val="clear" w:color="000000" w:fill="FFFFFF"/>
            <w:noWrap/>
            <w:vAlign w:val="center"/>
            <w:hideMark/>
          </w:tcPr>
          <w:p w14:paraId="5691B442"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PAT</w:t>
            </w:r>
          </w:p>
        </w:tc>
        <w:tc>
          <w:tcPr>
            <w:tcW w:w="2180" w:type="dxa"/>
            <w:tcBorders>
              <w:top w:val="nil"/>
              <w:left w:val="nil"/>
              <w:bottom w:val="single" w:sz="8" w:space="0" w:color="auto"/>
              <w:right w:val="single" w:sz="8" w:space="0" w:color="auto"/>
            </w:tcBorders>
            <w:shd w:val="clear" w:color="000000" w:fill="FFFFFF"/>
            <w:noWrap/>
            <w:vAlign w:val="center"/>
            <w:hideMark/>
          </w:tcPr>
          <w:p w14:paraId="2EBD256A"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1,79,003.77</w:t>
            </w:r>
          </w:p>
        </w:tc>
        <w:tc>
          <w:tcPr>
            <w:tcW w:w="2180" w:type="dxa"/>
            <w:tcBorders>
              <w:top w:val="nil"/>
              <w:left w:val="nil"/>
              <w:bottom w:val="single" w:sz="8" w:space="0" w:color="auto"/>
              <w:right w:val="single" w:sz="8" w:space="0" w:color="auto"/>
            </w:tcBorders>
            <w:shd w:val="clear" w:color="000000" w:fill="FFFFFF"/>
            <w:noWrap/>
            <w:vAlign w:val="center"/>
            <w:hideMark/>
          </w:tcPr>
          <w:p w14:paraId="29511A64"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1,99,452.60</w:t>
            </w:r>
          </w:p>
        </w:tc>
        <w:tc>
          <w:tcPr>
            <w:tcW w:w="1619" w:type="dxa"/>
            <w:tcBorders>
              <w:top w:val="nil"/>
              <w:left w:val="nil"/>
              <w:bottom w:val="single" w:sz="8" w:space="0" w:color="auto"/>
              <w:right w:val="single" w:sz="8" w:space="0" w:color="auto"/>
            </w:tcBorders>
            <w:shd w:val="clear" w:color="000000" w:fill="FFFFFF"/>
            <w:noWrap/>
            <w:vAlign w:val="center"/>
            <w:hideMark/>
          </w:tcPr>
          <w:p w14:paraId="276E41BA" w14:textId="77777777" w:rsidR="006564AA" w:rsidRDefault="00037F74" w:rsidP="00194F5C">
            <w:pPr>
              <w:ind w:right="310"/>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2,67,157.89</w:t>
            </w:r>
          </w:p>
        </w:tc>
      </w:tr>
    </w:tbl>
    <w:p w14:paraId="5A20630A" w14:textId="77777777" w:rsidR="006564AA" w:rsidRDefault="006564AA">
      <w:pPr>
        <w:rPr>
          <w:rFonts w:cs="Times New Roman"/>
          <w:b/>
          <w:bCs/>
          <w:szCs w:val="24"/>
        </w:rPr>
      </w:pPr>
    </w:p>
    <w:p w14:paraId="27844B01" w14:textId="77777777" w:rsidR="00132FFA" w:rsidRDefault="00132FFA">
      <w:pPr>
        <w:rPr>
          <w:rFonts w:cs="Times New Roman"/>
          <w:b/>
          <w:bCs/>
          <w:szCs w:val="24"/>
        </w:rPr>
      </w:pPr>
    </w:p>
    <w:p w14:paraId="193E2D13" w14:textId="77777777" w:rsidR="00132FFA" w:rsidRDefault="00132FFA">
      <w:pPr>
        <w:rPr>
          <w:rFonts w:cs="Times New Roman"/>
          <w:b/>
          <w:bCs/>
          <w:szCs w:val="24"/>
        </w:rPr>
      </w:pPr>
    </w:p>
    <w:p w14:paraId="0153DEDD" w14:textId="77777777" w:rsidR="00132FFA" w:rsidRDefault="00132FFA">
      <w:pPr>
        <w:rPr>
          <w:rFonts w:cs="Times New Roman"/>
          <w:b/>
          <w:bCs/>
          <w:szCs w:val="24"/>
        </w:rPr>
      </w:pPr>
    </w:p>
    <w:p w14:paraId="0999772A" w14:textId="77777777" w:rsidR="006564AA" w:rsidRDefault="006564AA">
      <w:pPr>
        <w:rPr>
          <w:rFonts w:cs="Times New Roman"/>
          <w:b/>
          <w:bCs/>
          <w:szCs w:val="24"/>
        </w:rPr>
      </w:pPr>
    </w:p>
    <w:p w14:paraId="5F7D468C" w14:textId="77777777" w:rsidR="0023702F" w:rsidRDefault="0023702F">
      <w:pPr>
        <w:rPr>
          <w:rFonts w:cs="Times New Roman"/>
          <w:b/>
          <w:bCs/>
          <w:szCs w:val="24"/>
        </w:rPr>
      </w:pPr>
    </w:p>
    <w:p w14:paraId="6408485B" w14:textId="77777777" w:rsidR="006564AA" w:rsidRDefault="00037F74">
      <w:pPr>
        <w:rPr>
          <w:rFonts w:eastAsia="Calibri" w:cs="Times New Roman"/>
          <w:b/>
          <w:bCs/>
          <w:szCs w:val="24"/>
          <w:u w:val="single"/>
        </w:rPr>
      </w:pPr>
      <w:r>
        <w:rPr>
          <w:rFonts w:cs="Times New Roman"/>
          <w:b/>
          <w:bCs/>
          <w:szCs w:val="24"/>
        </w:rPr>
        <w:t>D</w:t>
      </w:r>
      <w:r w:rsidRPr="00F52169">
        <w:rPr>
          <w:rFonts w:cs="Times New Roman"/>
          <w:b/>
          <w:bCs/>
          <w:szCs w:val="24"/>
        </w:rPr>
        <w:t xml:space="preserve"> IOCL</w:t>
      </w:r>
    </w:p>
    <w:p w14:paraId="2CCCA4F9" w14:textId="77777777" w:rsidR="006564AA" w:rsidRDefault="00037F74" w:rsidP="008B158C">
      <w:pPr>
        <w:jc w:val="center"/>
        <w:rPr>
          <w:rFonts w:cs="Times New Roman"/>
          <w:b/>
          <w:bCs/>
          <w:szCs w:val="24"/>
          <w:u w:val="single"/>
        </w:rPr>
      </w:pPr>
      <w:r w:rsidRPr="008B158C">
        <w:rPr>
          <w:rFonts w:cs="Times New Roman"/>
          <w:b/>
          <w:bCs/>
          <w:szCs w:val="24"/>
          <w:u w:val="single"/>
        </w:rPr>
        <w:t>Balance Sheet</w:t>
      </w:r>
    </w:p>
    <w:p w14:paraId="41E1BD19" w14:textId="77777777" w:rsidR="006564AA" w:rsidRDefault="006564AA">
      <w:pPr>
        <w:rPr>
          <w:rFonts w:cs="Times New Roman"/>
          <w:szCs w:val="24"/>
          <w:u w:val="single"/>
        </w:rPr>
      </w:pPr>
    </w:p>
    <w:tbl>
      <w:tblPr>
        <w:tblW w:w="8173" w:type="dxa"/>
        <w:tblLook w:val="04A0" w:firstRow="1" w:lastRow="0" w:firstColumn="1" w:lastColumn="0" w:noHBand="0" w:noVBand="1"/>
      </w:tblPr>
      <w:tblGrid>
        <w:gridCol w:w="3404"/>
        <w:gridCol w:w="1688"/>
        <w:gridCol w:w="1725"/>
        <w:gridCol w:w="1356"/>
      </w:tblGrid>
      <w:tr w:rsidR="003379AA" w14:paraId="405CC2DC" w14:textId="77777777" w:rsidTr="00194F5C">
        <w:trPr>
          <w:trHeight w:val="428"/>
        </w:trPr>
        <w:tc>
          <w:tcPr>
            <w:tcW w:w="3405" w:type="dxa"/>
            <w:tcBorders>
              <w:top w:val="single" w:sz="8" w:space="0" w:color="auto"/>
              <w:left w:val="single" w:sz="8" w:space="0" w:color="auto"/>
              <w:bottom w:val="single" w:sz="8" w:space="0" w:color="auto"/>
              <w:right w:val="single" w:sz="8" w:space="0" w:color="auto"/>
            </w:tcBorders>
            <w:shd w:val="clear" w:color="auto" w:fill="B6DDE8"/>
            <w:noWrap/>
            <w:vAlign w:val="center"/>
            <w:hideMark/>
          </w:tcPr>
          <w:p w14:paraId="0C203D5B"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Year Ending March (in Rs. Crores)</w:t>
            </w:r>
          </w:p>
        </w:tc>
        <w:tc>
          <w:tcPr>
            <w:tcW w:w="1688" w:type="dxa"/>
            <w:tcBorders>
              <w:top w:val="single" w:sz="8" w:space="0" w:color="auto"/>
              <w:left w:val="nil"/>
              <w:bottom w:val="single" w:sz="8" w:space="0" w:color="auto"/>
              <w:right w:val="single" w:sz="8" w:space="0" w:color="auto"/>
            </w:tcBorders>
            <w:shd w:val="clear" w:color="auto" w:fill="B6DDE8"/>
            <w:noWrap/>
            <w:vAlign w:val="center"/>
            <w:hideMark/>
          </w:tcPr>
          <w:p w14:paraId="4BDE744B"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 xml:space="preserve">FY17 </w:t>
            </w:r>
          </w:p>
        </w:tc>
        <w:tc>
          <w:tcPr>
            <w:tcW w:w="1725" w:type="dxa"/>
            <w:tcBorders>
              <w:top w:val="single" w:sz="8" w:space="0" w:color="auto"/>
              <w:left w:val="nil"/>
              <w:bottom w:val="single" w:sz="8" w:space="0" w:color="auto"/>
              <w:right w:val="single" w:sz="8" w:space="0" w:color="auto"/>
            </w:tcBorders>
            <w:shd w:val="clear" w:color="auto" w:fill="B6DDE8"/>
            <w:noWrap/>
            <w:vAlign w:val="center"/>
            <w:hideMark/>
          </w:tcPr>
          <w:p w14:paraId="30204FD7"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FY18</w:t>
            </w:r>
          </w:p>
        </w:tc>
        <w:tc>
          <w:tcPr>
            <w:tcW w:w="1355" w:type="dxa"/>
            <w:tcBorders>
              <w:top w:val="single" w:sz="8" w:space="0" w:color="auto"/>
              <w:left w:val="nil"/>
              <w:bottom w:val="single" w:sz="8" w:space="0" w:color="auto"/>
              <w:right w:val="single" w:sz="8" w:space="0" w:color="auto"/>
            </w:tcBorders>
            <w:shd w:val="clear" w:color="auto" w:fill="B6DDE8"/>
            <w:noWrap/>
            <w:vAlign w:val="center"/>
            <w:hideMark/>
          </w:tcPr>
          <w:p w14:paraId="62A3C8D7"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FY19</w:t>
            </w:r>
          </w:p>
        </w:tc>
      </w:tr>
      <w:tr w:rsidR="003379AA" w14:paraId="07C6EBEA"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41AC5B32"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Total Shareholders Fund</w:t>
            </w:r>
          </w:p>
        </w:tc>
        <w:tc>
          <w:tcPr>
            <w:tcW w:w="1688" w:type="dxa"/>
            <w:tcBorders>
              <w:top w:val="nil"/>
              <w:left w:val="nil"/>
              <w:bottom w:val="single" w:sz="8" w:space="0" w:color="auto"/>
              <w:right w:val="single" w:sz="8" w:space="0" w:color="auto"/>
            </w:tcBorders>
            <w:shd w:val="clear" w:color="auto" w:fill="auto"/>
            <w:noWrap/>
            <w:vAlign w:val="center"/>
            <w:hideMark/>
          </w:tcPr>
          <w:p w14:paraId="0C336EE0"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1,04,000.66</w:t>
            </w:r>
          </w:p>
        </w:tc>
        <w:tc>
          <w:tcPr>
            <w:tcW w:w="1725" w:type="dxa"/>
            <w:tcBorders>
              <w:top w:val="nil"/>
              <w:left w:val="nil"/>
              <w:bottom w:val="single" w:sz="8" w:space="0" w:color="auto"/>
              <w:right w:val="single" w:sz="8" w:space="0" w:color="auto"/>
            </w:tcBorders>
            <w:shd w:val="clear" w:color="auto" w:fill="auto"/>
            <w:noWrap/>
            <w:vAlign w:val="center"/>
            <w:hideMark/>
          </w:tcPr>
          <w:p w14:paraId="2C313575"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1,16,025.04</w:t>
            </w:r>
          </w:p>
        </w:tc>
        <w:tc>
          <w:tcPr>
            <w:tcW w:w="1355" w:type="dxa"/>
            <w:tcBorders>
              <w:top w:val="nil"/>
              <w:left w:val="nil"/>
              <w:bottom w:val="single" w:sz="8" w:space="0" w:color="auto"/>
              <w:right w:val="single" w:sz="8" w:space="0" w:color="auto"/>
            </w:tcBorders>
            <w:shd w:val="clear" w:color="auto" w:fill="auto"/>
            <w:noWrap/>
            <w:vAlign w:val="center"/>
            <w:hideMark/>
          </w:tcPr>
          <w:p w14:paraId="76DC982D"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1,14,346.60</w:t>
            </w:r>
          </w:p>
        </w:tc>
      </w:tr>
      <w:tr w:rsidR="003379AA" w14:paraId="6C5B7C31"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75552355"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Total Debt</w:t>
            </w:r>
          </w:p>
        </w:tc>
        <w:tc>
          <w:tcPr>
            <w:tcW w:w="1688" w:type="dxa"/>
            <w:tcBorders>
              <w:top w:val="nil"/>
              <w:left w:val="nil"/>
              <w:bottom w:val="single" w:sz="8" w:space="0" w:color="auto"/>
              <w:right w:val="single" w:sz="8" w:space="0" w:color="auto"/>
            </w:tcBorders>
            <w:shd w:val="clear" w:color="auto" w:fill="auto"/>
            <w:noWrap/>
            <w:vAlign w:val="center"/>
            <w:hideMark/>
          </w:tcPr>
          <w:p w14:paraId="5E395DFA"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29,233.76</w:t>
            </w:r>
          </w:p>
        </w:tc>
        <w:tc>
          <w:tcPr>
            <w:tcW w:w="1725" w:type="dxa"/>
            <w:tcBorders>
              <w:top w:val="nil"/>
              <w:left w:val="nil"/>
              <w:bottom w:val="single" w:sz="8" w:space="0" w:color="auto"/>
              <w:right w:val="single" w:sz="8" w:space="0" w:color="auto"/>
            </w:tcBorders>
            <w:shd w:val="clear" w:color="auto" w:fill="auto"/>
            <w:noWrap/>
            <w:vAlign w:val="center"/>
            <w:hideMark/>
          </w:tcPr>
          <w:p w14:paraId="59D72173"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26,054.12</w:t>
            </w:r>
          </w:p>
        </w:tc>
        <w:tc>
          <w:tcPr>
            <w:tcW w:w="1355" w:type="dxa"/>
            <w:tcBorders>
              <w:top w:val="nil"/>
              <w:left w:val="nil"/>
              <w:bottom w:val="single" w:sz="8" w:space="0" w:color="auto"/>
              <w:right w:val="single" w:sz="8" w:space="0" w:color="auto"/>
            </w:tcBorders>
            <w:shd w:val="clear" w:color="auto" w:fill="auto"/>
            <w:noWrap/>
            <w:vAlign w:val="center"/>
            <w:hideMark/>
          </w:tcPr>
          <w:p w14:paraId="2D2B2C9E"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41,980.47</w:t>
            </w:r>
          </w:p>
        </w:tc>
      </w:tr>
      <w:tr w:rsidR="003379AA" w14:paraId="7D5EAF45"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0CB858FE"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Deferred tax liabilities (Net)</w:t>
            </w:r>
          </w:p>
        </w:tc>
        <w:tc>
          <w:tcPr>
            <w:tcW w:w="1688" w:type="dxa"/>
            <w:tcBorders>
              <w:top w:val="nil"/>
              <w:left w:val="nil"/>
              <w:bottom w:val="single" w:sz="8" w:space="0" w:color="auto"/>
              <w:right w:val="single" w:sz="8" w:space="0" w:color="auto"/>
            </w:tcBorders>
            <w:shd w:val="clear" w:color="auto" w:fill="auto"/>
            <w:noWrap/>
            <w:vAlign w:val="center"/>
            <w:hideMark/>
          </w:tcPr>
          <w:p w14:paraId="173ABF0D"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6,888.66</w:t>
            </w:r>
          </w:p>
        </w:tc>
        <w:tc>
          <w:tcPr>
            <w:tcW w:w="1725" w:type="dxa"/>
            <w:tcBorders>
              <w:top w:val="nil"/>
              <w:left w:val="nil"/>
              <w:bottom w:val="single" w:sz="8" w:space="0" w:color="auto"/>
              <w:right w:val="single" w:sz="8" w:space="0" w:color="auto"/>
            </w:tcBorders>
            <w:shd w:val="clear" w:color="auto" w:fill="auto"/>
            <w:noWrap/>
            <w:vAlign w:val="center"/>
            <w:hideMark/>
          </w:tcPr>
          <w:p w14:paraId="43C000BB"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12,367.85</w:t>
            </w:r>
          </w:p>
        </w:tc>
        <w:tc>
          <w:tcPr>
            <w:tcW w:w="1355" w:type="dxa"/>
            <w:tcBorders>
              <w:top w:val="nil"/>
              <w:left w:val="nil"/>
              <w:bottom w:val="single" w:sz="8" w:space="0" w:color="auto"/>
              <w:right w:val="single" w:sz="8" w:space="0" w:color="auto"/>
            </w:tcBorders>
            <w:shd w:val="clear" w:color="auto" w:fill="auto"/>
            <w:noWrap/>
            <w:vAlign w:val="center"/>
            <w:hideMark/>
          </w:tcPr>
          <w:p w14:paraId="37E8E9D0"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16,509.71</w:t>
            </w:r>
          </w:p>
        </w:tc>
      </w:tr>
      <w:tr w:rsidR="003379AA" w14:paraId="5168A77B"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3476DAAF"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Other non-current liabilities</w:t>
            </w:r>
          </w:p>
        </w:tc>
        <w:tc>
          <w:tcPr>
            <w:tcW w:w="1688" w:type="dxa"/>
            <w:tcBorders>
              <w:top w:val="nil"/>
              <w:left w:val="nil"/>
              <w:bottom w:val="single" w:sz="8" w:space="0" w:color="auto"/>
              <w:right w:val="single" w:sz="8" w:space="0" w:color="auto"/>
            </w:tcBorders>
            <w:shd w:val="clear" w:color="auto" w:fill="auto"/>
            <w:noWrap/>
            <w:vAlign w:val="center"/>
            <w:hideMark/>
          </w:tcPr>
          <w:p w14:paraId="4EB045B6"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752.42</w:t>
            </w:r>
          </w:p>
        </w:tc>
        <w:tc>
          <w:tcPr>
            <w:tcW w:w="1725" w:type="dxa"/>
            <w:tcBorders>
              <w:top w:val="nil"/>
              <w:left w:val="nil"/>
              <w:bottom w:val="single" w:sz="8" w:space="0" w:color="auto"/>
              <w:right w:val="single" w:sz="8" w:space="0" w:color="auto"/>
            </w:tcBorders>
            <w:shd w:val="clear" w:color="auto" w:fill="auto"/>
            <w:noWrap/>
            <w:vAlign w:val="center"/>
            <w:hideMark/>
          </w:tcPr>
          <w:p w14:paraId="5B6F44A9"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1,361.21</w:t>
            </w:r>
          </w:p>
        </w:tc>
        <w:tc>
          <w:tcPr>
            <w:tcW w:w="1355" w:type="dxa"/>
            <w:tcBorders>
              <w:top w:val="nil"/>
              <w:left w:val="nil"/>
              <w:bottom w:val="single" w:sz="8" w:space="0" w:color="auto"/>
              <w:right w:val="single" w:sz="8" w:space="0" w:color="auto"/>
            </w:tcBorders>
            <w:shd w:val="clear" w:color="auto" w:fill="auto"/>
            <w:noWrap/>
            <w:vAlign w:val="center"/>
            <w:hideMark/>
          </w:tcPr>
          <w:p w14:paraId="56A9F6A9"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1,599.45</w:t>
            </w:r>
          </w:p>
        </w:tc>
      </w:tr>
      <w:tr w:rsidR="003379AA" w14:paraId="7EC57347"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36EDFDB7"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Current Liabilities (Net)</w:t>
            </w:r>
          </w:p>
        </w:tc>
        <w:tc>
          <w:tcPr>
            <w:tcW w:w="1688" w:type="dxa"/>
            <w:tcBorders>
              <w:top w:val="nil"/>
              <w:left w:val="nil"/>
              <w:bottom w:val="single" w:sz="8" w:space="0" w:color="auto"/>
              <w:right w:val="single" w:sz="8" w:space="0" w:color="auto"/>
            </w:tcBorders>
            <w:shd w:val="clear" w:color="auto" w:fill="auto"/>
            <w:noWrap/>
            <w:vAlign w:val="center"/>
            <w:hideMark/>
          </w:tcPr>
          <w:p w14:paraId="632B1BC3"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1,32,685.54</w:t>
            </w:r>
          </w:p>
        </w:tc>
        <w:tc>
          <w:tcPr>
            <w:tcW w:w="1725" w:type="dxa"/>
            <w:tcBorders>
              <w:top w:val="nil"/>
              <w:left w:val="nil"/>
              <w:bottom w:val="single" w:sz="8" w:space="0" w:color="auto"/>
              <w:right w:val="single" w:sz="8" w:space="0" w:color="auto"/>
            </w:tcBorders>
            <w:shd w:val="clear" w:color="auto" w:fill="auto"/>
            <w:noWrap/>
            <w:vAlign w:val="center"/>
            <w:hideMark/>
          </w:tcPr>
          <w:p w14:paraId="07D4F038"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1,39,864.07</w:t>
            </w:r>
          </w:p>
        </w:tc>
        <w:tc>
          <w:tcPr>
            <w:tcW w:w="1355" w:type="dxa"/>
            <w:tcBorders>
              <w:top w:val="nil"/>
              <w:left w:val="nil"/>
              <w:bottom w:val="single" w:sz="8" w:space="0" w:color="auto"/>
              <w:right w:val="single" w:sz="8" w:space="0" w:color="auto"/>
            </w:tcBorders>
            <w:shd w:val="clear" w:color="auto" w:fill="auto"/>
            <w:noWrap/>
            <w:vAlign w:val="center"/>
            <w:hideMark/>
          </w:tcPr>
          <w:p w14:paraId="0F1048CC"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1,60,718.88</w:t>
            </w:r>
          </w:p>
        </w:tc>
      </w:tr>
      <w:tr w:rsidR="003379AA" w14:paraId="3BCB780F"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77E45B55"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Total Liabilities</w:t>
            </w:r>
          </w:p>
        </w:tc>
        <w:tc>
          <w:tcPr>
            <w:tcW w:w="1688" w:type="dxa"/>
            <w:tcBorders>
              <w:top w:val="nil"/>
              <w:left w:val="nil"/>
              <w:bottom w:val="single" w:sz="8" w:space="0" w:color="auto"/>
              <w:right w:val="single" w:sz="8" w:space="0" w:color="auto"/>
            </w:tcBorders>
            <w:shd w:val="clear" w:color="auto" w:fill="auto"/>
            <w:noWrap/>
            <w:vAlign w:val="center"/>
            <w:hideMark/>
          </w:tcPr>
          <w:p w14:paraId="0E90C57E"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2,73,561.04</w:t>
            </w:r>
          </w:p>
        </w:tc>
        <w:tc>
          <w:tcPr>
            <w:tcW w:w="1725" w:type="dxa"/>
            <w:tcBorders>
              <w:top w:val="nil"/>
              <w:left w:val="nil"/>
              <w:bottom w:val="single" w:sz="8" w:space="0" w:color="auto"/>
              <w:right w:val="single" w:sz="8" w:space="0" w:color="auto"/>
            </w:tcBorders>
            <w:shd w:val="clear" w:color="auto" w:fill="auto"/>
            <w:noWrap/>
            <w:vAlign w:val="center"/>
            <w:hideMark/>
          </w:tcPr>
          <w:p w14:paraId="62F51EC1"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2,95,672.29</w:t>
            </w:r>
          </w:p>
        </w:tc>
        <w:tc>
          <w:tcPr>
            <w:tcW w:w="1355" w:type="dxa"/>
            <w:tcBorders>
              <w:top w:val="nil"/>
              <w:left w:val="nil"/>
              <w:bottom w:val="single" w:sz="8" w:space="0" w:color="auto"/>
              <w:right w:val="single" w:sz="8" w:space="0" w:color="auto"/>
            </w:tcBorders>
            <w:shd w:val="clear" w:color="auto" w:fill="auto"/>
            <w:noWrap/>
            <w:vAlign w:val="center"/>
            <w:hideMark/>
          </w:tcPr>
          <w:p w14:paraId="70A9C3DA"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3,35,155.11</w:t>
            </w:r>
          </w:p>
        </w:tc>
      </w:tr>
      <w:tr w:rsidR="003379AA" w14:paraId="335B5BB7"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07C9A6A7"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Total current assets</w:t>
            </w:r>
          </w:p>
        </w:tc>
        <w:tc>
          <w:tcPr>
            <w:tcW w:w="1688" w:type="dxa"/>
            <w:tcBorders>
              <w:top w:val="nil"/>
              <w:left w:val="nil"/>
              <w:bottom w:val="single" w:sz="8" w:space="0" w:color="auto"/>
              <w:right w:val="single" w:sz="8" w:space="0" w:color="auto"/>
            </w:tcBorders>
            <w:shd w:val="clear" w:color="auto" w:fill="auto"/>
            <w:noWrap/>
            <w:vAlign w:val="center"/>
            <w:hideMark/>
          </w:tcPr>
          <w:p w14:paraId="5E0B07EB"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96,317.38</w:t>
            </w:r>
          </w:p>
        </w:tc>
        <w:tc>
          <w:tcPr>
            <w:tcW w:w="1725" w:type="dxa"/>
            <w:tcBorders>
              <w:top w:val="nil"/>
              <w:left w:val="nil"/>
              <w:bottom w:val="single" w:sz="8" w:space="0" w:color="auto"/>
              <w:right w:val="single" w:sz="8" w:space="0" w:color="auto"/>
            </w:tcBorders>
            <w:shd w:val="clear" w:color="auto" w:fill="auto"/>
            <w:noWrap/>
            <w:vAlign w:val="center"/>
            <w:hideMark/>
          </w:tcPr>
          <w:p w14:paraId="683BA580"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1,05,674.45</w:t>
            </w:r>
          </w:p>
        </w:tc>
        <w:tc>
          <w:tcPr>
            <w:tcW w:w="1355" w:type="dxa"/>
            <w:tcBorders>
              <w:top w:val="nil"/>
              <w:left w:val="nil"/>
              <w:bottom w:val="single" w:sz="8" w:space="0" w:color="auto"/>
              <w:right w:val="single" w:sz="8" w:space="0" w:color="auto"/>
            </w:tcBorders>
            <w:shd w:val="clear" w:color="auto" w:fill="auto"/>
            <w:noWrap/>
            <w:vAlign w:val="center"/>
            <w:hideMark/>
          </w:tcPr>
          <w:p w14:paraId="53490540"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1,29,776.03</w:t>
            </w:r>
          </w:p>
        </w:tc>
      </w:tr>
      <w:tr w:rsidR="003379AA" w14:paraId="68A06A4C"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52DA51CC" w14:textId="77777777" w:rsidR="006564AA" w:rsidRDefault="00037F74">
            <w:pPr>
              <w:rPr>
                <w:rFonts w:eastAsia="Times New Roman" w:cs="Times New Roman"/>
                <w:color w:val="000000"/>
                <w:szCs w:val="24"/>
                <w:lang w:eastAsia="en-IN" w:bidi="ar-SA"/>
              </w:rPr>
            </w:pPr>
            <w:r>
              <w:rPr>
                <w:rFonts w:eastAsia="Times New Roman" w:cs="Times New Roman"/>
                <w:color w:val="000000"/>
                <w:szCs w:val="24"/>
                <w:lang w:eastAsia="en-IN" w:bidi="ar-SA"/>
              </w:rPr>
              <w:t>Total non-current assets</w:t>
            </w:r>
          </w:p>
        </w:tc>
        <w:tc>
          <w:tcPr>
            <w:tcW w:w="1688" w:type="dxa"/>
            <w:tcBorders>
              <w:top w:val="nil"/>
              <w:left w:val="nil"/>
              <w:bottom w:val="single" w:sz="8" w:space="0" w:color="auto"/>
              <w:right w:val="single" w:sz="8" w:space="0" w:color="auto"/>
            </w:tcBorders>
            <w:shd w:val="clear" w:color="auto" w:fill="auto"/>
            <w:noWrap/>
            <w:vAlign w:val="center"/>
            <w:hideMark/>
          </w:tcPr>
          <w:p w14:paraId="1C80E28B"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1,77,243.66</w:t>
            </w:r>
          </w:p>
        </w:tc>
        <w:tc>
          <w:tcPr>
            <w:tcW w:w="1725" w:type="dxa"/>
            <w:tcBorders>
              <w:top w:val="nil"/>
              <w:left w:val="nil"/>
              <w:bottom w:val="single" w:sz="8" w:space="0" w:color="auto"/>
              <w:right w:val="single" w:sz="8" w:space="0" w:color="auto"/>
            </w:tcBorders>
            <w:shd w:val="clear" w:color="auto" w:fill="auto"/>
            <w:noWrap/>
            <w:vAlign w:val="center"/>
            <w:hideMark/>
          </w:tcPr>
          <w:p w14:paraId="177FA366"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1,89,997.84</w:t>
            </w:r>
          </w:p>
        </w:tc>
        <w:tc>
          <w:tcPr>
            <w:tcW w:w="1355" w:type="dxa"/>
            <w:tcBorders>
              <w:top w:val="nil"/>
              <w:left w:val="nil"/>
              <w:bottom w:val="single" w:sz="8" w:space="0" w:color="auto"/>
              <w:right w:val="single" w:sz="8" w:space="0" w:color="auto"/>
            </w:tcBorders>
            <w:shd w:val="clear" w:color="auto" w:fill="auto"/>
            <w:noWrap/>
            <w:vAlign w:val="center"/>
            <w:hideMark/>
          </w:tcPr>
          <w:p w14:paraId="16AC3CAD" w14:textId="77777777" w:rsidR="006564AA" w:rsidRDefault="00037F74">
            <w:pPr>
              <w:jc w:val="right"/>
              <w:rPr>
                <w:rFonts w:eastAsia="Times New Roman" w:cs="Times New Roman"/>
                <w:color w:val="000000"/>
                <w:szCs w:val="24"/>
                <w:lang w:eastAsia="en-IN" w:bidi="ar-SA"/>
              </w:rPr>
            </w:pPr>
            <w:r>
              <w:rPr>
                <w:rFonts w:eastAsia="Times New Roman" w:cs="Times New Roman"/>
                <w:color w:val="000000"/>
                <w:szCs w:val="24"/>
                <w:lang w:eastAsia="en-IN" w:bidi="ar-SA"/>
              </w:rPr>
              <w:t>2,05,379.08</w:t>
            </w:r>
          </w:p>
        </w:tc>
      </w:tr>
      <w:tr w:rsidR="003379AA" w14:paraId="769AF726" w14:textId="77777777" w:rsidTr="00194F5C">
        <w:trPr>
          <w:trHeight w:val="428"/>
        </w:trPr>
        <w:tc>
          <w:tcPr>
            <w:tcW w:w="3405" w:type="dxa"/>
            <w:tcBorders>
              <w:top w:val="nil"/>
              <w:left w:val="single" w:sz="8" w:space="0" w:color="auto"/>
              <w:bottom w:val="single" w:sz="8" w:space="0" w:color="auto"/>
              <w:right w:val="single" w:sz="8" w:space="0" w:color="auto"/>
            </w:tcBorders>
            <w:shd w:val="clear" w:color="auto" w:fill="auto"/>
            <w:noWrap/>
            <w:vAlign w:val="center"/>
            <w:hideMark/>
          </w:tcPr>
          <w:p w14:paraId="6D1AE150" w14:textId="77777777" w:rsidR="006564AA" w:rsidRDefault="00037F74">
            <w:pPr>
              <w:rPr>
                <w:rFonts w:eastAsia="Times New Roman" w:cs="Times New Roman"/>
                <w:b/>
                <w:bCs/>
                <w:color w:val="000000"/>
                <w:szCs w:val="24"/>
                <w:lang w:eastAsia="en-IN" w:bidi="ar-SA"/>
              </w:rPr>
            </w:pPr>
            <w:r>
              <w:rPr>
                <w:rFonts w:eastAsia="Times New Roman" w:cs="Times New Roman"/>
                <w:b/>
                <w:bCs/>
                <w:color w:val="000000"/>
                <w:szCs w:val="24"/>
                <w:lang w:eastAsia="en-IN" w:bidi="ar-SA"/>
              </w:rPr>
              <w:t>Total Assets</w:t>
            </w:r>
          </w:p>
        </w:tc>
        <w:tc>
          <w:tcPr>
            <w:tcW w:w="1688" w:type="dxa"/>
            <w:tcBorders>
              <w:top w:val="nil"/>
              <w:left w:val="nil"/>
              <w:bottom w:val="single" w:sz="8" w:space="0" w:color="auto"/>
              <w:right w:val="single" w:sz="8" w:space="0" w:color="auto"/>
            </w:tcBorders>
            <w:shd w:val="clear" w:color="auto" w:fill="auto"/>
            <w:noWrap/>
            <w:vAlign w:val="center"/>
            <w:hideMark/>
          </w:tcPr>
          <w:p w14:paraId="3B42B5FF"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2,73,561.04</w:t>
            </w:r>
          </w:p>
        </w:tc>
        <w:tc>
          <w:tcPr>
            <w:tcW w:w="1725" w:type="dxa"/>
            <w:tcBorders>
              <w:top w:val="nil"/>
              <w:left w:val="nil"/>
              <w:bottom w:val="single" w:sz="8" w:space="0" w:color="auto"/>
              <w:right w:val="single" w:sz="8" w:space="0" w:color="auto"/>
            </w:tcBorders>
            <w:shd w:val="clear" w:color="auto" w:fill="auto"/>
            <w:noWrap/>
            <w:vAlign w:val="center"/>
            <w:hideMark/>
          </w:tcPr>
          <w:p w14:paraId="094CBBE6"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2,95,672.29</w:t>
            </w:r>
          </w:p>
        </w:tc>
        <w:tc>
          <w:tcPr>
            <w:tcW w:w="1355" w:type="dxa"/>
            <w:tcBorders>
              <w:top w:val="nil"/>
              <w:left w:val="nil"/>
              <w:bottom w:val="single" w:sz="8" w:space="0" w:color="auto"/>
              <w:right w:val="single" w:sz="8" w:space="0" w:color="auto"/>
            </w:tcBorders>
            <w:shd w:val="clear" w:color="auto" w:fill="auto"/>
            <w:noWrap/>
            <w:vAlign w:val="center"/>
            <w:hideMark/>
          </w:tcPr>
          <w:p w14:paraId="5FD12C3D" w14:textId="77777777" w:rsidR="006564AA" w:rsidRDefault="00037F74">
            <w:pPr>
              <w:jc w:val="right"/>
              <w:rPr>
                <w:rFonts w:eastAsia="Times New Roman" w:cs="Times New Roman"/>
                <w:b/>
                <w:bCs/>
                <w:color w:val="000000"/>
                <w:szCs w:val="24"/>
                <w:lang w:eastAsia="en-IN" w:bidi="ar-SA"/>
              </w:rPr>
            </w:pPr>
            <w:r>
              <w:rPr>
                <w:rFonts w:eastAsia="Times New Roman" w:cs="Times New Roman"/>
                <w:b/>
                <w:bCs/>
                <w:color w:val="000000"/>
                <w:szCs w:val="24"/>
                <w:lang w:eastAsia="en-IN" w:bidi="ar-SA"/>
              </w:rPr>
              <w:t>3,35,155.11</w:t>
            </w:r>
          </w:p>
        </w:tc>
      </w:tr>
    </w:tbl>
    <w:p w14:paraId="32086896" w14:textId="77777777" w:rsidR="006564AA" w:rsidRDefault="006564AA">
      <w:pPr>
        <w:rPr>
          <w:rFonts w:eastAsia="Calibri" w:cs="Times New Roman"/>
          <w:sz w:val="22"/>
          <w:szCs w:val="22"/>
          <w:lang w:bidi="ar-SA"/>
        </w:rPr>
      </w:pPr>
    </w:p>
    <w:p w14:paraId="07A11F08" w14:textId="77777777" w:rsidR="006564AA" w:rsidRDefault="006564AA">
      <w:pPr>
        <w:rPr>
          <w:rFonts w:eastAsia="Calibri" w:cs="Times New Roman"/>
          <w:sz w:val="22"/>
          <w:szCs w:val="22"/>
          <w:lang w:bidi="ar-SA"/>
        </w:rPr>
      </w:pPr>
    </w:p>
    <w:p w14:paraId="4B3035E5" w14:textId="77777777" w:rsidR="006564AA" w:rsidRDefault="00037F74" w:rsidP="008B158C">
      <w:pPr>
        <w:jc w:val="center"/>
        <w:rPr>
          <w:rFonts w:cs="Times New Roman"/>
          <w:b/>
          <w:bCs/>
          <w:szCs w:val="24"/>
          <w:u w:val="single"/>
        </w:rPr>
      </w:pPr>
      <w:r w:rsidRPr="008B158C">
        <w:rPr>
          <w:rFonts w:cs="Times New Roman"/>
          <w:b/>
          <w:bCs/>
          <w:szCs w:val="24"/>
          <w:u w:val="single"/>
        </w:rPr>
        <w:t>Income Statement</w:t>
      </w:r>
    </w:p>
    <w:p w14:paraId="139070AE" w14:textId="77777777" w:rsidR="008B158C" w:rsidRDefault="00037F74" w:rsidP="008B158C">
      <w:pPr>
        <w:jc w:val="center"/>
        <w:rPr>
          <w:rFonts w:cs="Times New Roman"/>
          <w:szCs w:val="24"/>
          <w:u w:val="single"/>
        </w:rPr>
      </w:pPr>
      <w:bookmarkStart w:id="32" w:name="_Hlk35631787"/>
      <w:r>
        <w:rPr>
          <w:rFonts w:cs="Times New Roman"/>
          <w:b/>
          <w:bCs/>
          <w:szCs w:val="24"/>
          <w:u w:val="single"/>
        </w:rPr>
        <w:t>(in Rs Crores</w:t>
      </w:r>
      <w:bookmarkEnd w:id="32"/>
      <w:r>
        <w:rPr>
          <w:rFonts w:cs="Times New Roman"/>
          <w:b/>
          <w:bCs/>
          <w:szCs w:val="24"/>
          <w:u w:val="single"/>
        </w:rPr>
        <w:t>)</w:t>
      </w:r>
    </w:p>
    <w:p w14:paraId="273F7890" w14:textId="77777777" w:rsidR="006564AA" w:rsidRDefault="006564AA">
      <w:pPr>
        <w:rPr>
          <w:rFonts w:cs="Times New Roman"/>
          <w:sz w:val="22"/>
          <w:szCs w:val="22"/>
        </w:rPr>
      </w:pPr>
    </w:p>
    <w:tbl>
      <w:tblPr>
        <w:tblW w:w="8217" w:type="dxa"/>
        <w:tblLook w:val="04A0" w:firstRow="1" w:lastRow="0" w:firstColumn="1" w:lastColumn="0" w:noHBand="0" w:noVBand="1"/>
      </w:tblPr>
      <w:tblGrid>
        <w:gridCol w:w="2972"/>
        <w:gridCol w:w="1701"/>
        <w:gridCol w:w="1843"/>
        <w:gridCol w:w="1701"/>
      </w:tblGrid>
      <w:tr w:rsidR="007424DF" w14:paraId="3BE29E9B" w14:textId="77777777" w:rsidTr="007424DF">
        <w:trPr>
          <w:trHeight w:val="324"/>
        </w:trPr>
        <w:tc>
          <w:tcPr>
            <w:tcW w:w="2972" w:type="dxa"/>
            <w:tcBorders>
              <w:top w:val="single" w:sz="4" w:space="0" w:color="auto"/>
              <w:left w:val="single" w:sz="4" w:space="0" w:color="auto"/>
              <w:bottom w:val="single" w:sz="4" w:space="0" w:color="auto"/>
              <w:right w:val="single" w:sz="4" w:space="0" w:color="auto"/>
            </w:tcBorders>
            <w:shd w:val="clear" w:color="auto" w:fill="B6DDE8"/>
            <w:noWrap/>
            <w:vAlign w:val="bottom"/>
            <w:hideMark/>
          </w:tcPr>
          <w:p w14:paraId="4900EC60" w14:textId="77777777" w:rsidR="007424DF" w:rsidRDefault="007424DF">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Particulars</w:t>
            </w:r>
          </w:p>
        </w:tc>
        <w:tc>
          <w:tcPr>
            <w:tcW w:w="1701" w:type="dxa"/>
            <w:tcBorders>
              <w:top w:val="single" w:sz="4" w:space="0" w:color="auto"/>
              <w:left w:val="nil"/>
              <w:bottom w:val="single" w:sz="4" w:space="0" w:color="auto"/>
              <w:right w:val="single" w:sz="4" w:space="0" w:color="auto"/>
            </w:tcBorders>
            <w:shd w:val="clear" w:color="auto" w:fill="B6DDE8"/>
            <w:noWrap/>
            <w:vAlign w:val="bottom"/>
            <w:hideMark/>
          </w:tcPr>
          <w:p w14:paraId="43790454" w14:textId="77777777" w:rsidR="007424DF" w:rsidRDefault="007424DF">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FY17</w:t>
            </w:r>
          </w:p>
        </w:tc>
        <w:tc>
          <w:tcPr>
            <w:tcW w:w="1843" w:type="dxa"/>
            <w:tcBorders>
              <w:top w:val="single" w:sz="4" w:space="0" w:color="auto"/>
              <w:left w:val="nil"/>
              <w:bottom w:val="single" w:sz="4" w:space="0" w:color="auto"/>
              <w:right w:val="single" w:sz="4" w:space="0" w:color="auto"/>
            </w:tcBorders>
            <w:shd w:val="clear" w:color="auto" w:fill="B6DDE8"/>
            <w:noWrap/>
            <w:vAlign w:val="bottom"/>
            <w:hideMark/>
          </w:tcPr>
          <w:p w14:paraId="14A7E21C" w14:textId="77777777" w:rsidR="007424DF" w:rsidRDefault="007424DF">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FY18</w:t>
            </w:r>
          </w:p>
        </w:tc>
        <w:tc>
          <w:tcPr>
            <w:tcW w:w="1701" w:type="dxa"/>
            <w:tcBorders>
              <w:top w:val="single" w:sz="4" w:space="0" w:color="auto"/>
              <w:left w:val="nil"/>
              <w:bottom w:val="single" w:sz="4" w:space="0" w:color="auto"/>
              <w:right w:val="single" w:sz="4" w:space="0" w:color="auto"/>
            </w:tcBorders>
            <w:shd w:val="clear" w:color="auto" w:fill="B6DDE8"/>
            <w:noWrap/>
            <w:vAlign w:val="bottom"/>
            <w:hideMark/>
          </w:tcPr>
          <w:p w14:paraId="079A0C9D" w14:textId="77777777" w:rsidR="007424DF" w:rsidRDefault="007424DF">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FY19</w:t>
            </w:r>
          </w:p>
        </w:tc>
      </w:tr>
      <w:tr w:rsidR="007424DF" w14:paraId="3E1E2412"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7FEB634A" w14:textId="77777777" w:rsidR="007424DF" w:rsidRDefault="007424DF">
            <w:pPr>
              <w:spacing w:line="360" w:lineRule="auto"/>
              <w:rPr>
                <w:rFonts w:eastAsia="Times New Roman" w:cs="Times New Roman"/>
                <w:color w:val="000000"/>
                <w:szCs w:val="24"/>
                <w:lang w:eastAsia="en-IN"/>
              </w:rPr>
            </w:pPr>
            <w:r>
              <w:rPr>
                <w:rFonts w:eastAsia="Times New Roman" w:cs="Times New Roman"/>
                <w:color w:val="000000"/>
                <w:szCs w:val="24"/>
                <w:lang w:eastAsia="en-IN"/>
              </w:rPr>
              <w:t>Net Revenues</w:t>
            </w:r>
          </w:p>
        </w:tc>
        <w:tc>
          <w:tcPr>
            <w:tcW w:w="1701" w:type="dxa"/>
            <w:tcBorders>
              <w:top w:val="nil"/>
              <w:left w:val="nil"/>
              <w:bottom w:val="single" w:sz="4" w:space="0" w:color="auto"/>
              <w:right w:val="single" w:sz="4" w:space="0" w:color="auto"/>
            </w:tcBorders>
            <w:noWrap/>
            <w:vAlign w:val="bottom"/>
            <w:hideMark/>
          </w:tcPr>
          <w:p w14:paraId="044D1CED"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4,57,598.23</w:t>
            </w:r>
          </w:p>
        </w:tc>
        <w:tc>
          <w:tcPr>
            <w:tcW w:w="1843" w:type="dxa"/>
            <w:tcBorders>
              <w:top w:val="nil"/>
              <w:left w:val="nil"/>
              <w:bottom w:val="single" w:sz="4" w:space="0" w:color="auto"/>
              <w:right w:val="single" w:sz="4" w:space="0" w:color="auto"/>
            </w:tcBorders>
            <w:noWrap/>
            <w:vAlign w:val="bottom"/>
            <w:hideMark/>
          </w:tcPr>
          <w:p w14:paraId="1D5B5A23"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5,18,961.77</w:t>
            </w:r>
          </w:p>
        </w:tc>
        <w:tc>
          <w:tcPr>
            <w:tcW w:w="1701" w:type="dxa"/>
            <w:tcBorders>
              <w:top w:val="nil"/>
              <w:left w:val="nil"/>
              <w:bottom w:val="single" w:sz="4" w:space="0" w:color="auto"/>
              <w:right w:val="single" w:sz="4" w:space="0" w:color="auto"/>
            </w:tcBorders>
            <w:noWrap/>
            <w:vAlign w:val="bottom"/>
            <w:hideMark/>
          </w:tcPr>
          <w:p w14:paraId="549DA05E"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6,19,957.12</w:t>
            </w:r>
          </w:p>
        </w:tc>
      </w:tr>
      <w:tr w:rsidR="007424DF" w14:paraId="58F29927"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255A8BED" w14:textId="77777777" w:rsidR="007424DF" w:rsidRDefault="007424DF">
            <w:pPr>
              <w:spacing w:line="360" w:lineRule="auto"/>
              <w:rPr>
                <w:rFonts w:eastAsia="Times New Roman" w:cs="Times New Roman"/>
                <w:color w:val="000000"/>
                <w:szCs w:val="24"/>
                <w:lang w:eastAsia="en-IN"/>
              </w:rPr>
            </w:pPr>
            <w:r>
              <w:rPr>
                <w:rFonts w:eastAsia="Times New Roman" w:cs="Times New Roman"/>
                <w:color w:val="000000"/>
                <w:szCs w:val="24"/>
                <w:lang w:eastAsia="en-IN"/>
              </w:rPr>
              <w:t>Total Expenses</w:t>
            </w:r>
          </w:p>
        </w:tc>
        <w:tc>
          <w:tcPr>
            <w:tcW w:w="1701" w:type="dxa"/>
            <w:tcBorders>
              <w:top w:val="nil"/>
              <w:left w:val="nil"/>
              <w:bottom w:val="single" w:sz="4" w:space="0" w:color="auto"/>
              <w:right w:val="single" w:sz="4" w:space="0" w:color="auto"/>
            </w:tcBorders>
            <w:noWrap/>
            <w:vAlign w:val="bottom"/>
            <w:hideMark/>
          </w:tcPr>
          <w:p w14:paraId="1DB6BE38"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4,19,072.55</w:t>
            </w:r>
          </w:p>
        </w:tc>
        <w:tc>
          <w:tcPr>
            <w:tcW w:w="1843" w:type="dxa"/>
            <w:tcBorders>
              <w:top w:val="nil"/>
              <w:left w:val="nil"/>
              <w:bottom w:val="single" w:sz="4" w:space="0" w:color="auto"/>
              <w:right w:val="single" w:sz="4" w:space="0" w:color="auto"/>
            </w:tcBorders>
            <w:noWrap/>
            <w:vAlign w:val="bottom"/>
            <w:hideMark/>
          </w:tcPr>
          <w:p w14:paraId="06AC29E3"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4,73,037.50</w:t>
            </w:r>
          </w:p>
        </w:tc>
        <w:tc>
          <w:tcPr>
            <w:tcW w:w="1701" w:type="dxa"/>
            <w:tcBorders>
              <w:top w:val="nil"/>
              <w:left w:val="nil"/>
              <w:bottom w:val="single" w:sz="4" w:space="0" w:color="auto"/>
              <w:right w:val="single" w:sz="4" w:space="0" w:color="auto"/>
            </w:tcBorders>
            <w:noWrap/>
            <w:vAlign w:val="bottom"/>
            <w:hideMark/>
          </w:tcPr>
          <w:p w14:paraId="15CF9E24"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5,80,635.79</w:t>
            </w:r>
          </w:p>
        </w:tc>
      </w:tr>
      <w:tr w:rsidR="007424DF" w14:paraId="431E2E41"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6DEA5158" w14:textId="77777777" w:rsidR="007424DF" w:rsidRPr="0023702F" w:rsidRDefault="007424DF">
            <w:pPr>
              <w:spacing w:line="360" w:lineRule="auto"/>
              <w:rPr>
                <w:rFonts w:eastAsia="Times New Roman" w:cs="Times New Roman"/>
                <w:b/>
                <w:bCs/>
                <w:color w:val="000000"/>
                <w:szCs w:val="24"/>
                <w:lang w:eastAsia="en-IN"/>
              </w:rPr>
            </w:pPr>
            <w:r w:rsidRPr="0023702F">
              <w:rPr>
                <w:rFonts w:eastAsia="Times New Roman" w:cs="Times New Roman"/>
                <w:b/>
                <w:bCs/>
                <w:color w:val="000000"/>
                <w:szCs w:val="24"/>
                <w:lang w:eastAsia="en-IN"/>
              </w:rPr>
              <w:t>EBITDA</w:t>
            </w:r>
          </w:p>
        </w:tc>
        <w:tc>
          <w:tcPr>
            <w:tcW w:w="1701" w:type="dxa"/>
            <w:tcBorders>
              <w:top w:val="nil"/>
              <w:left w:val="nil"/>
              <w:bottom w:val="single" w:sz="4" w:space="0" w:color="auto"/>
              <w:right w:val="single" w:sz="4" w:space="0" w:color="auto"/>
            </w:tcBorders>
            <w:noWrap/>
            <w:vAlign w:val="bottom"/>
            <w:hideMark/>
          </w:tcPr>
          <w:p w14:paraId="513F978D"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38,525.68</w:t>
            </w:r>
          </w:p>
        </w:tc>
        <w:tc>
          <w:tcPr>
            <w:tcW w:w="1843" w:type="dxa"/>
            <w:tcBorders>
              <w:top w:val="nil"/>
              <w:left w:val="nil"/>
              <w:bottom w:val="single" w:sz="4" w:space="0" w:color="auto"/>
              <w:right w:val="single" w:sz="4" w:space="0" w:color="auto"/>
            </w:tcBorders>
            <w:noWrap/>
            <w:vAlign w:val="bottom"/>
            <w:hideMark/>
          </w:tcPr>
          <w:p w14:paraId="0FA5DC5C"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45,924.27</w:t>
            </w:r>
          </w:p>
        </w:tc>
        <w:tc>
          <w:tcPr>
            <w:tcW w:w="1701" w:type="dxa"/>
            <w:tcBorders>
              <w:top w:val="nil"/>
              <w:left w:val="nil"/>
              <w:bottom w:val="single" w:sz="4" w:space="0" w:color="auto"/>
              <w:right w:val="single" w:sz="4" w:space="0" w:color="auto"/>
            </w:tcBorders>
            <w:noWrap/>
            <w:vAlign w:val="bottom"/>
            <w:hideMark/>
          </w:tcPr>
          <w:p w14:paraId="69036A9E"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39,321.33</w:t>
            </w:r>
          </w:p>
        </w:tc>
      </w:tr>
      <w:tr w:rsidR="007424DF" w14:paraId="7704D44C"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77E13AF1" w14:textId="77777777" w:rsidR="007424DF" w:rsidRDefault="007424DF">
            <w:pPr>
              <w:spacing w:line="360" w:lineRule="auto"/>
              <w:rPr>
                <w:rFonts w:eastAsia="Times New Roman" w:cs="Times New Roman"/>
                <w:color w:val="000000"/>
                <w:szCs w:val="24"/>
                <w:lang w:eastAsia="en-IN"/>
              </w:rPr>
            </w:pPr>
            <w:r>
              <w:rPr>
                <w:rFonts w:eastAsia="Times New Roman" w:cs="Times New Roman"/>
                <w:color w:val="000000"/>
                <w:szCs w:val="24"/>
                <w:lang w:eastAsia="en-IN"/>
              </w:rPr>
              <w:t>Depreciation</w:t>
            </w:r>
          </w:p>
        </w:tc>
        <w:tc>
          <w:tcPr>
            <w:tcW w:w="1701" w:type="dxa"/>
            <w:tcBorders>
              <w:top w:val="nil"/>
              <w:left w:val="nil"/>
              <w:bottom w:val="single" w:sz="4" w:space="0" w:color="auto"/>
              <w:right w:val="single" w:sz="4" w:space="0" w:color="auto"/>
            </w:tcBorders>
            <w:noWrap/>
            <w:vAlign w:val="bottom"/>
            <w:hideMark/>
          </w:tcPr>
          <w:p w14:paraId="169F2CC2"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6,848.62</w:t>
            </w:r>
          </w:p>
        </w:tc>
        <w:tc>
          <w:tcPr>
            <w:tcW w:w="1843" w:type="dxa"/>
            <w:tcBorders>
              <w:top w:val="nil"/>
              <w:left w:val="nil"/>
              <w:bottom w:val="single" w:sz="4" w:space="0" w:color="auto"/>
              <w:right w:val="single" w:sz="4" w:space="0" w:color="auto"/>
            </w:tcBorders>
            <w:noWrap/>
            <w:vAlign w:val="bottom"/>
            <w:hideMark/>
          </w:tcPr>
          <w:p w14:paraId="7384D608"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7,663.54</w:t>
            </w:r>
          </w:p>
        </w:tc>
        <w:tc>
          <w:tcPr>
            <w:tcW w:w="1701" w:type="dxa"/>
            <w:tcBorders>
              <w:top w:val="nil"/>
              <w:left w:val="nil"/>
              <w:bottom w:val="single" w:sz="4" w:space="0" w:color="auto"/>
              <w:right w:val="single" w:sz="4" w:space="0" w:color="auto"/>
            </w:tcBorders>
            <w:noWrap/>
            <w:vAlign w:val="bottom"/>
            <w:hideMark/>
          </w:tcPr>
          <w:p w14:paraId="4A13DCA7"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8,506.45</w:t>
            </w:r>
          </w:p>
        </w:tc>
      </w:tr>
      <w:tr w:rsidR="007424DF" w14:paraId="057C9009"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0F515B74" w14:textId="77777777" w:rsidR="007424DF" w:rsidRPr="0023702F" w:rsidRDefault="007424DF">
            <w:pPr>
              <w:spacing w:line="360" w:lineRule="auto"/>
              <w:rPr>
                <w:rFonts w:eastAsia="Times New Roman" w:cs="Times New Roman"/>
                <w:b/>
                <w:bCs/>
                <w:color w:val="000000"/>
                <w:szCs w:val="24"/>
                <w:lang w:eastAsia="en-IN"/>
              </w:rPr>
            </w:pPr>
            <w:r w:rsidRPr="0023702F">
              <w:rPr>
                <w:rFonts w:eastAsia="Times New Roman" w:cs="Times New Roman"/>
                <w:b/>
                <w:bCs/>
                <w:color w:val="000000"/>
                <w:szCs w:val="24"/>
                <w:lang w:eastAsia="en-IN"/>
              </w:rPr>
              <w:t>EBIT</w:t>
            </w:r>
          </w:p>
        </w:tc>
        <w:tc>
          <w:tcPr>
            <w:tcW w:w="1701" w:type="dxa"/>
            <w:tcBorders>
              <w:top w:val="nil"/>
              <w:left w:val="nil"/>
              <w:bottom w:val="single" w:sz="4" w:space="0" w:color="auto"/>
              <w:right w:val="single" w:sz="4" w:space="0" w:color="auto"/>
            </w:tcBorders>
            <w:noWrap/>
            <w:vAlign w:val="bottom"/>
            <w:hideMark/>
          </w:tcPr>
          <w:p w14:paraId="3F2E1DB9"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31,677.06</w:t>
            </w:r>
          </w:p>
        </w:tc>
        <w:tc>
          <w:tcPr>
            <w:tcW w:w="1843" w:type="dxa"/>
            <w:tcBorders>
              <w:top w:val="nil"/>
              <w:left w:val="nil"/>
              <w:bottom w:val="single" w:sz="4" w:space="0" w:color="auto"/>
              <w:right w:val="single" w:sz="4" w:space="0" w:color="auto"/>
            </w:tcBorders>
            <w:noWrap/>
            <w:vAlign w:val="bottom"/>
            <w:hideMark/>
          </w:tcPr>
          <w:p w14:paraId="67371EF7"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38,260.73</w:t>
            </w:r>
          </w:p>
        </w:tc>
        <w:tc>
          <w:tcPr>
            <w:tcW w:w="1701" w:type="dxa"/>
            <w:tcBorders>
              <w:top w:val="nil"/>
              <w:left w:val="nil"/>
              <w:bottom w:val="single" w:sz="4" w:space="0" w:color="auto"/>
              <w:right w:val="single" w:sz="4" w:space="0" w:color="auto"/>
            </w:tcBorders>
            <w:noWrap/>
            <w:vAlign w:val="bottom"/>
            <w:hideMark/>
          </w:tcPr>
          <w:p w14:paraId="48ABE4FD"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30,814.88</w:t>
            </w:r>
          </w:p>
        </w:tc>
      </w:tr>
      <w:tr w:rsidR="007424DF" w14:paraId="34808664"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16AE5FBF" w14:textId="77777777" w:rsidR="007424DF" w:rsidRDefault="007424DF">
            <w:pPr>
              <w:spacing w:line="360" w:lineRule="auto"/>
              <w:rPr>
                <w:rFonts w:eastAsia="Times New Roman" w:cs="Times New Roman"/>
                <w:color w:val="000000"/>
                <w:szCs w:val="24"/>
                <w:lang w:eastAsia="en-IN"/>
              </w:rPr>
            </w:pPr>
            <w:r>
              <w:rPr>
                <w:rFonts w:eastAsia="Times New Roman" w:cs="Times New Roman"/>
                <w:color w:val="000000"/>
                <w:szCs w:val="24"/>
                <w:lang w:eastAsia="en-IN"/>
              </w:rPr>
              <w:t>Interest</w:t>
            </w:r>
          </w:p>
        </w:tc>
        <w:tc>
          <w:tcPr>
            <w:tcW w:w="1701" w:type="dxa"/>
            <w:tcBorders>
              <w:top w:val="nil"/>
              <w:left w:val="nil"/>
              <w:bottom w:val="single" w:sz="4" w:space="0" w:color="auto"/>
              <w:right w:val="single" w:sz="4" w:space="0" w:color="auto"/>
            </w:tcBorders>
            <w:noWrap/>
            <w:vAlign w:val="bottom"/>
            <w:hideMark/>
          </w:tcPr>
          <w:p w14:paraId="3A9BD7E3"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3,721.26</w:t>
            </w:r>
          </w:p>
        </w:tc>
        <w:tc>
          <w:tcPr>
            <w:tcW w:w="1843" w:type="dxa"/>
            <w:tcBorders>
              <w:top w:val="nil"/>
              <w:left w:val="nil"/>
              <w:bottom w:val="single" w:sz="4" w:space="0" w:color="auto"/>
              <w:right w:val="single" w:sz="4" w:space="0" w:color="auto"/>
            </w:tcBorders>
            <w:noWrap/>
            <w:vAlign w:val="bottom"/>
            <w:hideMark/>
          </w:tcPr>
          <w:p w14:paraId="07B5ED78"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3,810.51</w:t>
            </w:r>
          </w:p>
        </w:tc>
        <w:tc>
          <w:tcPr>
            <w:tcW w:w="1701" w:type="dxa"/>
            <w:tcBorders>
              <w:top w:val="nil"/>
              <w:left w:val="nil"/>
              <w:bottom w:val="single" w:sz="4" w:space="0" w:color="auto"/>
              <w:right w:val="single" w:sz="4" w:space="0" w:color="auto"/>
            </w:tcBorders>
            <w:noWrap/>
            <w:vAlign w:val="bottom"/>
            <w:hideMark/>
          </w:tcPr>
          <w:p w14:paraId="6963CB70"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4,887.98</w:t>
            </w:r>
          </w:p>
        </w:tc>
      </w:tr>
      <w:tr w:rsidR="007424DF" w14:paraId="751FF8F3"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41B08A16" w14:textId="77777777" w:rsidR="007424DF" w:rsidRPr="0023702F" w:rsidRDefault="007424DF">
            <w:pPr>
              <w:spacing w:line="360" w:lineRule="auto"/>
              <w:rPr>
                <w:rFonts w:eastAsia="Times New Roman" w:cs="Times New Roman"/>
                <w:b/>
                <w:bCs/>
                <w:color w:val="000000"/>
                <w:szCs w:val="24"/>
                <w:lang w:eastAsia="en-IN"/>
              </w:rPr>
            </w:pPr>
            <w:r w:rsidRPr="0023702F">
              <w:rPr>
                <w:rFonts w:eastAsia="Times New Roman" w:cs="Times New Roman"/>
                <w:b/>
                <w:bCs/>
                <w:color w:val="000000"/>
                <w:szCs w:val="24"/>
                <w:lang w:eastAsia="en-IN"/>
              </w:rPr>
              <w:t>PBT</w:t>
            </w:r>
          </w:p>
        </w:tc>
        <w:tc>
          <w:tcPr>
            <w:tcW w:w="1701" w:type="dxa"/>
            <w:tcBorders>
              <w:top w:val="nil"/>
              <w:left w:val="nil"/>
              <w:bottom w:val="single" w:sz="4" w:space="0" w:color="auto"/>
              <w:right w:val="single" w:sz="4" w:space="0" w:color="auto"/>
            </w:tcBorders>
            <w:noWrap/>
            <w:vAlign w:val="bottom"/>
            <w:hideMark/>
          </w:tcPr>
          <w:p w14:paraId="2CAE4D14"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27,955.80</w:t>
            </w:r>
          </w:p>
        </w:tc>
        <w:tc>
          <w:tcPr>
            <w:tcW w:w="1843" w:type="dxa"/>
            <w:tcBorders>
              <w:top w:val="nil"/>
              <w:left w:val="nil"/>
              <w:bottom w:val="single" w:sz="4" w:space="0" w:color="auto"/>
              <w:right w:val="single" w:sz="4" w:space="0" w:color="auto"/>
            </w:tcBorders>
            <w:noWrap/>
            <w:vAlign w:val="bottom"/>
            <w:hideMark/>
          </w:tcPr>
          <w:p w14:paraId="35CFBF00"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34,450.22</w:t>
            </w:r>
          </w:p>
        </w:tc>
        <w:tc>
          <w:tcPr>
            <w:tcW w:w="1701" w:type="dxa"/>
            <w:tcBorders>
              <w:top w:val="nil"/>
              <w:left w:val="nil"/>
              <w:bottom w:val="single" w:sz="4" w:space="0" w:color="auto"/>
              <w:right w:val="single" w:sz="4" w:space="0" w:color="auto"/>
            </w:tcBorders>
            <w:noWrap/>
            <w:vAlign w:val="bottom"/>
            <w:hideMark/>
          </w:tcPr>
          <w:p w14:paraId="7DDF2875"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25,926.90</w:t>
            </w:r>
          </w:p>
        </w:tc>
      </w:tr>
      <w:tr w:rsidR="007424DF" w14:paraId="12493DEA"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669E8A92" w14:textId="77777777" w:rsidR="007424DF" w:rsidRDefault="007424DF">
            <w:pPr>
              <w:spacing w:line="360" w:lineRule="auto"/>
              <w:rPr>
                <w:rFonts w:eastAsia="Times New Roman" w:cs="Times New Roman"/>
                <w:color w:val="000000"/>
                <w:szCs w:val="24"/>
                <w:lang w:eastAsia="en-IN"/>
              </w:rPr>
            </w:pPr>
            <w:r>
              <w:rPr>
                <w:rFonts w:eastAsia="Times New Roman" w:cs="Times New Roman"/>
                <w:color w:val="000000"/>
                <w:szCs w:val="24"/>
                <w:lang w:eastAsia="en-IN"/>
              </w:rPr>
              <w:t>Tax</w:t>
            </w:r>
          </w:p>
        </w:tc>
        <w:tc>
          <w:tcPr>
            <w:tcW w:w="1701" w:type="dxa"/>
            <w:tcBorders>
              <w:top w:val="nil"/>
              <w:left w:val="nil"/>
              <w:bottom w:val="single" w:sz="4" w:space="0" w:color="auto"/>
              <w:right w:val="single" w:sz="4" w:space="0" w:color="auto"/>
            </w:tcBorders>
            <w:noWrap/>
            <w:vAlign w:val="bottom"/>
            <w:hideMark/>
          </w:tcPr>
          <w:p w14:paraId="6B36EC76"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7,570.40</w:t>
            </w:r>
          </w:p>
        </w:tc>
        <w:tc>
          <w:tcPr>
            <w:tcW w:w="1843" w:type="dxa"/>
            <w:tcBorders>
              <w:top w:val="nil"/>
              <w:left w:val="nil"/>
              <w:bottom w:val="single" w:sz="4" w:space="0" w:color="auto"/>
              <w:right w:val="single" w:sz="4" w:space="0" w:color="auto"/>
            </w:tcBorders>
            <w:noWrap/>
            <w:vAlign w:val="bottom"/>
            <w:hideMark/>
          </w:tcPr>
          <w:p w14:paraId="351A5A83"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11,823.87</w:t>
            </w:r>
          </w:p>
        </w:tc>
        <w:tc>
          <w:tcPr>
            <w:tcW w:w="1701" w:type="dxa"/>
            <w:tcBorders>
              <w:top w:val="nil"/>
              <w:left w:val="nil"/>
              <w:bottom w:val="single" w:sz="4" w:space="0" w:color="auto"/>
              <w:right w:val="single" w:sz="4" w:space="0" w:color="auto"/>
            </w:tcBorders>
            <w:noWrap/>
            <w:vAlign w:val="bottom"/>
            <w:hideMark/>
          </w:tcPr>
          <w:p w14:paraId="4F0F1FF1" w14:textId="77777777" w:rsidR="007424DF" w:rsidRDefault="007424DF">
            <w:pPr>
              <w:spacing w:line="360" w:lineRule="auto"/>
              <w:jc w:val="right"/>
              <w:rPr>
                <w:rFonts w:eastAsia="Times New Roman" w:cs="Times New Roman"/>
                <w:color w:val="000000"/>
                <w:szCs w:val="24"/>
                <w:lang w:eastAsia="en-IN"/>
              </w:rPr>
            </w:pPr>
            <w:r>
              <w:rPr>
                <w:rFonts w:eastAsia="Times New Roman" w:cs="Times New Roman"/>
                <w:color w:val="000000"/>
                <w:szCs w:val="24"/>
                <w:lang w:eastAsia="en-IN"/>
              </w:rPr>
              <w:t>8,653.05</w:t>
            </w:r>
          </w:p>
        </w:tc>
      </w:tr>
      <w:tr w:rsidR="007424DF" w14:paraId="70C6BC2F" w14:textId="77777777" w:rsidTr="007424DF">
        <w:trPr>
          <w:trHeight w:val="324"/>
        </w:trPr>
        <w:tc>
          <w:tcPr>
            <w:tcW w:w="2972" w:type="dxa"/>
            <w:tcBorders>
              <w:top w:val="nil"/>
              <w:left w:val="single" w:sz="4" w:space="0" w:color="auto"/>
              <w:bottom w:val="single" w:sz="4" w:space="0" w:color="auto"/>
              <w:right w:val="single" w:sz="4" w:space="0" w:color="auto"/>
            </w:tcBorders>
            <w:noWrap/>
            <w:vAlign w:val="bottom"/>
            <w:hideMark/>
          </w:tcPr>
          <w:p w14:paraId="1ED8F9ED" w14:textId="77777777" w:rsidR="007424DF" w:rsidRPr="0023702F" w:rsidRDefault="007424DF">
            <w:pPr>
              <w:spacing w:line="360" w:lineRule="auto"/>
              <w:rPr>
                <w:rFonts w:eastAsia="Times New Roman" w:cs="Times New Roman"/>
                <w:b/>
                <w:bCs/>
                <w:color w:val="000000"/>
                <w:szCs w:val="24"/>
                <w:lang w:eastAsia="en-IN"/>
              </w:rPr>
            </w:pPr>
            <w:r w:rsidRPr="0023702F">
              <w:rPr>
                <w:rFonts w:eastAsia="Times New Roman" w:cs="Times New Roman"/>
                <w:b/>
                <w:bCs/>
                <w:color w:val="000000"/>
                <w:szCs w:val="24"/>
                <w:lang w:eastAsia="en-IN"/>
              </w:rPr>
              <w:t>PAT</w:t>
            </w:r>
          </w:p>
        </w:tc>
        <w:tc>
          <w:tcPr>
            <w:tcW w:w="1701" w:type="dxa"/>
            <w:tcBorders>
              <w:top w:val="nil"/>
              <w:left w:val="nil"/>
              <w:bottom w:val="single" w:sz="4" w:space="0" w:color="auto"/>
              <w:right w:val="single" w:sz="4" w:space="0" w:color="auto"/>
            </w:tcBorders>
            <w:noWrap/>
            <w:vAlign w:val="bottom"/>
            <w:hideMark/>
          </w:tcPr>
          <w:p w14:paraId="04F8AA41"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20,385.40</w:t>
            </w:r>
          </w:p>
        </w:tc>
        <w:tc>
          <w:tcPr>
            <w:tcW w:w="1843" w:type="dxa"/>
            <w:tcBorders>
              <w:top w:val="nil"/>
              <w:left w:val="nil"/>
              <w:bottom w:val="single" w:sz="4" w:space="0" w:color="auto"/>
              <w:right w:val="single" w:sz="4" w:space="0" w:color="auto"/>
            </w:tcBorders>
            <w:noWrap/>
            <w:vAlign w:val="bottom"/>
            <w:hideMark/>
          </w:tcPr>
          <w:p w14:paraId="52A83915"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22,626.35</w:t>
            </w:r>
          </w:p>
        </w:tc>
        <w:tc>
          <w:tcPr>
            <w:tcW w:w="1701" w:type="dxa"/>
            <w:tcBorders>
              <w:top w:val="nil"/>
              <w:left w:val="nil"/>
              <w:bottom w:val="single" w:sz="4" w:space="0" w:color="auto"/>
              <w:right w:val="single" w:sz="4" w:space="0" w:color="auto"/>
            </w:tcBorders>
            <w:noWrap/>
            <w:vAlign w:val="bottom"/>
            <w:hideMark/>
          </w:tcPr>
          <w:p w14:paraId="1AA2C0AF" w14:textId="77777777" w:rsidR="007424DF" w:rsidRPr="0023702F" w:rsidRDefault="007424DF">
            <w:pPr>
              <w:spacing w:line="360" w:lineRule="auto"/>
              <w:jc w:val="right"/>
              <w:rPr>
                <w:rFonts w:eastAsia="Times New Roman" w:cs="Times New Roman"/>
                <w:b/>
                <w:bCs/>
                <w:color w:val="000000"/>
                <w:szCs w:val="24"/>
                <w:lang w:eastAsia="en-IN"/>
              </w:rPr>
            </w:pPr>
            <w:r w:rsidRPr="0023702F">
              <w:rPr>
                <w:rFonts w:eastAsia="Times New Roman" w:cs="Times New Roman"/>
                <w:b/>
                <w:bCs/>
                <w:color w:val="000000"/>
                <w:szCs w:val="24"/>
                <w:lang w:eastAsia="en-IN"/>
              </w:rPr>
              <w:t>17,273.85</w:t>
            </w:r>
          </w:p>
        </w:tc>
      </w:tr>
    </w:tbl>
    <w:p w14:paraId="132E4346" w14:textId="77777777" w:rsidR="006564AA" w:rsidRDefault="006564AA">
      <w:pPr>
        <w:rPr>
          <w:rFonts w:cs="Times New Roman"/>
          <w:b/>
          <w:bCs/>
          <w:szCs w:val="24"/>
        </w:rPr>
      </w:pPr>
    </w:p>
    <w:p w14:paraId="70D792FE" w14:textId="77777777" w:rsidR="006564AA" w:rsidRDefault="006564AA">
      <w:pPr>
        <w:rPr>
          <w:rFonts w:cs="Times New Roman"/>
          <w:b/>
          <w:bCs/>
          <w:szCs w:val="24"/>
        </w:rPr>
      </w:pPr>
    </w:p>
    <w:p w14:paraId="192F0DD1" w14:textId="77777777" w:rsidR="0023702F" w:rsidRDefault="0023702F">
      <w:pPr>
        <w:rPr>
          <w:rFonts w:cs="Times New Roman"/>
          <w:b/>
          <w:bCs/>
          <w:szCs w:val="24"/>
        </w:rPr>
      </w:pPr>
    </w:p>
    <w:p w14:paraId="3D31C200" w14:textId="77777777" w:rsidR="0023702F" w:rsidRDefault="0023702F">
      <w:pPr>
        <w:rPr>
          <w:rFonts w:cs="Times New Roman"/>
          <w:b/>
          <w:bCs/>
          <w:szCs w:val="24"/>
        </w:rPr>
      </w:pPr>
    </w:p>
    <w:p w14:paraId="38EC40E2" w14:textId="77777777" w:rsidR="0023702F" w:rsidRDefault="0023702F">
      <w:pPr>
        <w:rPr>
          <w:rFonts w:cs="Times New Roman"/>
          <w:b/>
          <w:bCs/>
          <w:szCs w:val="24"/>
        </w:rPr>
      </w:pPr>
    </w:p>
    <w:p w14:paraId="5A81F17F" w14:textId="77777777" w:rsidR="0023702F" w:rsidRDefault="0023702F">
      <w:pPr>
        <w:rPr>
          <w:rFonts w:cs="Times New Roman"/>
          <w:b/>
          <w:bCs/>
          <w:szCs w:val="24"/>
        </w:rPr>
      </w:pPr>
    </w:p>
    <w:p w14:paraId="461A7558" w14:textId="77777777" w:rsidR="0023702F" w:rsidRDefault="0023702F">
      <w:pPr>
        <w:rPr>
          <w:rFonts w:cs="Times New Roman"/>
          <w:b/>
          <w:bCs/>
          <w:szCs w:val="24"/>
        </w:rPr>
      </w:pPr>
    </w:p>
    <w:p w14:paraId="00149381" w14:textId="77777777" w:rsidR="0023702F" w:rsidRDefault="0023702F">
      <w:pPr>
        <w:rPr>
          <w:rFonts w:cs="Times New Roman"/>
          <w:b/>
          <w:bCs/>
          <w:szCs w:val="24"/>
        </w:rPr>
      </w:pPr>
    </w:p>
    <w:p w14:paraId="306B69DF" w14:textId="77777777" w:rsidR="008B158C" w:rsidRDefault="008B158C">
      <w:pPr>
        <w:rPr>
          <w:rFonts w:cs="Times New Roman"/>
          <w:b/>
          <w:bCs/>
          <w:szCs w:val="24"/>
        </w:rPr>
      </w:pPr>
    </w:p>
    <w:p w14:paraId="23C957B9" w14:textId="77777777" w:rsidR="008B158C" w:rsidRDefault="008B158C">
      <w:pPr>
        <w:rPr>
          <w:rFonts w:cs="Times New Roman"/>
          <w:b/>
          <w:bCs/>
          <w:szCs w:val="24"/>
        </w:rPr>
      </w:pPr>
    </w:p>
    <w:p w14:paraId="7E370ECC" w14:textId="77777777" w:rsidR="006564AA" w:rsidRDefault="00037F74">
      <w:pPr>
        <w:rPr>
          <w:rFonts w:cs="Times New Roman"/>
          <w:b/>
          <w:bCs/>
          <w:szCs w:val="24"/>
        </w:rPr>
      </w:pPr>
      <w:r>
        <w:rPr>
          <w:rFonts w:cs="Times New Roman"/>
          <w:b/>
          <w:bCs/>
          <w:szCs w:val="24"/>
        </w:rPr>
        <w:t>E HPCL</w:t>
      </w:r>
    </w:p>
    <w:p w14:paraId="213FA9F6" w14:textId="77777777" w:rsidR="006564AA" w:rsidRDefault="006564AA">
      <w:pPr>
        <w:rPr>
          <w:rFonts w:cs="Times New Roman"/>
          <w:noProof/>
          <w:szCs w:val="24"/>
        </w:rPr>
      </w:pPr>
    </w:p>
    <w:p w14:paraId="226813F7" w14:textId="77777777" w:rsidR="006564AA" w:rsidRPr="008B158C" w:rsidRDefault="00037F74" w:rsidP="008B158C">
      <w:pPr>
        <w:tabs>
          <w:tab w:val="left" w:pos="912"/>
        </w:tabs>
        <w:jc w:val="center"/>
        <w:rPr>
          <w:rFonts w:cs="Times New Roman"/>
          <w:b/>
          <w:bCs/>
          <w:szCs w:val="24"/>
          <w:u w:val="single"/>
        </w:rPr>
      </w:pPr>
      <w:r w:rsidRPr="008B158C">
        <w:rPr>
          <w:rFonts w:cs="Times New Roman"/>
          <w:b/>
          <w:bCs/>
          <w:szCs w:val="24"/>
          <w:u w:val="single"/>
        </w:rPr>
        <w:t>Balance sheet</w:t>
      </w:r>
    </w:p>
    <w:p w14:paraId="0DD2BD28" w14:textId="77777777" w:rsidR="006564AA" w:rsidRDefault="006564AA">
      <w:pPr>
        <w:tabs>
          <w:tab w:val="left" w:pos="912"/>
        </w:tabs>
        <w:rPr>
          <w:rFonts w:cs="Times New Roman"/>
          <w:szCs w:val="24"/>
        </w:rPr>
      </w:pPr>
    </w:p>
    <w:tbl>
      <w:tblPr>
        <w:tblW w:w="8359" w:type="dxa"/>
        <w:tblLook w:val="04A0" w:firstRow="1" w:lastRow="0" w:firstColumn="1" w:lastColumn="0" w:noHBand="0" w:noVBand="1"/>
      </w:tblPr>
      <w:tblGrid>
        <w:gridCol w:w="3256"/>
        <w:gridCol w:w="1559"/>
        <w:gridCol w:w="1843"/>
        <w:gridCol w:w="1701"/>
      </w:tblGrid>
      <w:tr w:rsidR="003379AA" w14:paraId="1F87486F" w14:textId="77777777">
        <w:trPr>
          <w:trHeight w:val="340"/>
        </w:trPr>
        <w:tc>
          <w:tcPr>
            <w:tcW w:w="3256" w:type="dxa"/>
            <w:tcBorders>
              <w:top w:val="single" w:sz="4" w:space="0" w:color="auto"/>
              <w:left w:val="single" w:sz="4" w:space="0" w:color="auto"/>
              <w:bottom w:val="single" w:sz="4" w:space="0" w:color="auto"/>
              <w:right w:val="single" w:sz="4" w:space="0" w:color="auto"/>
            </w:tcBorders>
            <w:shd w:val="clear" w:color="auto" w:fill="B6DDE8"/>
            <w:noWrap/>
            <w:vAlign w:val="bottom"/>
            <w:hideMark/>
          </w:tcPr>
          <w:p w14:paraId="68AF5383" w14:textId="77777777" w:rsidR="006564AA" w:rsidRDefault="00037F74">
            <w:pPr>
              <w:spacing w:line="360" w:lineRule="auto"/>
              <w:rPr>
                <w:rFonts w:eastAsia="Times New Roman" w:cs="Times New Roman"/>
                <w:b/>
                <w:bCs/>
                <w:color w:val="000000"/>
                <w:szCs w:val="24"/>
                <w:lang w:eastAsia="en-IN" w:bidi="ar-SA"/>
              </w:rPr>
            </w:pPr>
            <w:r>
              <w:rPr>
                <w:rFonts w:eastAsia="Times New Roman" w:cs="Times New Roman"/>
                <w:b/>
                <w:bCs/>
                <w:color w:val="000000"/>
                <w:szCs w:val="24"/>
                <w:lang w:eastAsia="en-IN" w:bidi="ar-SA"/>
              </w:rPr>
              <w:t>Year Ending March (in Rs. Crores)</w:t>
            </w:r>
          </w:p>
        </w:tc>
        <w:tc>
          <w:tcPr>
            <w:tcW w:w="1559" w:type="dxa"/>
            <w:tcBorders>
              <w:top w:val="single" w:sz="4" w:space="0" w:color="auto"/>
              <w:left w:val="nil"/>
              <w:bottom w:val="single" w:sz="4" w:space="0" w:color="auto"/>
              <w:right w:val="single" w:sz="4" w:space="0" w:color="auto"/>
            </w:tcBorders>
            <w:shd w:val="clear" w:color="auto" w:fill="B6DDE8"/>
            <w:noWrap/>
            <w:vAlign w:val="bottom"/>
            <w:hideMark/>
          </w:tcPr>
          <w:p w14:paraId="2923BA55" w14:textId="77777777" w:rsidR="006564AA" w:rsidRDefault="00037F74">
            <w:pPr>
              <w:spacing w:line="360" w:lineRule="auto"/>
              <w:rPr>
                <w:rFonts w:eastAsia="Times New Roman" w:cs="Times New Roman"/>
                <w:b/>
                <w:bCs/>
                <w:color w:val="000000"/>
                <w:szCs w:val="24"/>
                <w:lang w:eastAsia="en-IN" w:bidi="ar-SA"/>
              </w:rPr>
            </w:pPr>
            <w:r>
              <w:rPr>
                <w:rFonts w:eastAsia="Times New Roman" w:cs="Times New Roman"/>
                <w:b/>
                <w:bCs/>
                <w:color w:val="000000"/>
                <w:szCs w:val="24"/>
                <w:lang w:eastAsia="en-IN" w:bidi="ar-SA"/>
              </w:rPr>
              <w:t xml:space="preserve">FY17 </w:t>
            </w:r>
          </w:p>
        </w:tc>
        <w:tc>
          <w:tcPr>
            <w:tcW w:w="1843" w:type="dxa"/>
            <w:tcBorders>
              <w:top w:val="single" w:sz="4" w:space="0" w:color="auto"/>
              <w:left w:val="nil"/>
              <w:bottom w:val="single" w:sz="4" w:space="0" w:color="auto"/>
              <w:right w:val="single" w:sz="4" w:space="0" w:color="auto"/>
            </w:tcBorders>
            <w:shd w:val="clear" w:color="auto" w:fill="B6DDE8"/>
            <w:noWrap/>
            <w:vAlign w:val="bottom"/>
            <w:hideMark/>
          </w:tcPr>
          <w:p w14:paraId="5AB01E60" w14:textId="77777777" w:rsidR="006564AA" w:rsidRDefault="00037F74">
            <w:pPr>
              <w:spacing w:line="360" w:lineRule="auto"/>
              <w:rPr>
                <w:rFonts w:eastAsia="Times New Roman" w:cs="Times New Roman"/>
                <w:b/>
                <w:bCs/>
                <w:color w:val="000000"/>
                <w:szCs w:val="24"/>
                <w:lang w:eastAsia="en-IN" w:bidi="ar-SA"/>
              </w:rPr>
            </w:pPr>
            <w:r>
              <w:rPr>
                <w:rFonts w:eastAsia="Times New Roman" w:cs="Times New Roman"/>
                <w:b/>
                <w:bCs/>
                <w:color w:val="000000"/>
                <w:szCs w:val="24"/>
                <w:lang w:eastAsia="en-IN" w:bidi="ar-SA"/>
              </w:rPr>
              <w:t>FY18</w:t>
            </w:r>
          </w:p>
        </w:tc>
        <w:tc>
          <w:tcPr>
            <w:tcW w:w="1701" w:type="dxa"/>
            <w:tcBorders>
              <w:top w:val="single" w:sz="4" w:space="0" w:color="auto"/>
              <w:left w:val="nil"/>
              <w:bottom w:val="single" w:sz="4" w:space="0" w:color="auto"/>
              <w:right w:val="single" w:sz="4" w:space="0" w:color="auto"/>
            </w:tcBorders>
            <w:shd w:val="clear" w:color="auto" w:fill="B6DDE8"/>
            <w:noWrap/>
            <w:vAlign w:val="bottom"/>
            <w:hideMark/>
          </w:tcPr>
          <w:p w14:paraId="318A3E5D" w14:textId="77777777" w:rsidR="006564AA" w:rsidRDefault="00037F74">
            <w:pPr>
              <w:spacing w:line="360" w:lineRule="auto"/>
              <w:rPr>
                <w:rFonts w:eastAsia="Times New Roman" w:cs="Times New Roman"/>
                <w:b/>
                <w:bCs/>
                <w:color w:val="000000"/>
                <w:szCs w:val="24"/>
                <w:lang w:eastAsia="en-IN" w:bidi="ar-SA"/>
              </w:rPr>
            </w:pPr>
            <w:r>
              <w:rPr>
                <w:rFonts w:eastAsia="Times New Roman" w:cs="Times New Roman"/>
                <w:b/>
                <w:bCs/>
                <w:color w:val="000000"/>
                <w:szCs w:val="24"/>
                <w:lang w:eastAsia="en-IN" w:bidi="ar-SA"/>
              </w:rPr>
              <w:t>FY19</w:t>
            </w:r>
          </w:p>
        </w:tc>
      </w:tr>
      <w:tr w:rsidR="003379AA" w14:paraId="6713C00A" w14:textId="77777777">
        <w:trPr>
          <w:trHeight w:val="472"/>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28B37"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Total Shareholders Fund</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AD37BFF" w14:textId="77777777" w:rsidR="006564AA" w:rsidRDefault="00037F74">
            <w:pPr>
              <w:spacing w:line="360" w:lineRule="auto"/>
              <w:jc w:val="right"/>
              <w:rPr>
                <w:rFonts w:eastAsia="Times New Roman" w:cs="Times New Roman"/>
                <w:color w:val="000000"/>
                <w:szCs w:val="24"/>
                <w:lang w:eastAsia="en-IN" w:bidi="ar-SA"/>
              </w:rPr>
            </w:pPr>
            <w:r>
              <w:rPr>
                <w:rFonts w:eastAsia="Times New Roman" w:cs="Times New Roman"/>
                <w:szCs w:val="24"/>
                <w:lang w:eastAsia="en-IN" w:bidi="ar-SA"/>
              </w:rPr>
              <w:t>20,347.41</w:t>
            </w:r>
          </w:p>
          <w:p w14:paraId="0E48B643" w14:textId="77777777" w:rsidR="006564AA" w:rsidRDefault="006564AA">
            <w:pPr>
              <w:spacing w:line="360" w:lineRule="auto"/>
              <w:jc w:val="right"/>
              <w:rPr>
                <w:rFonts w:eastAsia="Times New Roman" w:cs="Times New Roman"/>
                <w:color w:val="000000"/>
                <w:szCs w:val="24"/>
                <w:lang w:eastAsia="en-IN" w:bidi="ar-SA"/>
              </w:rPr>
            </w:pPr>
          </w:p>
        </w:tc>
        <w:tc>
          <w:tcPr>
            <w:tcW w:w="184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84ECE7"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23,948.22</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0481151E"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28,174.82</w:t>
            </w:r>
          </w:p>
        </w:tc>
      </w:tr>
      <w:tr w:rsidR="003379AA" w14:paraId="5C6820E8" w14:textId="77777777">
        <w:trPr>
          <w:trHeight w:val="34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BBB3CE9"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Total Debt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91CAB75" w14:textId="77777777" w:rsidR="006564AA" w:rsidRDefault="00037F74">
            <w:pPr>
              <w:spacing w:line="360" w:lineRule="auto"/>
              <w:jc w:val="right"/>
              <w:rPr>
                <w:rFonts w:eastAsia="Times New Roman" w:cs="Times New Roman"/>
                <w:color w:val="000000"/>
                <w:szCs w:val="24"/>
                <w:lang w:eastAsia="en-IN" w:bidi="ar-SA"/>
              </w:rPr>
            </w:pPr>
            <w:r>
              <w:rPr>
                <w:rFonts w:eastAsia="Times New Roman" w:cs="Times New Roman"/>
                <w:color w:val="000000"/>
                <w:szCs w:val="24"/>
                <w:lang w:eastAsia="en-IN" w:bidi="ar-SA"/>
              </w:rPr>
              <w:t>6,460.91</w:t>
            </w:r>
          </w:p>
        </w:tc>
        <w:tc>
          <w:tcPr>
            <w:tcW w:w="1843" w:type="dxa"/>
            <w:tcBorders>
              <w:top w:val="nil"/>
              <w:left w:val="nil"/>
              <w:bottom w:val="single" w:sz="4" w:space="0" w:color="auto"/>
              <w:right w:val="single" w:sz="4" w:space="0" w:color="auto"/>
            </w:tcBorders>
            <w:shd w:val="clear" w:color="auto" w:fill="auto"/>
            <w:noWrap/>
            <w:vAlign w:val="bottom"/>
            <w:hideMark/>
          </w:tcPr>
          <w:p w14:paraId="3BEA883D" w14:textId="77777777" w:rsidR="006564AA" w:rsidRDefault="00037F74">
            <w:pPr>
              <w:spacing w:line="360" w:lineRule="auto"/>
              <w:jc w:val="right"/>
              <w:rPr>
                <w:rFonts w:eastAsia="Times New Roman" w:cs="Times New Roman"/>
                <w:color w:val="000000"/>
                <w:szCs w:val="24"/>
                <w:lang w:eastAsia="en-IN" w:bidi="ar-SA"/>
              </w:rPr>
            </w:pPr>
            <w:r>
              <w:rPr>
                <w:rFonts w:eastAsia="Times New Roman" w:cs="Times New Roman"/>
                <w:color w:val="000000"/>
                <w:szCs w:val="24"/>
                <w:lang w:eastAsia="en-IN" w:bidi="ar-SA"/>
              </w:rPr>
              <w:t>8,908.47</w:t>
            </w:r>
          </w:p>
        </w:tc>
        <w:tc>
          <w:tcPr>
            <w:tcW w:w="1701" w:type="dxa"/>
            <w:tcBorders>
              <w:top w:val="nil"/>
              <w:left w:val="nil"/>
              <w:bottom w:val="single" w:sz="4" w:space="0" w:color="auto"/>
              <w:right w:val="single" w:sz="4" w:space="0" w:color="auto"/>
            </w:tcBorders>
            <w:shd w:val="clear" w:color="auto" w:fill="auto"/>
            <w:noWrap/>
            <w:vAlign w:val="bottom"/>
            <w:hideMark/>
          </w:tcPr>
          <w:p w14:paraId="2F7952BE" w14:textId="77777777" w:rsidR="006564AA" w:rsidRDefault="00037F74">
            <w:pPr>
              <w:spacing w:line="360" w:lineRule="auto"/>
              <w:jc w:val="right"/>
              <w:rPr>
                <w:rFonts w:eastAsia="Times New Roman" w:cs="Times New Roman"/>
                <w:color w:val="000000"/>
                <w:szCs w:val="24"/>
                <w:lang w:eastAsia="en-IN" w:bidi="ar-SA"/>
              </w:rPr>
            </w:pPr>
            <w:r>
              <w:rPr>
                <w:rFonts w:eastAsia="Times New Roman" w:cs="Times New Roman"/>
                <w:color w:val="000000"/>
                <w:szCs w:val="24"/>
                <w:lang w:eastAsia="en-IN" w:bidi="ar-SA"/>
              </w:rPr>
              <w:t>11,373.03</w:t>
            </w:r>
          </w:p>
        </w:tc>
      </w:tr>
      <w:tr w:rsidR="003379AA" w14:paraId="5FB9168C" w14:textId="77777777">
        <w:trPr>
          <w:trHeight w:val="426"/>
        </w:trPr>
        <w:tc>
          <w:tcPr>
            <w:tcW w:w="325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C354FA" w14:textId="77777777" w:rsidR="006564AA" w:rsidRDefault="00037F74">
            <w:pPr>
              <w:spacing w:line="360" w:lineRule="auto"/>
              <w:rPr>
                <w:rFonts w:eastAsia="Times New Roman" w:cs="Times New Roman"/>
                <w:szCs w:val="24"/>
                <w:lang w:eastAsia="en-IN" w:bidi="ar-SA"/>
              </w:rPr>
            </w:pPr>
            <w:r>
              <w:rPr>
                <w:rFonts w:eastAsia="Times New Roman" w:cs="Times New Roman"/>
                <w:szCs w:val="24"/>
                <w:lang w:eastAsia="en-IN" w:bidi="ar-SA"/>
              </w:rPr>
              <w:t>Deferred Tax Liabilities(net)</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5D9FB57D"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5895.59</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3025EDD"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6569.19</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1CFE380D"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7164.65</w:t>
            </w:r>
          </w:p>
        </w:tc>
      </w:tr>
      <w:tr w:rsidR="003379AA" w14:paraId="49443D6D" w14:textId="77777777">
        <w:trPr>
          <w:trHeight w:val="466"/>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AA2F22B"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Other non-current liabilities</w:t>
            </w:r>
          </w:p>
        </w:tc>
        <w:tc>
          <w:tcPr>
            <w:tcW w:w="1559" w:type="dxa"/>
            <w:tcBorders>
              <w:top w:val="nil"/>
              <w:left w:val="nil"/>
              <w:bottom w:val="single" w:sz="4" w:space="0" w:color="auto"/>
              <w:right w:val="single" w:sz="4" w:space="0" w:color="auto"/>
            </w:tcBorders>
            <w:shd w:val="clear" w:color="auto" w:fill="auto"/>
            <w:noWrap/>
            <w:vAlign w:val="bottom"/>
            <w:hideMark/>
          </w:tcPr>
          <w:p w14:paraId="38313862" w14:textId="77777777" w:rsidR="006564AA" w:rsidRDefault="00037F74">
            <w:pPr>
              <w:spacing w:line="360" w:lineRule="auto"/>
              <w:jc w:val="right"/>
              <w:rPr>
                <w:rFonts w:eastAsia="Times New Roman" w:cs="Times New Roman"/>
                <w:color w:val="000000"/>
                <w:szCs w:val="24"/>
                <w:lang w:eastAsia="en-IN" w:bidi="ar-SA"/>
              </w:rPr>
            </w:pPr>
            <w:r>
              <w:rPr>
                <w:rFonts w:eastAsia="Times New Roman" w:cs="Times New Roman"/>
                <w:szCs w:val="24"/>
                <w:lang w:eastAsia="en-IN" w:bidi="ar-SA"/>
              </w:rPr>
              <w:t>7.67</w:t>
            </w:r>
          </w:p>
          <w:p w14:paraId="534CDC7F" w14:textId="77777777" w:rsidR="006564AA" w:rsidRDefault="006564AA">
            <w:pPr>
              <w:spacing w:line="360" w:lineRule="auto"/>
              <w:jc w:val="right"/>
              <w:rPr>
                <w:rFonts w:eastAsia="Times New Roman" w:cs="Times New Roman"/>
                <w:color w:val="000000"/>
                <w:szCs w:val="24"/>
                <w:lang w:eastAsia="en-IN" w:bidi="ar-SA"/>
              </w:rPr>
            </w:pPr>
          </w:p>
        </w:tc>
        <w:tc>
          <w:tcPr>
            <w:tcW w:w="1843" w:type="dxa"/>
            <w:tcBorders>
              <w:top w:val="nil"/>
              <w:left w:val="single" w:sz="4" w:space="0" w:color="auto"/>
              <w:bottom w:val="single" w:sz="4" w:space="0" w:color="auto"/>
              <w:right w:val="single" w:sz="4" w:space="0" w:color="auto"/>
            </w:tcBorders>
            <w:shd w:val="clear" w:color="000000" w:fill="FFFFFF"/>
            <w:vAlign w:val="center"/>
            <w:hideMark/>
          </w:tcPr>
          <w:p w14:paraId="46B3C642"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5.48</w:t>
            </w:r>
          </w:p>
        </w:tc>
        <w:tc>
          <w:tcPr>
            <w:tcW w:w="1701" w:type="dxa"/>
            <w:tcBorders>
              <w:top w:val="nil"/>
              <w:left w:val="nil"/>
              <w:bottom w:val="single" w:sz="4" w:space="0" w:color="auto"/>
              <w:right w:val="single" w:sz="4" w:space="0" w:color="auto"/>
            </w:tcBorders>
            <w:shd w:val="clear" w:color="000000" w:fill="FFFFFF"/>
            <w:vAlign w:val="center"/>
            <w:hideMark/>
          </w:tcPr>
          <w:p w14:paraId="79C9AECF"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123.68</w:t>
            </w:r>
          </w:p>
        </w:tc>
      </w:tr>
      <w:tr w:rsidR="003379AA" w14:paraId="04335493" w14:textId="77777777">
        <w:trPr>
          <w:trHeight w:val="34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9F54CBF" w14:textId="77777777" w:rsidR="006564AA" w:rsidRPr="004B6245" w:rsidRDefault="00037F74">
            <w:pPr>
              <w:spacing w:line="360" w:lineRule="auto"/>
              <w:rPr>
                <w:rFonts w:eastAsia="Times New Roman" w:cs="Times New Roman"/>
                <w:color w:val="000000"/>
                <w:szCs w:val="24"/>
                <w:lang w:eastAsia="en-IN" w:bidi="ar-SA"/>
              </w:rPr>
            </w:pPr>
            <w:r w:rsidRPr="004B6245">
              <w:rPr>
                <w:rFonts w:eastAsia="Times New Roman" w:cs="Times New Roman"/>
                <w:color w:val="000000"/>
                <w:szCs w:val="24"/>
                <w:lang w:eastAsia="en-IN" w:bidi="ar-SA"/>
              </w:rPr>
              <w:t xml:space="preserve">Total Current Liabilities </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328E2689" w14:textId="77777777" w:rsidR="006564AA" w:rsidRPr="004B6245" w:rsidRDefault="00037F74">
            <w:pPr>
              <w:spacing w:line="360" w:lineRule="auto"/>
              <w:jc w:val="right"/>
              <w:rPr>
                <w:rFonts w:eastAsia="Times New Roman" w:cs="Times New Roman"/>
                <w:szCs w:val="24"/>
                <w:lang w:eastAsia="en-IN" w:bidi="ar-SA"/>
              </w:rPr>
            </w:pPr>
            <w:r w:rsidRPr="004B6245">
              <w:rPr>
                <w:rFonts w:eastAsia="Times New Roman" w:cs="Times New Roman"/>
                <w:szCs w:val="24"/>
                <w:lang w:eastAsia="en-IN" w:bidi="ar-SA"/>
              </w:rPr>
              <w:t>45,758.27</w:t>
            </w:r>
          </w:p>
        </w:tc>
        <w:tc>
          <w:tcPr>
            <w:tcW w:w="1843" w:type="dxa"/>
            <w:tcBorders>
              <w:top w:val="nil"/>
              <w:left w:val="nil"/>
              <w:bottom w:val="single" w:sz="4" w:space="0" w:color="auto"/>
              <w:right w:val="single" w:sz="4" w:space="0" w:color="auto"/>
            </w:tcBorders>
            <w:shd w:val="clear" w:color="000000" w:fill="FFFFFF"/>
            <w:vAlign w:val="center"/>
            <w:hideMark/>
          </w:tcPr>
          <w:p w14:paraId="126925DF" w14:textId="77777777" w:rsidR="006564AA" w:rsidRPr="004B6245" w:rsidRDefault="00037F74">
            <w:pPr>
              <w:spacing w:line="360" w:lineRule="auto"/>
              <w:jc w:val="right"/>
              <w:rPr>
                <w:rFonts w:eastAsia="Times New Roman" w:cs="Times New Roman"/>
                <w:szCs w:val="24"/>
                <w:lang w:eastAsia="en-IN" w:bidi="ar-SA"/>
              </w:rPr>
            </w:pPr>
            <w:r w:rsidRPr="004B6245">
              <w:rPr>
                <w:rFonts w:eastAsia="Times New Roman" w:cs="Times New Roman"/>
                <w:szCs w:val="24"/>
                <w:lang w:eastAsia="en-IN" w:bidi="ar-SA"/>
              </w:rPr>
              <w:t>47,375.86</w:t>
            </w:r>
          </w:p>
        </w:tc>
        <w:tc>
          <w:tcPr>
            <w:tcW w:w="1701" w:type="dxa"/>
            <w:tcBorders>
              <w:top w:val="nil"/>
              <w:left w:val="nil"/>
              <w:bottom w:val="single" w:sz="4" w:space="0" w:color="auto"/>
              <w:right w:val="single" w:sz="4" w:space="0" w:color="auto"/>
            </w:tcBorders>
            <w:shd w:val="clear" w:color="000000" w:fill="FFFFFF"/>
            <w:vAlign w:val="center"/>
            <w:hideMark/>
          </w:tcPr>
          <w:p w14:paraId="66DE9627" w14:textId="77777777" w:rsidR="006564AA" w:rsidRPr="004B6245" w:rsidRDefault="00037F74">
            <w:pPr>
              <w:spacing w:line="360" w:lineRule="auto"/>
              <w:jc w:val="right"/>
              <w:rPr>
                <w:rFonts w:eastAsia="Times New Roman" w:cs="Times New Roman"/>
                <w:szCs w:val="24"/>
                <w:lang w:eastAsia="en-IN" w:bidi="ar-SA"/>
              </w:rPr>
            </w:pPr>
            <w:r w:rsidRPr="004B6245">
              <w:rPr>
                <w:rFonts w:eastAsia="Times New Roman" w:cs="Times New Roman"/>
                <w:szCs w:val="24"/>
                <w:lang w:eastAsia="en-IN" w:bidi="ar-SA"/>
              </w:rPr>
              <w:t>56,914.57</w:t>
            </w:r>
          </w:p>
        </w:tc>
      </w:tr>
      <w:tr w:rsidR="003379AA" w14:paraId="7E4C6932" w14:textId="77777777">
        <w:trPr>
          <w:trHeight w:val="34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0404F4A" w14:textId="77777777" w:rsidR="006564AA" w:rsidRPr="004B6245" w:rsidRDefault="00037F74">
            <w:pPr>
              <w:spacing w:line="360" w:lineRule="auto"/>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Total Liabilities</w:t>
            </w:r>
          </w:p>
        </w:tc>
        <w:tc>
          <w:tcPr>
            <w:tcW w:w="1559" w:type="dxa"/>
            <w:tcBorders>
              <w:top w:val="nil"/>
              <w:left w:val="nil"/>
              <w:bottom w:val="single" w:sz="4" w:space="0" w:color="auto"/>
              <w:right w:val="single" w:sz="4" w:space="0" w:color="auto"/>
            </w:tcBorders>
            <w:shd w:val="clear" w:color="auto" w:fill="auto"/>
            <w:noWrap/>
            <w:vAlign w:val="bottom"/>
            <w:hideMark/>
          </w:tcPr>
          <w:p w14:paraId="7E2E9316"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78,469.85</w:t>
            </w:r>
          </w:p>
        </w:tc>
        <w:tc>
          <w:tcPr>
            <w:tcW w:w="1843" w:type="dxa"/>
            <w:tcBorders>
              <w:top w:val="nil"/>
              <w:left w:val="nil"/>
              <w:bottom w:val="single" w:sz="4" w:space="0" w:color="auto"/>
              <w:right w:val="single" w:sz="4" w:space="0" w:color="auto"/>
            </w:tcBorders>
            <w:shd w:val="clear" w:color="auto" w:fill="auto"/>
            <w:noWrap/>
            <w:vAlign w:val="bottom"/>
            <w:hideMark/>
          </w:tcPr>
          <w:p w14:paraId="5BCD9E96"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86,807.22</w:t>
            </w:r>
          </w:p>
        </w:tc>
        <w:tc>
          <w:tcPr>
            <w:tcW w:w="1701" w:type="dxa"/>
            <w:tcBorders>
              <w:top w:val="nil"/>
              <w:left w:val="nil"/>
              <w:bottom w:val="single" w:sz="4" w:space="0" w:color="auto"/>
              <w:right w:val="single" w:sz="4" w:space="0" w:color="auto"/>
            </w:tcBorders>
            <w:shd w:val="clear" w:color="auto" w:fill="auto"/>
            <w:noWrap/>
            <w:vAlign w:val="bottom"/>
            <w:hideMark/>
          </w:tcPr>
          <w:p w14:paraId="7A49DA66"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1,03,750.75</w:t>
            </w:r>
          </w:p>
        </w:tc>
      </w:tr>
      <w:tr w:rsidR="003379AA" w14:paraId="65D38BAB" w14:textId="77777777">
        <w:trPr>
          <w:trHeight w:val="34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46CA3F7"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Total current assets</w:t>
            </w:r>
          </w:p>
        </w:tc>
        <w:tc>
          <w:tcPr>
            <w:tcW w:w="1559" w:type="dxa"/>
            <w:tcBorders>
              <w:top w:val="nil"/>
              <w:left w:val="nil"/>
              <w:bottom w:val="single" w:sz="4" w:space="0" w:color="auto"/>
              <w:right w:val="single" w:sz="4" w:space="0" w:color="auto"/>
            </w:tcBorders>
            <w:shd w:val="clear" w:color="000000" w:fill="FFFFFF"/>
            <w:vAlign w:val="center"/>
            <w:hideMark/>
          </w:tcPr>
          <w:p w14:paraId="66DB1DDC"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32,922.32</w:t>
            </w:r>
          </w:p>
        </w:tc>
        <w:tc>
          <w:tcPr>
            <w:tcW w:w="1843" w:type="dxa"/>
            <w:tcBorders>
              <w:top w:val="nil"/>
              <w:left w:val="nil"/>
              <w:bottom w:val="single" w:sz="4" w:space="0" w:color="auto"/>
              <w:right w:val="single" w:sz="4" w:space="0" w:color="auto"/>
            </w:tcBorders>
            <w:shd w:val="clear" w:color="000000" w:fill="FFFFFF"/>
            <w:vAlign w:val="center"/>
            <w:hideMark/>
          </w:tcPr>
          <w:p w14:paraId="7F1566AC"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36,265.83</w:t>
            </w:r>
          </w:p>
        </w:tc>
        <w:tc>
          <w:tcPr>
            <w:tcW w:w="1701" w:type="dxa"/>
            <w:tcBorders>
              <w:top w:val="nil"/>
              <w:left w:val="nil"/>
              <w:bottom w:val="single" w:sz="4" w:space="0" w:color="auto"/>
              <w:right w:val="single" w:sz="4" w:space="0" w:color="auto"/>
            </w:tcBorders>
            <w:shd w:val="clear" w:color="000000" w:fill="FFFFFF"/>
            <w:vAlign w:val="center"/>
            <w:hideMark/>
          </w:tcPr>
          <w:p w14:paraId="7310C7F2"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43,192.76</w:t>
            </w:r>
          </w:p>
        </w:tc>
      </w:tr>
      <w:tr w:rsidR="003379AA" w:rsidRPr="004B6245" w14:paraId="67F64D73" w14:textId="77777777">
        <w:trPr>
          <w:trHeight w:val="34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FA20997" w14:textId="77777777" w:rsidR="006564AA" w:rsidRPr="004B6245" w:rsidRDefault="00037F74">
            <w:pPr>
              <w:spacing w:line="360" w:lineRule="auto"/>
              <w:rPr>
                <w:rFonts w:eastAsia="Times New Roman" w:cs="Times New Roman"/>
                <w:color w:val="000000"/>
                <w:szCs w:val="24"/>
                <w:lang w:eastAsia="en-IN" w:bidi="ar-SA"/>
              </w:rPr>
            </w:pPr>
            <w:r w:rsidRPr="004B6245">
              <w:rPr>
                <w:rFonts w:eastAsia="Times New Roman" w:cs="Times New Roman"/>
                <w:color w:val="000000"/>
                <w:szCs w:val="24"/>
                <w:lang w:eastAsia="en-IN" w:bidi="ar-SA"/>
              </w:rPr>
              <w:t>Total non-current assets</w:t>
            </w:r>
          </w:p>
        </w:tc>
        <w:tc>
          <w:tcPr>
            <w:tcW w:w="1559" w:type="dxa"/>
            <w:tcBorders>
              <w:top w:val="nil"/>
              <w:left w:val="nil"/>
              <w:bottom w:val="single" w:sz="4" w:space="0" w:color="auto"/>
              <w:right w:val="single" w:sz="4" w:space="0" w:color="auto"/>
            </w:tcBorders>
            <w:shd w:val="clear" w:color="000000" w:fill="FFFFFF"/>
            <w:vAlign w:val="center"/>
            <w:hideMark/>
          </w:tcPr>
          <w:p w14:paraId="0656EA55" w14:textId="77777777" w:rsidR="006564AA" w:rsidRPr="004B6245" w:rsidRDefault="00037F74">
            <w:pPr>
              <w:spacing w:line="360" w:lineRule="auto"/>
              <w:jc w:val="right"/>
              <w:rPr>
                <w:rFonts w:eastAsia="Times New Roman" w:cs="Times New Roman"/>
                <w:szCs w:val="24"/>
                <w:lang w:eastAsia="en-IN" w:bidi="ar-SA"/>
              </w:rPr>
            </w:pPr>
            <w:r w:rsidRPr="004B6245">
              <w:rPr>
                <w:rFonts w:eastAsia="Times New Roman" w:cs="Times New Roman"/>
                <w:szCs w:val="24"/>
                <w:lang w:eastAsia="en-IN" w:bidi="ar-SA"/>
              </w:rPr>
              <w:t>45,547.53</w:t>
            </w:r>
          </w:p>
        </w:tc>
        <w:tc>
          <w:tcPr>
            <w:tcW w:w="1843" w:type="dxa"/>
            <w:tcBorders>
              <w:top w:val="nil"/>
              <w:left w:val="nil"/>
              <w:bottom w:val="single" w:sz="4" w:space="0" w:color="auto"/>
              <w:right w:val="single" w:sz="4" w:space="0" w:color="auto"/>
            </w:tcBorders>
            <w:shd w:val="clear" w:color="000000" w:fill="FFFFFF"/>
            <w:vAlign w:val="center"/>
            <w:hideMark/>
          </w:tcPr>
          <w:p w14:paraId="4F6877C0" w14:textId="77777777" w:rsidR="006564AA" w:rsidRPr="004B6245" w:rsidRDefault="00037F74">
            <w:pPr>
              <w:spacing w:line="360" w:lineRule="auto"/>
              <w:jc w:val="right"/>
              <w:rPr>
                <w:rFonts w:eastAsia="Times New Roman" w:cs="Times New Roman"/>
                <w:szCs w:val="24"/>
                <w:lang w:eastAsia="en-IN" w:bidi="ar-SA"/>
              </w:rPr>
            </w:pPr>
            <w:r w:rsidRPr="004B6245">
              <w:rPr>
                <w:rFonts w:eastAsia="Times New Roman" w:cs="Times New Roman"/>
                <w:szCs w:val="24"/>
                <w:lang w:eastAsia="en-IN" w:bidi="ar-SA"/>
              </w:rPr>
              <w:t>50,541.39</w:t>
            </w:r>
          </w:p>
        </w:tc>
        <w:tc>
          <w:tcPr>
            <w:tcW w:w="1701" w:type="dxa"/>
            <w:tcBorders>
              <w:top w:val="nil"/>
              <w:left w:val="nil"/>
              <w:bottom w:val="single" w:sz="4" w:space="0" w:color="auto"/>
              <w:right w:val="single" w:sz="4" w:space="0" w:color="auto"/>
            </w:tcBorders>
            <w:shd w:val="clear" w:color="000000" w:fill="FFFFFF"/>
            <w:vAlign w:val="center"/>
            <w:hideMark/>
          </w:tcPr>
          <w:p w14:paraId="75C6D56A" w14:textId="77777777" w:rsidR="006564AA" w:rsidRPr="004B6245" w:rsidRDefault="00037F74">
            <w:pPr>
              <w:spacing w:line="360" w:lineRule="auto"/>
              <w:jc w:val="right"/>
              <w:rPr>
                <w:rFonts w:eastAsia="Times New Roman" w:cs="Times New Roman"/>
                <w:szCs w:val="24"/>
                <w:lang w:eastAsia="en-IN" w:bidi="ar-SA"/>
              </w:rPr>
            </w:pPr>
            <w:r w:rsidRPr="004B6245">
              <w:rPr>
                <w:rFonts w:eastAsia="Times New Roman" w:cs="Times New Roman"/>
                <w:szCs w:val="24"/>
                <w:lang w:eastAsia="en-IN" w:bidi="ar-SA"/>
              </w:rPr>
              <w:t>60,558.09</w:t>
            </w:r>
          </w:p>
        </w:tc>
      </w:tr>
      <w:tr w:rsidR="003379AA" w:rsidRPr="004B6245" w14:paraId="7C551DB3" w14:textId="77777777">
        <w:trPr>
          <w:trHeight w:val="244"/>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F061E0D" w14:textId="77777777" w:rsidR="006564AA" w:rsidRPr="004B6245" w:rsidRDefault="00037F74">
            <w:pPr>
              <w:spacing w:line="360" w:lineRule="auto"/>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Total Assets</w:t>
            </w:r>
          </w:p>
        </w:tc>
        <w:tc>
          <w:tcPr>
            <w:tcW w:w="1559" w:type="dxa"/>
            <w:tcBorders>
              <w:top w:val="nil"/>
              <w:left w:val="nil"/>
              <w:bottom w:val="single" w:sz="4" w:space="0" w:color="auto"/>
              <w:right w:val="single" w:sz="4" w:space="0" w:color="auto"/>
            </w:tcBorders>
            <w:shd w:val="clear" w:color="auto" w:fill="auto"/>
            <w:noWrap/>
            <w:vAlign w:val="bottom"/>
            <w:hideMark/>
          </w:tcPr>
          <w:p w14:paraId="58BBBA6E"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78,469.85</w:t>
            </w:r>
          </w:p>
        </w:tc>
        <w:tc>
          <w:tcPr>
            <w:tcW w:w="1843" w:type="dxa"/>
            <w:tcBorders>
              <w:top w:val="nil"/>
              <w:left w:val="nil"/>
              <w:bottom w:val="single" w:sz="4" w:space="0" w:color="auto"/>
              <w:right w:val="single" w:sz="4" w:space="0" w:color="auto"/>
            </w:tcBorders>
            <w:shd w:val="clear" w:color="auto" w:fill="auto"/>
            <w:noWrap/>
            <w:vAlign w:val="bottom"/>
            <w:hideMark/>
          </w:tcPr>
          <w:p w14:paraId="34EBE268"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86,807.22</w:t>
            </w:r>
          </w:p>
        </w:tc>
        <w:tc>
          <w:tcPr>
            <w:tcW w:w="1701" w:type="dxa"/>
            <w:tcBorders>
              <w:top w:val="nil"/>
              <w:left w:val="nil"/>
              <w:bottom w:val="single" w:sz="4" w:space="0" w:color="auto"/>
              <w:right w:val="single" w:sz="4" w:space="0" w:color="auto"/>
            </w:tcBorders>
            <w:shd w:val="clear" w:color="auto" w:fill="auto"/>
            <w:noWrap/>
            <w:vAlign w:val="bottom"/>
            <w:hideMark/>
          </w:tcPr>
          <w:p w14:paraId="58597E74"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1,03,750.85</w:t>
            </w:r>
          </w:p>
        </w:tc>
      </w:tr>
    </w:tbl>
    <w:p w14:paraId="68615C01" w14:textId="77777777" w:rsidR="006564AA" w:rsidRPr="004B6245" w:rsidRDefault="006564AA">
      <w:pPr>
        <w:tabs>
          <w:tab w:val="left" w:pos="912"/>
        </w:tabs>
        <w:rPr>
          <w:rFonts w:cs="Times New Roman"/>
          <w:b/>
          <w:bCs/>
          <w:szCs w:val="24"/>
        </w:rPr>
      </w:pPr>
    </w:p>
    <w:p w14:paraId="7A13757D" w14:textId="77777777" w:rsidR="006564AA" w:rsidRPr="008B158C" w:rsidRDefault="006564AA" w:rsidP="008B158C">
      <w:pPr>
        <w:tabs>
          <w:tab w:val="left" w:pos="912"/>
        </w:tabs>
        <w:jc w:val="center"/>
        <w:rPr>
          <w:rFonts w:cs="Times New Roman"/>
          <w:b/>
          <w:bCs/>
          <w:szCs w:val="24"/>
        </w:rPr>
      </w:pPr>
    </w:p>
    <w:p w14:paraId="578F4886" w14:textId="77777777" w:rsidR="006564AA" w:rsidRPr="008B158C" w:rsidRDefault="00037F74" w:rsidP="008B158C">
      <w:pPr>
        <w:tabs>
          <w:tab w:val="left" w:pos="912"/>
        </w:tabs>
        <w:jc w:val="center"/>
        <w:rPr>
          <w:rFonts w:cs="Times New Roman"/>
          <w:b/>
          <w:bCs/>
          <w:szCs w:val="24"/>
          <w:u w:val="single"/>
        </w:rPr>
      </w:pPr>
      <w:r w:rsidRPr="008B158C">
        <w:rPr>
          <w:rFonts w:cs="Times New Roman"/>
          <w:b/>
          <w:bCs/>
          <w:szCs w:val="24"/>
          <w:u w:val="single"/>
        </w:rPr>
        <w:t>Income Statement</w:t>
      </w:r>
      <w:r w:rsidR="0030603B">
        <w:rPr>
          <w:rFonts w:cs="Times New Roman"/>
          <w:b/>
          <w:bCs/>
          <w:szCs w:val="24"/>
          <w:u w:val="single"/>
        </w:rPr>
        <w:t xml:space="preserve"> </w:t>
      </w:r>
      <w:r w:rsidR="008B158C" w:rsidRPr="008B158C">
        <w:rPr>
          <w:rFonts w:cs="Times New Roman"/>
          <w:b/>
          <w:bCs/>
          <w:szCs w:val="24"/>
          <w:u w:val="single"/>
        </w:rPr>
        <w:t>(in Rs Crores)</w:t>
      </w:r>
    </w:p>
    <w:p w14:paraId="2EDE304C" w14:textId="77777777" w:rsidR="006564AA" w:rsidRDefault="006564AA">
      <w:pPr>
        <w:tabs>
          <w:tab w:val="left" w:pos="912"/>
        </w:tabs>
        <w:rPr>
          <w:rFonts w:cs="Times New Roman"/>
          <w:szCs w:val="24"/>
        </w:rPr>
      </w:pPr>
    </w:p>
    <w:tbl>
      <w:tblPr>
        <w:tblW w:w="8330" w:type="dxa"/>
        <w:tblLook w:val="04A0" w:firstRow="1" w:lastRow="0" w:firstColumn="1" w:lastColumn="0" w:noHBand="0" w:noVBand="1"/>
      </w:tblPr>
      <w:tblGrid>
        <w:gridCol w:w="2635"/>
        <w:gridCol w:w="2084"/>
        <w:gridCol w:w="1944"/>
        <w:gridCol w:w="1667"/>
      </w:tblGrid>
      <w:tr w:rsidR="003379AA" w14:paraId="36506206" w14:textId="77777777" w:rsidTr="004B6245">
        <w:trPr>
          <w:trHeight w:val="416"/>
        </w:trPr>
        <w:tc>
          <w:tcPr>
            <w:tcW w:w="2635" w:type="dxa"/>
            <w:tcBorders>
              <w:top w:val="single" w:sz="4" w:space="0" w:color="auto"/>
              <w:left w:val="single" w:sz="4" w:space="0" w:color="auto"/>
              <w:bottom w:val="single" w:sz="4" w:space="0" w:color="auto"/>
              <w:right w:val="single" w:sz="4" w:space="0" w:color="auto"/>
            </w:tcBorders>
            <w:shd w:val="clear" w:color="auto" w:fill="B6DDE8"/>
            <w:noWrap/>
            <w:vAlign w:val="bottom"/>
            <w:hideMark/>
          </w:tcPr>
          <w:p w14:paraId="1CEF9181" w14:textId="77777777" w:rsidR="006564AA" w:rsidRDefault="00037F74">
            <w:pPr>
              <w:spacing w:line="360" w:lineRule="auto"/>
              <w:rPr>
                <w:rFonts w:eastAsia="Times New Roman" w:cs="Times New Roman"/>
                <w:b/>
                <w:bCs/>
                <w:color w:val="000000"/>
                <w:szCs w:val="24"/>
                <w:lang w:eastAsia="en-IN" w:bidi="ar-SA"/>
              </w:rPr>
            </w:pPr>
            <w:r>
              <w:rPr>
                <w:rFonts w:eastAsia="Times New Roman" w:cs="Times New Roman"/>
                <w:b/>
                <w:bCs/>
                <w:color w:val="000000"/>
                <w:szCs w:val="24"/>
                <w:lang w:eastAsia="en-IN" w:bidi="ar-SA"/>
              </w:rPr>
              <w:t>Particulars</w:t>
            </w:r>
          </w:p>
        </w:tc>
        <w:tc>
          <w:tcPr>
            <w:tcW w:w="2084" w:type="dxa"/>
            <w:tcBorders>
              <w:top w:val="single" w:sz="4" w:space="0" w:color="auto"/>
              <w:left w:val="nil"/>
              <w:bottom w:val="single" w:sz="4" w:space="0" w:color="auto"/>
              <w:right w:val="single" w:sz="4" w:space="0" w:color="auto"/>
            </w:tcBorders>
            <w:shd w:val="clear" w:color="auto" w:fill="B6DDE8"/>
            <w:noWrap/>
            <w:vAlign w:val="bottom"/>
            <w:hideMark/>
          </w:tcPr>
          <w:p w14:paraId="2DADB6B0" w14:textId="77777777" w:rsidR="006564AA" w:rsidRDefault="00037F74">
            <w:pPr>
              <w:spacing w:line="360" w:lineRule="auto"/>
              <w:rPr>
                <w:rFonts w:eastAsia="Times New Roman" w:cs="Times New Roman"/>
                <w:b/>
                <w:bCs/>
                <w:color w:val="000000"/>
                <w:szCs w:val="24"/>
                <w:lang w:eastAsia="en-IN" w:bidi="ar-SA"/>
              </w:rPr>
            </w:pPr>
            <w:r>
              <w:rPr>
                <w:rFonts w:eastAsia="Times New Roman" w:cs="Times New Roman"/>
                <w:b/>
                <w:bCs/>
                <w:color w:val="000000"/>
                <w:szCs w:val="24"/>
                <w:lang w:eastAsia="en-IN" w:bidi="ar-SA"/>
              </w:rPr>
              <w:t>FY17</w:t>
            </w:r>
          </w:p>
        </w:tc>
        <w:tc>
          <w:tcPr>
            <w:tcW w:w="1944" w:type="dxa"/>
            <w:tcBorders>
              <w:top w:val="single" w:sz="4" w:space="0" w:color="auto"/>
              <w:left w:val="nil"/>
              <w:bottom w:val="single" w:sz="4" w:space="0" w:color="auto"/>
              <w:right w:val="single" w:sz="4" w:space="0" w:color="auto"/>
            </w:tcBorders>
            <w:shd w:val="clear" w:color="auto" w:fill="B6DDE8"/>
            <w:noWrap/>
            <w:vAlign w:val="bottom"/>
            <w:hideMark/>
          </w:tcPr>
          <w:p w14:paraId="7C4659F2" w14:textId="77777777" w:rsidR="006564AA" w:rsidRDefault="00037F74">
            <w:pPr>
              <w:spacing w:line="360" w:lineRule="auto"/>
              <w:rPr>
                <w:rFonts w:eastAsia="Times New Roman" w:cs="Times New Roman"/>
                <w:b/>
                <w:bCs/>
                <w:color w:val="000000"/>
                <w:szCs w:val="24"/>
                <w:lang w:eastAsia="en-IN" w:bidi="ar-SA"/>
              </w:rPr>
            </w:pPr>
            <w:r>
              <w:rPr>
                <w:rFonts w:eastAsia="Times New Roman" w:cs="Times New Roman"/>
                <w:b/>
                <w:bCs/>
                <w:color w:val="000000"/>
                <w:szCs w:val="24"/>
                <w:lang w:eastAsia="en-IN" w:bidi="ar-SA"/>
              </w:rPr>
              <w:t>FY18</w:t>
            </w:r>
          </w:p>
        </w:tc>
        <w:tc>
          <w:tcPr>
            <w:tcW w:w="1667" w:type="dxa"/>
            <w:tcBorders>
              <w:top w:val="single" w:sz="4" w:space="0" w:color="auto"/>
              <w:left w:val="nil"/>
              <w:bottom w:val="single" w:sz="4" w:space="0" w:color="auto"/>
              <w:right w:val="single" w:sz="4" w:space="0" w:color="auto"/>
            </w:tcBorders>
            <w:shd w:val="clear" w:color="auto" w:fill="B6DDE8"/>
            <w:noWrap/>
            <w:vAlign w:val="bottom"/>
            <w:hideMark/>
          </w:tcPr>
          <w:p w14:paraId="31F59B37" w14:textId="77777777" w:rsidR="006564AA" w:rsidRDefault="00037F74">
            <w:pPr>
              <w:spacing w:line="360" w:lineRule="auto"/>
              <w:rPr>
                <w:rFonts w:eastAsia="Times New Roman" w:cs="Times New Roman"/>
                <w:b/>
                <w:bCs/>
                <w:color w:val="000000"/>
                <w:szCs w:val="24"/>
                <w:lang w:eastAsia="en-IN" w:bidi="ar-SA"/>
              </w:rPr>
            </w:pPr>
            <w:r>
              <w:rPr>
                <w:rFonts w:eastAsia="Times New Roman" w:cs="Times New Roman"/>
                <w:b/>
                <w:bCs/>
                <w:color w:val="000000"/>
                <w:szCs w:val="24"/>
                <w:lang w:eastAsia="en-IN" w:bidi="ar-SA"/>
              </w:rPr>
              <w:t>FY19</w:t>
            </w:r>
          </w:p>
        </w:tc>
      </w:tr>
      <w:tr w:rsidR="003379AA" w14:paraId="4C78A37B"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44CD603D"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Net Revenues</w:t>
            </w:r>
          </w:p>
        </w:tc>
        <w:tc>
          <w:tcPr>
            <w:tcW w:w="2084" w:type="dxa"/>
            <w:tcBorders>
              <w:top w:val="nil"/>
              <w:left w:val="nil"/>
              <w:bottom w:val="nil"/>
              <w:right w:val="nil"/>
            </w:tcBorders>
            <w:shd w:val="clear" w:color="auto" w:fill="auto"/>
            <w:vAlign w:val="center"/>
            <w:hideMark/>
          </w:tcPr>
          <w:p w14:paraId="15F1D8C2" w14:textId="77777777" w:rsidR="006564AA" w:rsidRDefault="00037F74">
            <w:pPr>
              <w:spacing w:line="360" w:lineRule="auto"/>
              <w:jc w:val="right"/>
              <w:rPr>
                <w:rFonts w:eastAsia="Times New Roman" w:cs="Times New Roman"/>
                <w:color w:val="231F20"/>
                <w:szCs w:val="24"/>
                <w:lang w:eastAsia="en-IN" w:bidi="ar-SA"/>
              </w:rPr>
            </w:pPr>
            <w:r>
              <w:rPr>
                <w:rFonts w:eastAsia="Times New Roman" w:cs="Times New Roman"/>
                <w:color w:val="231F20"/>
                <w:szCs w:val="24"/>
                <w:lang w:eastAsia="en-IN" w:bidi="ar-SA"/>
              </w:rPr>
              <w:t>2,15,317.90</w:t>
            </w:r>
          </w:p>
        </w:tc>
        <w:tc>
          <w:tcPr>
            <w:tcW w:w="1944" w:type="dxa"/>
            <w:tcBorders>
              <w:top w:val="nil"/>
              <w:left w:val="single" w:sz="4" w:space="0" w:color="auto"/>
              <w:bottom w:val="single" w:sz="4" w:space="0" w:color="auto"/>
              <w:right w:val="single" w:sz="4" w:space="0" w:color="auto"/>
            </w:tcBorders>
            <w:shd w:val="clear" w:color="000000" w:fill="FFFFFF"/>
            <w:vAlign w:val="center"/>
            <w:hideMark/>
          </w:tcPr>
          <w:p w14:paraId="7A1540B9"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2,45,934.81</w:t>
            </w:r>
          </w:p>
        </w:tc>
        <w:tc>
          <w:tcPr>
            <w:tcW w:w="1667" w:type="dxa"/>
            <w:tcBorders>
              <w:top w:val="nil"/>
              <w:left w:val="nil"/>
              <w:bottom w:val="single" w:sz="4" w:space="0" w:color="auto"/>
              <w:right w:val="single" w:sz="4" w:space="0" w:color="auto"/>
            </w:tcBorders>
            <w:shd w:val="clear" w:color="000000" w:fill="FFFFFF"/>
            <w:vAlign w:val="center"/>
            <w:hideMark/>
          </w:tcPr>
          <w:p w14:paraId="1C60E688"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2,98,564.25</w:t>
            </w:r>
          </w:p>
        </w:tc>
      </w:tr>
      <w:tr w:rsidR="003379AA" w14:paraId="1B76CF7C"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4B2488BD"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Total Expenses</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14:paraId="539E9972" w14:textId="77777777" w:rsidR="006564AA" w:rsidRDefault="00037F74">
            <w:pPr>
              <w:spacing w:line="360" w:lineRule="auto"/>
              <w:jc w:val="right"/>
              <w:rPr>
                <w:rFonts w:eastAsia="Times New Roman" w:cs="Times New Roman"/>
                <w:color w:val="000000"/>
                <w:szCs w:val="24"/>
                <w:lang w:eastAsia="en-IN" w:bidi="ar-SA"/>
              </w:rPr>
            </w:pPr>
            <w:r>
              <w:rPr>
                <w:rFonts w:eastAsia="Times New Roman" w:cs="Times New Roman"/>
                <w:color w:val="000000"/>
                <w:szCs w:val="24"/>
                <w:lang w:eastAsia="en-IN" w:bidi="ar-SA"/>
              </w:rPr>
              <w:t>2,03,226.13</w:t>
            </w:r>
          </w:p>
        </w:tc>
        <w:tc>
          <w:tcPr>
            <w:tcW w:w="1944" w:type="dxa"/>
            <w:tcBorders>
              <w:top w:val="nil"/>
              <w:left w:val="nil"/>
              <w:bottom w:val="single" w:sz="4" w:space="0" w:color="auto"/>
              <w:right w:val="single" w:sz="4" w:space="0" w:color="auto"/>
            </w:tcBorders>
            <w:shd w:val="clear" w:color="auto" w:fill="auto"/>
            <w:noWrap/>
            <w:vAlign w:val="bottom"/>
            <w:hideMark/>
          </w:tcPr>
          <w:p w14:paraId="06717BA4" w14:textId="77777777" w:rsidR="006564AA" w:rsidRDefault="00037F74">
            <w:pPr>
              <w:spacing w:line="360" w:lineRule="auto"/>
              <w:jc w:val="right"/>
              <w:rPr>
                <w:rFonts w:eastAsia="Times New Roman" w:cs="Times New Roman"/>
                <w:color w:val="000000"/>
                <w:szCs w:val="24"/>
                <w:lang w:eastAsia="en-IN" w:bidi="ar-SA"/>
              </w:rPr>
            </w:pPr>
            <w:r>
              <w:rPr>
                <w:rFonts w:eastAsia="Times New Roman" w:cs="Times New Roman"/>
                <w:color w:val="000000"/>
                <w:szCs w:val="24"/>
                <w:lang w:eastAsia="en-IN" w:bidi="ar-SA"/>
              </w:rPr>
              <w:t>2,33,413.42</w:t>
            </w:r>
          </w:p>
        </w:tc>
        <w:tc>
          <w:tcPr>
            <w:tcW w:w="1667" w:type="dxa"/>
            <w:tcBorders>
              <w:top w:val="nil"/>
              <w:left w:val="nil"/>
              <w:bottom w:val="single" w:sz="4" w:space="0" w:color="auto"/>
              <w:right w:val="single" w:sz="4" w:space="0" w:color="auto"/>
            </w:tcBorders>
            <w:shd w:val="clear" w:color="auto" w:fill="auto"/>
            <w:noWrap/>
            <w:vAlign w:val="bottom"/>
            <w:hideMark/>
          </w:tcPr>
          <w:p w14:paraId="4AA0F228" w14:textId="77777777" w:rsidR="006564AA" w:rsidRDefault="00037F74">
            <w:pPr>
              <w:spacing w:line="360" w:lineRule="auto"/>
              <w:jc w:val="right"/>
              <w:rPr>
                <w:rFonts w:eastAsia="Times New Roman" w:cs="Times New Roman"/>
                <w:color w:val="000000"/>
                <w:szCs w:val="24"/>
                <w:lang w:eastAsia="en-IN" w:bidi="ar-SA"/>
              </w:rPr>
            </w:pPr>
            <w:r>
              <w:rPr>
                <w:rFonts w:eastAsia="Times New Roman" w:cs="Times New Roman"/>
                <w:color w:val="000000"/>
                <w:szCs w:val="24"/>
                <w:lang w:eastAsia="en-IN" w:bidi="ar-SA"/>
              </w:rPr>
              <w:t>2,85,487.04</w:t>
            </w:r>
          </w:p>
        </w:tc>
      </w:tr>
      <w:tr w:rsidR="003379AA" w14:paraId="3A856795"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3802918D" w14:textId="77777777" w:rsidR="006564AA" w:rsidRPr="004B6245" w:rsidRDefault="00037F74">
            <w:pPr>
              <w:spacing w:line="360" w:lineRule="auto"/>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EBITDA</w:t>
            </w:r>
          </w:p>
        </w:tc>
        <w:tc>
          <w:tcPr>
            <w:tcW w:w="2084" w:type="dxa"/>
            <w:tcBorders>
              <w:top w:val="nil"/>
              <w:left w:val="nil"/>
              <w:bottom w:val="single" w:sz="4" w:space="0" w:color="auto"/>
              <w:right w:val="single" w:sz="4" w:space="0" w:color="auto"/>
            </w:tcBorders>
            <w:shd w:val="clear" w:color="auto" w:fill="auto"/>
            <w:noWrap/>
            <w:vAlign w:val="bottom"/>
            <w:hideMark/>
          </w:tcPr>
          <w:p w14:paraId="5596AF54"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12,091.77</w:t>
            </w:r>
          </w:p>
        </w:tc>
        <w:tc>
          <w:tcPr>
            <w:tcW w:w="1944" w:type="dxa"/>
            <w:tcBorders>
              <w:top w:val="nil"/>
              <w:left w:val="nil"/>
              <w:bottom w:val="single" w:sz="4" w:space="0" w:color="auto"/>
              <w:right w:val="single" w:sz="4" w:space="0" w:color="auto"/>
            </w:tcBorders>
            <w:shd w:val="clear" w:color="auto" w:fill="auto"/>
            <w:noWrap/>
            <w:vAlign w:val="bottom"/>
            <w:hideMark/>
          </w:tcPr>
          <w:p w14:paraId="10D112F1"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12,521.39</w:t>
            </w:r>
          </w:p>
        </w:tc>
        <w:tc>
          <w:tcPr>
            <w:tcW w:w="1667" w:type="dxa"/>
            <w:tcBorders>
              <w:top w:val="nil"/>
              <w:left w:val="nil"/>
              <w:bottom w:val="single" w:sz="4" w:space="0" w:color="auto"/>
              <w:right w:val="single" w:sz="4" w:space="0" w:color="auto"/>
            </w:tcBorders>
            <w:shd w:val="clear" w:color="auto" w:fill="auto"/>
            <w:noWrap/>
            <w:vAlign w:val="bottom"/>
            <w:hideMark/>
          </w:tcPr>
          <w:p w14:paraId="3FD070D5"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13,077.21</w:t>
            </w:r>
          </w:p>
        </w:tc>
      </w:tr>
      <w:tr w:rsidR="003379AA" w14:paraId="7860C89D"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2AE38E8E"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Depreciation</w:t>
            </w:r>
          </w:p>
        </w:tc>
        <w:tc>
          <w:tcPr>
            <w:tcW w:w="2084" w:type="dxa"/>
            <w:tcBorders>
              <w:top w:val="nil"/>
              <w:left w:val="nil"/>
              <w:bottom w:val="nil"/>
              <w:right w:val="nil"/>
            </w:tcBorders>
            <w:shd w:val="clear" w:color="auto" w:fill="auto"/>
            <w:vAlign w:val="center"/>
            <w:hideMark/>
          </w:tcPr>
          <w:p w14:paraId="76E0A5BD" w14:textId="77777777" w:rsidR="006564AA" w:rsidRDefault="00037F74">
            <w:pPr>
              <w:spacing w:line="360" w:lineRule="auto"/>
              <w:jc w:val="right"/>
              <w:rPr>
                <w:rFonts w:eastAsia="Times New Roman" w:cs="Times New Roman"/>
                <w:color w:val="231F20"/>
                <w:szCs w:val="24"/>
                <w:lang w:eastAsia="en-IN" w:bidi="ar-SA"/>
              </w:rPr>
            </w:pPr>
            <w:r>
              <w:rPr>
                <w:rFonts w:eastAsia="Times New Roman" w:cs="Times New Roman"/>
                <w:color w:val="231F20"/>
                <w:szCs w:val="24"/>
                <w:lang w:eastAsia="en-IN" w:bidi="ar-SA"/>
              </w:rPr>
              <w:t>2,535.28</w:t>
            </w:r>
          </w:p>
        </w:tc>
        <w:tc>
          <w:tcPr>
            <w:tcW w:w="1944" w:type="dxa"/>
            <w:tcBorders>
              <w:top w:val="nil"/>
              <w:left w:val="single" w:sz="4" w:space="0" w:color="auto"/>
              <w:bottom w:val="single" w:sz="4" w:space="0" w:color="auto"/>
              <w:right w:val="single" w:sz="4" w:space="0" w:color="auto"/>
            </w:tcBorders>
            <w:shd w:val="clear" w:color="000000" w:fill="FFFFFF"/>
            <w:vAlign w:val="center"/>
            <w:hideMark/>
          </w:tcPr>
          <w:p w14:paraId="234340CB"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2,752.75</w:t>
            </w:r>
          </w:p>
        </w:tc>
        <w:tc>
          <w:tcPr>
            <w:tcW w:w="1667" w:type="dxa"/>
            <w:tcBorders>
              <w:top w:val="nil"/>
              <w:left w:val="nil"/>
              <w:bottom w:val="single" w:sz="4" w:space="0" w:color="auto"/>
              <w:right w:val="single" w:sz="4" w:space="0" w:color="auto"/>
            </w:tcBorders>
            <w:shd w:val="clear" w:color="000000" w:fill="FFFFFF"/>
            <w:vAlign w:val="center"/>
            <w:hideMark/>
          </w:tcPr>
          <w:p w14:paraId="66196C68"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3,012.61</w:t>
            </w:r>
          </w:p>
        </w:tc>
      </w:tr>
      <w:tr w:rsidR="003379AA" w14:paraId="47D91033"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33FD3263" w14:textId="77777777" w:rsidR="006564AA" w:rsidRPr="004B6245" w:rsidRDefault="00037F74">
            <w:pPr>
              <w:spacing w:line="360" w:lineRule="auto"/>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EBIT</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14:paraId="1382C37A"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9,556.49</w:t>
            </w:r>
          </w:p>
        </w:tc>
        <w:tc>
          <w:tcPr>
            <w:tcW w:w="1944" w:type="dxa"/>
            <w:tcBorders>
              <w:top w:val="nil"/>
              <w:left w:val="nil"/>
              <w:bottom w:val="single" w:sz="4" w:space="0" w:color="auto"/>
              <w:right w:val="single" w:sz="4" w:space="0" w:color="auto"/>
            </w:tcBorders>
            <w:shd w:val="clear" w:color="auto" w:fill="auto"/>
            <w:noWrap/>
            <w:vAlign w:val="bottom"/>
            <w:hideMark/>
          </w:tcPr>
          <w:p w14:paraId="1A91EC0D"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9,768.64</w:t>
            </w:r>
          </w:p>
        </w:tc>
        <w:tc>
          <w:tcPr>
            <w:tcW w:w="1667" w:type="dxa"/>
            <w:tcBorders>
              <w:top w:val="nil"/>
              <w:left w:val="nil"/>
              <w:bottom w:val="single" w:sz="4" w:space="0" w:color="auto"/>
              <w:right w:val="single" w:sz="4" w:space="0" w:color="auto"/>
            </w:tcBorders>
            <w:shd w:val="clear" w:color="auto" w:fill="auto"/>
            <w:noWrap/>
            <w:vAlign w:val="bottom"/>
            <w:hideMark/>
          </w:tcPr>
          <w:p w14:paraId="6B196232"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10,064.60</w:t>
            </w:r>
          </w:p>
        </w:tc>
      </w:tr>
      <w:tr w:rsidR="003379AA" w14:paraId="536491BF"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6D4F4E10"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Interest</w:t>
            </w:r>
          </w:p>
        </w:tc>
        <w:tc>
          <w:tcPr>
            <w:tcW w:w="2084" w:type="dxa"/>
            <w:tcBorders>
              <w:top w:val="nil"/>
              <w:left w:val="nil"/>
              <w:bottom w:val="nil"/>
              <w:right w:val="nil"/>
            </w:tcBorders>
            <w:shd w:val="clear" w:color="auto" w:fill="auto"/>
            <w:vAlign w:val="center"/>
            <w:hideMark/>
          </w:tcPr>
          <w:p w14:paraId="1672BE57" w14:textId="77777777" w:rsidR="006564AA" w:rsidRDefault="00037F74">
            <w:pPr>
              <w:spacing w:line="360" w:lineRule="auto"/>
              <w:jc w:val="right"/>
              <w:rPr>
                <w:rFonts w:eastAsia="Times New Roman" w:cs="Times New Roman"/>
                <w:color w:val="231F20"/>
                <w:szCs w:val="24"/>
                <w:lang w:eastAsia="en-IN" w:bidi="ar-SA"/>
              </w:rPr>
            </w:pPr>
            <w:r>
              <w:rPr>
                <w:rFonts w:eastAsia="Times New Roman" w:cs="Times New Roman"/>
                <w:color w:val="231F20"/>
                <w:szCs w:val="24"/>
                <w:lang w:eastAsia="en-IN" w:bidi="ar-SA"/>
              </w:rPr>
              <w:t>535.65</w:t>
            </w:r>
          </w:p>
        </w:tc>
        <w:tc>
          <w:tcPr>
            <w:tcW w:w="1944" w:type="dxa"/>
            <w:tcBorders>
              <w:top w:val="nil"/>
              <w:left w:val="single" w:sz="4" w:space="0" w:color="auto"/>
              <w:bottom w:val="single" w:sz="4" w:space="0" w:color="auto"/>
              <w:right w:val="single" w:sz="4" w:space="0" w:color="auto"/>
            </w:tcBorders>
            <w:shd w:val="clear" w:color="000000" w:fill="FFFFFF"/>
            <w:vAlign w:val="center"/>
            <w:hideMark/>
          </w:tcPr>
          <w:p w14:paraId="4AFCD344"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566.71</w:t>
            </w:r>
          </w:p>
        </w:tc>
        <w:tc>
          <w:tcPr>
            <w:tcW w:w="1667" w:type="dxa"/>
            <w:tcBorders>
              <w:top w:val="nil"/>
              <w:left w:val="nil"/>
              <w:bottom w:val="single" w:sz="4" w:space="0" w:color="auto"/>
              <w:right w:val="single" w:sz="4" w:space="0" w:color="auto"/>
            </w:tcBorders>
            <w:shd w:val="clear" w:color="000000" w:fill="FFFFFF"/>
            <w:vAlign w:val="center"/>
            <w:hideMark/>
          </w:tcPr>
          <w:p w14:paraId="6041B25D"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725.94</w:t>
            </w:r>
          </w:p>
        </w:tc>
      </w:tr>
      <w:tr w:rsidR="003379AA" w14:paraId="3D999098"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54381ECF" w14:textId="77777777" w:rsidR="006564AA" w:rsidRPr="004B6245" w:rsidRDefault="00037F74">
            <w:pPr>
              <w:spacing w:line="360" w:lineRule="auto"/>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PBT</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14:paraId="0802BD8D"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9,020.84</w:t>
            </w:r>
          </w:p>
        </w:tc>
        <w:tc>
          <w:tcPr>
            <w:tcW w:w="1944" w:type="dxa"/>
            <w:tcBorders>
              <w:top w:val="nil"/>
              <w:left w:val="nil"/>
              <w:bottom w:val="single" w:sz="4" w:space="0" w:color="auto"/>
              <w:right w:val="single" w:sz="4" w:space="0" w:color="auto"/>
            </w:tcBorders>
            <w:shd w:val="clear" w:color="auto" w:fill="auto"/>
            <w:noWrap/>
            <w:vAlign w:val="bottom"/>
            <w:hideMark/>
          </w:tcPr>
          <w:p w14:paraId="6C2E6F3C"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9,201.93</w:t>
            </w:r>
          </w:p>
        </w:tc>
        <w:tc>
          <w:tcPr>
            <w:tcW w:w="1667" w:type="dxa"/>
            <w:tcBorders>
              <w:top w:val="nil"/>
              <w:left w:val="nil"/>
              <w:bottom w:val="single" w:sz="4" w:space="0" w:color="auto"/>
              <w:right w:val="single" w:sz="4" w:space="0" w:color="auto"/>
            </w:tcBorders>
            <w:shd w:val="clear" w:color="auto" w:fill="auto"/>
            <w:noWrap/>
            <w:vAlign w:val="bottom"/>
            <w:hideMark/>
          </w:tcPr>
          <w:p w14:paraId="4C6E46A9"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9,338.66</w:t>
            </w:r>
          </w:p>
        </w:tc>
      </w:tr>
      <w:tr w:rsidR="003379AA" w14:paraId="48A55EA7"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474CF0D5" w14:textId="77777777" w:rsidR="006564AA" w:rsidRDefault="00037F74">
            <w:pPr>
              <w:spacing w:line="360" w:lineRule="auto"/>
              <w:rPr>
                <w:rFonts w:eastAsia="Times New Roman" w:cs="Times New Roman"/>
                <w:color w:val="000000"/>
                <w:szCs w:val="24"/>
                <w:lang w:eastAsia="en-IN" w:bidi="ar-SA"/>
              </w:rPr>
            </w:pPr>
            <w:r>
              <w:rPr>
                <w:rFonts w:eastAsia="Times New Roman" w:cs="Times New Roman"/>
                <w:color w:val="000000"/>
                <w:szCs w:val="24"/>
                <w:lang w:eastAsia="en-IN" w:bidi="ar-SA"/>
              </w:rPr>
              <w:t>Tax</w:t>
            </w:r>
          </w:p>
        </w:tc>
        <w:tc>
          <w:tcPr>
            <w:tcW w:w="2084" w:type="dxa"/>
            <w:tcBorders>
              <w:top w:val="nil"/>
              <w:left w:val="nil"/>
              <w:bottom w:val="nil"/>
              <w:right w:val="nil"/>
            </w:tcBorders>
            <w:shd w:val="clear" w:color="auto" w:fill="auto"/>
            <w:vAlign w:val="center"/>
            <w:hideMark/>
          </w:tcPr>
          <w:p w14:paraId="6DBFFE82" w14:textId="77777777" w:rsidR="006564AA" w:rsidRDefault="00037F74">
            <w:pPr>
              <w:spacing w:line="360" w:lineRule="auto"/>
              <w:jc w:val="right"/>
              <w:rPr>
                <w:rFonts w:eastAsia="Times New Roman" w:cs="Times New Roman"/>
                <w:color w:val="231F20"/>
                <w:szCs w:val="24"/>
                <w:lang w:eastAsia="en-IN" w:bidi="ar-SA"/>
              </w:rPr>
            </w:pPr>
            <w:r>
              <w:rPr>
                <w:rFonts w:eastAsia="Times New Roman" w:cs="Times New Roman"/>
                <w:color w:val="231F20"/>
                <w:szCs w:val="24"/>
                <w:lang w:eastAsia="en-IN" w:bidi="ar-SA"/>
              </w:rPr>
              <w:t>2,812.04</w:t>
            </w:r>
          </w:p>
        </w:tc>
        <w:tc>
          <w:tcPr>
            <w:tcW w:w="1944" w:type="dxa"/>
            <w:tcBorders>
              <w:top w:val="nil"/>
              <w:left w:val="single" w:sz="4" w:space="0" w:color="auto"/>
              <w:bottom w:val="single" w:sz="4" w:space="0" w:color="auto"/>
              <w:right w:val="single" w:sz="4" w:space="0" w:color="auto"/>
            </w:tcBorders>
            <w:shd w:val="clear" w:color="000000" w:fill="FFFFFF"/>
            <w:vAlign w:val="center"/>
            <w:hideMark/>
          </w:tcPr>
          <w:p w14:paraId="7993A6FA"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2,844.86</w:t>
            </w:r>
          </w:p>
        </w:tc>
        <w:tc>
          <w:tcPr>
            <w:tcW w:w="1667" w:type="dxa"/>
            <w:tcBorders>
              <w:top w:val="nil"/>
              <w:left w:val="nil"/>
              <w:bottom w:val="single" w:sz="4" w:space="0" w:color="auto"/>
              <w:right w:val="single" w:sz="4" w:space="0" w:color="auto"/>
            </w:tcBorders>
            <w:shd w:val="clear" w:color="000000" w:fill="FFFFFF"/>
            <w:vAlign w:val="center"/>
            <w:hideMark/>
          </w:tcPr>
          <w:p w14:paraId="3079B870" w14:textId="77777777" w:rsidR="006564AA" w:rsidRDefault="00037F74">
            <w:pPr>
              <w:spacing w:line="360" w:lineRule="auto"/>
              <w:jc w:val="right"/>
              <w:rPr>
                <w:rFonts w:eastAsia="Times New Roman" w:cs="Times New Roman"/>
                <w:szCs w:val="24"/>
                <w:lang w:eastAsia="en-IN" w:bidi="ar-SA"/>
              </w:rPr>
            </w:pPr>
            <w:r>
              <w:rPr>
                <w:rFonts w:eastAsia="Times New Roman" w:cs="Times New Roman"/>
                <w:szCs w:val="24"/>
                <w:lang w:eastAsia="en-IN" w:bidi="ar-SA"/>
              </w:rPr>
              <w:t>3,310.00</w:t>
            </w:r>
          </w:p>
        </w:tc>
      </w:tr>
      <w:tr w:rsidR="003379AA" w14:paraId="7EB24EC9" w14:textId="77777777" w:rsidTr="004B6245">
        <w:trPr>
          <w:trHeight w:val="416"/>
        </w:trPr>
        <w:tc>
          <w:tcPr>
            <w:tcW w:w="2635" w:type="dxa"/>
            <w:tcBorders>
              <w:top w:val="nil"/>
              <w:left w:val="single" w:sz="4" w:space="0" w:color="auto"/>
              <w:bottom w:val="single" w:sz="4" w:space="0" w:color="auto"/>
              <w:right w:val="single" w:sz="4" w:space="0" w:color="auto"/>
            </w:tcBorders>
            <w:shd w:val="clear" w:color="auto" w:fill="auto"/>
            <w:noWrap/>
            <w:vAlign w:val="bottom"/>
            <w:hideMark/>
          </w:tcPr>
          <w:p w14:paraId="0B2D0ED4" w14:textId="77777777" w:rsidR="006564AA" w:rsidRPr="004B6245" w:rsidRDefault="00037F74">
            <w:pPr>
              <w:spacing w:line="360" w:lineRule="auto"/>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PAT</w:t>
            </w:r>
          </w:p>
        </w:tc>
        <w:tc>
          <w:tcPr>
            <w:tcW w:w="2084" w:type="dxa"/>
            <w:tcBorders>
              <w:top w:val="single" w:sz="4" w:space="0" w:color="auto"/>
              <w:left w:val="nil"/>
              <w:bottom w:val="single" w:sz="4" w:space="0" w:color="auto"/>
              <w:right w:val="single" w:sz="4" w:space="0" w:color="auto"/>
            </w:tcBorders>
            <w:shd w:val="clear" w:color="auto" w:fill="auto"/>
            <w:noWrap/>
            <w:vAlign w:val="bottom"/>
            <w:hideMark/>
          </w:tcPr>
          <w:p w14:paraId="5A9E8C8B"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6,208.80</w:t>
            </w:r>
          </w:p>
        </w:tc>
        <w:tc>
          <w:tcPr>
            <w:tcW w:w="1944" w:type="dxa"/>
            <w:tcBorders>
              <w:top w:val="nil"/>
              <w:left w:val="nil"/>
              <w:bottom w:val="single" w:sz="4" w:space="0" w:color="auto"/>
              <w:right w:val="single" w:sz="4" w:space="0" w:color="auto"/>
            </w:tcBorders>
            <w:shd w:val="clear" w:color="auto" w:fill="auto"/>
            <w:noWrap/>
            <w:vAlign w:val="bottom"/>
            <w:hideMark/>
          </w:tcPr>
          <w:p w14:paraId="0F828CD0"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6,357.07</w:t>
            </w:r>
          </w:p>
        </w:tc>
        <w:tc>
          <w:tcPr>
            <w:tcW w:w="1667" w:type="dxa"/>
            <w:tcBorders>
              <w:top w:val="nil"/>
              <w:left w:val="nil"/>
              <w:bottom w:val="single" w:sz="4" w:space="0" w:color="auto"/>
              <w:right w:val="single" w:sz="4" w:space="0" w:color="auto"/>
            </w:tcBorders>
            <w:shd w:val="clear" w:color="auto" w:fill="auto"/>
            <w:noWrap/>
            <w:vAlign w:val="bottom"/>
            <w:hideMark/>
          </w:tcPr>
          <w:p w14:paraId="1E60B2A6" w14:textId="77777777" w:rsidR="006564AA" w:rsidRPr="004B6245" w:rsidRDefault="00037F74">
            <w:pPr>
              <w:spacing w:line="360" w:lineRule="auto"/>
              <w:jc w:val="right"/>
              <w:rPr>
                <w:rFonts w:eastAsia="Times New Roman" w:cs="Times New Roman"/>
                <w:b/>
                <w:bCs/>
                <w:color w:val="000000"/>
                <w:szCs w:val="24"/>
                <w:lang w:eastAsia="en-IN" w:bidi="ar-SA"/>
              </w:rPr>
            </w:pPr>
            <w:r w:rsidRPr="004B6245">
              <w:rPr>
                <w:rFonts w:eastAsia="Times New Roman" w:cs="Times New Roman"/>
                <w:b/>
                <w:bCs/>
                <w:color w:val="000000"/>
                <w:szCs w:val="24"/>
                <w:lang w:eastAsia="en-IN" w:bidi="ar-SA"/>
              </w:rPr>
              <w:t>6,028.66</w:t>
            </w:r>
          </w:p>
        </w:tc>
      </w:tr>
    </w:tbl>
    <w:p w14:paraId="198575F9" w14:textId="77777777" w:rsidR="006564AA" w:rsidRDefault="006564AA">
      <w:pPr>
        <w:rPr>
          <w:rFonts w:cs="Times New Roman"/>
          <w:b/>
          <w:bCs/>
          <w:szCs w:val="24"/>
        </w:rPr>
      </w:pPr>
    </w:p>
    <w:p w14:paraId="300B9C29" w14:textId="77777777" w:rsidR="00C512ED" w:rsidRDefault="00C512ED">
      <w:pPr>
        <w:rPr>
          <w:rFonts w:cs="Times New Roman"/>
          <w:b/>
          <w:bCs/>
          <w:szCs w:val="24"/>
        </w:rPr>
      </w:pPr>
    </w:p>
    <w:p w14:paraId="4872AE68" w14:textId="77777777" w:rsidR="00C512ED" w:rsidRDefault="00C512ED">
      <w:pPr>
        <w:rPr>
          <w:rFonts w:cs="Times New Roman"/>
          <w:b/>
          <w:bCs/>
          <w:szCs w:val="24"/>
        </w:rPr>
      </w:pPr>
    </w:p>
    <w:p w14:paraId="729999A1" w14:textId="77777777" w:rsidR="00C512ED" w:rsidRDefault="00C512ED">
      <w:pPr>
        <w:rPr>
          <w:rFonts w:cs="Times New Roman"/>
          <w:b/>
          <w:bCs/>
          <w:szCs w:val="24"/>
        </w:rPr>
      </w:pPr>
    </w:p>
    <w:p w14:paraId="09A7AB21" w14:textId="77777777" w:rsidR="00C512ED" w:rsidRDefault="00C512ED">
      <w:pPr>
        <w:rPr>
          <w:rFonts w:cs="Times New Roman"/>
          <w:b/>
          <w:bCs/>
          <w:szCs w:val="24"/>
        </w:rPr>
      </w:pPr>
    </w:p>
    <w:p w14:paraId="005CCB5D" w14:textId="77777777" w:rsidR="008B158C" w:rsidRDefault="008B158C">
      <w:pPr>
        <w:rPr>
          <w:rFonts w:cs="Times New Roman"/>
          <w:b/>
          <w:bCs/>
          <w:szCs w:val="24"/>
        </w:rPr>
      </w:pPr>
    </w:p>
    <w:p w14:paraId="02F24F02" w14:textId="77777777" w:rsidR="008B158C" w:rsidRDefault="008B158C">
      <w:pPr>
        <w:rPr>
          <w:rFonts w:cs="Times New Roman"/>
          <w:b/>
          <w:bCs/>
          <w:szCs w:val="24"/>
        </w:rPr>
      </w:pPr>
    </w:p>
    <w:p w14:paraId="24CDB740" w14:textId="77777777" w:rsidR="00C512ED" w:rsidRDefault="00C512ED">
      <w:pPr>
        <w:rPr>
          <w:rFonts w:cs="Times New Roman"/>
          <w:b/>
          <w:bCs/>
          <w:szCs w:val="24"/>
        </w:rPr>
      </w:pPr>
    </w:p>
    <w:p w14:paraId="02FBEAF5" w14:textId="77777777" w:rsidR="006564AA" w:rsidRDefault="00D5146F">
      <w:pPr>
        <w:pStyle w:val="Heading2"/>
        <w:rPr>
          <w:rFonts w:cs="Times New Roman"/>
        </w:rPr>
      </w:pPr>
      <w:bookmarkStart w:id="33" w:name="_Toc36752012"/>
      <w:r>
        <w:rPr>
          <w:rFonts w:cs="Times New Roman"/>
        </w:rPr>
        <w:t xml:space="preserve">13.2 </w:t>
      </w:r>
      <w:r w:rsidR="00037F74">
        <w:rPr>
          <w:rFonts w:cs="Times New Roman"/>
        </w:rPr>
        <w:t>Annexures II: Questionnaire on a survey of the key ratios</w:t>
      </w:r>
      <w:bookmarkEnd w:id="33"/>
    </w:p>
    <w:p w14:paraId="15716EFE" w14:textId="77777777" w:rsidR="00C512ED" w:rsidRPr="00C512ED" w:rsidRDefault="00C512ED" w:rsidP="00C512ED">
      <w:pPr>
        <w:spacing w:after="200" w:line="360" w:lineRule="auto"/>
        <w:jc w:val="both"/>
        <w:rPr>
          <w:rFonts w:eastAsiaTheme="minorHAnsi" w:cs="Times New Roman"/>
          <w:szCs w:val="24"/>
          <w:lang w:val="en-US" w:bidi="ar-SA"/>
        </w:rPr>
      </w:pPr>
    </w:p>
    <w:p w14:paraId="3BBBC807" w14:textId="77777777" w:rsidR="00C512ED" w:rsidRPr="00C512ED" w:rsidRDefault="00037F74" w:rsidP="00C512ED">
      <w:pPr>
        <w:spacing w:after="200" w:line="360" w:lineRule="auto"/>
        <w:jc w:val="both"/>
        <w:rPr>
          <w:rFonts w:eastAsiaTheme="minorHAnsi" w:cs="Times New Roman"/>
          <w:b/>
          <w:szCs w:val="24"/>
          <w:lang w:val="en-US" w:bidi="ar-SA"/>
        </w:rPr>
      </w:pPr>
      <w:r w:rsidRPr="00C512ED">
        <w:rPr>
          <w:rFonts w:eastAsiaTheme="minorHAnsi" w:cs="Times New Roman"/>
          <w:b/>
          <w:szCs w:val="24"/>
          <w:lang w:val="en-US" w:bidi="ar-SA"/>
        </w:rPr>
        <w:t>Survey on the significance of key ratios in the Oil Industry</w:t>
      </w:r>
    </w:p>
    <w:p w14:paraId="2DF57ACA" w14:textId="77777777" w:rsidR="00C512ED" w:rsidRPr="00C512ED" w:rsidRDefault="00037F74" w:rsidP="00C512ED">
      <w:pPr>
        <w:spacing w:after="200" w:line="360" w:lineRule="auto"/>
        <w:jc w:val="both"/>
        <w:rPr>
          <w:rFonts w:eastAsiaTheme="minorHAnsi" w:cs="Times New Roman"/>
          <w:szCs w:val="24"/>
          <w:lang w:val="en-US" w:bidi="ar-SA"/>
        </w:rPr>
      </w:pPr>
      <w:r w:rsidRPr="00C512ED">
        <w:rPr>
          <w:rFonts w:eastAsiaTheme="minorHAnsi" w:cs="Times New Roman"/>
          <w:szCs w:val="24"/>
          <w:lang w:val="en-US" w:bidi="ar-SA"/>
        </w:rPr>
        <w:t>We are P.G.D.M. Finance students conducting this survey for our financial research project –</w:t>
      </w:r>
      <w:r w:rsidR="00EC0417">
        <w:rPr>
          <w:rFonts w:eastAsiaTheme="minorHAnsi" w:cs="Times New Roman"/>
          <w:szCs w:val="24"/>
          <w:lang w:val="en-US" w:bidi="ar-SA"/>
        </w:rPr>
        <w:t xml:space="preserve"> </w:t>
      </w:r>
      <w:r w:rsidRPr="00C512ED">
        <w:rPr>
          <w:rFonts w:eastAsiaTheme="minorHAnsi" w:cs="Times New Roman"/>
          <w:szCs w:val="24"/>
          <w:lang w:val="en-US" w:bidi="ar-SA"/>
        </w:rPr>
        <w:t>“The comparative analysis of OIL and Gas companies based on profitability and efficiency” for which we require key ratio to analyze this volatility industry.</w:t>
      </w:r>
    </w:p>
    <w:p w14:paraId="3D74690E" w14:textId="77777777" w:rsidR="00C512ED" w:rsidRPr="00C512ED" w:rsidRDefault="00037F74" w:rsidP="00C512ED">
      <w:pPr>
        <w:spacing w:after="200" w:line="360" w:lineRule="auto"/>
        <w:jc w:val="both"/>
        <w:rPr>
          <w:rFonts w:eastAsiaTheme="minorHAnsi" w:cs="Times New Roman"/>
          <w:szCs w:val="24"/>
          <w:lang w:val="en-US" w:bidi="ar-SA"/>
        </w:rPr>
      </w:pPr>
      <w:r w:rsidRPr="00C512ED">
        <w:rPr>
          <w:rFonts w:eastAsiaTheme="minorHAnsi" w:cs="Times New Roman"/>
          <w:szCs w:val="24"/>
          <w:lang w:val="en-US" w:bidi="ar-SA"/>
        </w:rPr>
        <w:t>*Required</w:t>
      </w:r>
    </w:p>
    <w:p w14:paraId="35EF177A" w14:textId="77777777" w:rsidR="00C512ED" w:rsidRPr="00C512ED" w:rsidRDefault="00037F74" w:rsidP="00C512ED">
      <w:pPr>
        <w:spacing w:after="200" w:line="360" w:lineRule="auto"/>
        <w:jc w:val="both"/>
        <w:rPr>
          <w:rFonts w:eastAsiaTheme="minorHAnsi" w:cs="Times New Roman"/>
          <w:szCs w:val="24"/>
          <w:lang w:val="en-US" w:bidi="ar-SA"/>
        </w:rPr>
      </w:pPr>
      <w:r w:rsidRPr="00C512ED">
        <w:rPr>
          <w:rFonts w:eastAsiaTheme="minorHAnsi" w:cs="Times New Roman"/>
          <w:szCs w:val="24"/>
          <w:lang w:val="en-US" w:bidi="ar-SA"/>
        </w:rPr>
        <w:t>1. Occupation*</w:t>
      </w:r>
    </w:p>
    <w:p w14:paraId="3064718C" w14:textId="77777777" w:rsidR="00C512ED" w:rsidRPr="00C512ED" w:rsidRDefault="00037F74" w:rsidP="00C512ED">
      <w:pPr>
        <w:numPr>
          <w:ilvl w:val="0"/>
          <w:numId w:val="36"/>
        </w:numPr>
        <w:spacing w:after="200" w:line="360" w:lineRule="auto"/>
        <w:ind w:left="360" w:firstLine="0"/>
        <w:contextualSpacing/>
        <w:jc w:val="both"/>
        <w:rPr>
          <w:rFonts w:eastAsiaTheme="minorHAnsi" w:cs="Times New Roman"/>
          <w:szCs w:val="24"/>
          <w:lang w:val="en-US" w:bidi="ar-SA"/>
        </w:rPr>
      </w:pPr>
      <w:r w:rsidRPr="00C512ED">
        <w:rPr>
          <w:rFonts w:eastAsiaTheme="minorHAnsi" w:cs="Times New Roman"/>
          <w:szCs w:val="24"/>
          <w:lang w:val="en-US" w:bidi="ar-SA"/>
        </w:rPr>
        <w:t>Student</w:t>
      </w:r>
    </w:p>
    <w:p w14:paraId="1864D39D" w14:textId="77777777" w:rsidR="00C512ED" w:rsidRPr="00C512ED" w:rsidRDefault="00037F74" w:rsidP="00C512ED">
      <w:pPr>
        <w:numPr>
          <w:ilvl w:val="0"/>
          <w:numId w:val="36"/>
        </w:numPr>
        <w:spacing w:after="200" w:line="360" w:lineRule="auto"/>
        <w:ind w:left="360" w:firstLine="0"/>
        <w:contextualSpacing/>
        <w:jc w:val="both"/>
        <w:rPr>
          <w:rFonts w:eastAsiaTheme="minorHAnsi" w:cs="Times New Roman"/>
          <w:szCs w:val="24"/>
          <w:lang w:val="en-US" w:bidi="ar-SA"/>
        </w:rPr>
      </w:pPr>
      <w:r w:rsidRPr="00C512ED">
        <w:rPr>
          <w:rFonts w:eastAsiaTheme="minorHAnsi" w:cs="Times New Roman"/>
          <w:szCs w:val="24"/>
          <w:lang w:val="en-US" w:bidi="ar-SA"/>
        </w:rPr>
        <w:t>Employed</w:t>
      </w:r>
    </w:p>
    <w:p w14:paraId="6F16FA03" w14:textId="77777777" w:rsidR="00C512ED" w:rsidRPr="00C512ED" w:rsidRDefault="00037F74" w:rsidP="00C512ED">
      <w:pPr>
        <w:numPr>
          <w:ilvl w:val="0"/>
          <w:numId w:val="36"/>
        </w:numPr>
        <w:spacing w:after="200" w:line="360" w:lineRule="auto"/>
        <w:ind w:left="360" w:firstLine="0"/>
        <w:contextualSpacing/>
        <w:jc w:val="both"/>
        <w:rPr>
          <w:rFonts w:eastAsiaTheme="minorHAnsi" w:cs="Times New Roman"/>
          <w:szCs w:val="24"/>
          <w:lang w:val="en-US" w:bidi="ar-SA"/>
        </w:rPr>
      </w:pPr>
      <w:r w:rsidRPr="00C512ED">
        <w:rPr>
          <w:rFonts w:eastAsiaTheme="minorHAnsi" w:cs="Times New Roman"/>
          <w:szCs w:val="24"/>
          <w:lang w:val="en-US" w:bidi="ar-SA"/>
        </w:rPr>
        <w:t>Self- employed</w:t>
      </w:r>
    </w:p>
    <w:p w14:paraId="5F8225F8" w14:textId="77777777" w:rsidR="00C512ED" w:rsidRPr="00C512ED" w:rsidRDefault="00037F74" w:rsidP="00C512ED">
      <w:pPr>
        <w:numPr>
          <w:ilvl w:val="0"/>
          <w:numId w:val="36"/>
        </w:numPr>
        <w:spacing w:after="200" w:line="360" w:lineRule="auto"/>
        <w:ind w:left="360" w:firstLine="0"/>
        <w:contextualSpacing/>
        <w:jc w:val="both"/>
        <w:rPr>
          <w:rFonts w:eastAsiaTheme="minorHAnsi" w:cs="Times New Roman"/>
          <w:szCs w:val="24"/>
          <w:lang w:val="en-US" w:bidi="ar-SA"/>
        </w:rPr>
      </w:pPr>
      <w:r w:rsidRPr="00C512ED">
        <w:rPr>
          <w:rFonts w:eastAsiaTheme="minorHAnsi" w:cs="Times New Roman"/>
          <w:szCs w:val="24"/>
          <w:lang w:val="en-US" w:bidi="ar-SA"/>
        </w:rPr>
        <w:t>Other</w:t>
      </w:r>
    </w:p>
    <w:p w14:paraId="1EF7960E" w14:textId="77777777" w:rsidR="00C512ED" w:rsidRPr="00C512ED" w:rsidRDefault="00037F74" w:rsidP="00C512ED">
      <w:pPr>
        <w:spacing w:after="200" w:line="360" w:lineRule="auto"/>
        <w:ind w:left="90"/>
        <w:contextualSpacing/>
        <w:jc w:val="both"/>
        <w:rPr>
          <w:rFonts w:eastAsiaTheme="minorHAnsi" w:cs="Times New Roman"/>
          <w:szCs w:val="24"/>
          <w:lang w:val="en-US" w:bidi="ar-SA"/>
        </w:rPr>
      </w:pPr>
      <w:r w:rsidRPr="00C512ED">
        <w:rPr>
          <w:rFonts w:eastAsiaTheme="minorHAnsi" w:cs="Times New Roman"/>
          <w:szCs w:val="24"/>
          <w:lang w:val="en-US" w:bidi="ar-SA"/>
        </w:rPr>
        <w:t>2. Stream*</w:t>
      </w:r>
    </w:p>
    <w:p w14:paraId="1B444D56" w14:textId="77777777" w:rsidR="00C512ED" w:rsidRPr="00C512ED" w:rsidRDefault="00037F74" w:rsidP="00C512ED">
      <w:pPr>
        <w:numPr>
          <w:ilvl w:val="0"/>
          <w:numId w:val="37"/>
        </w:numPr>
        <w:spacing w:after="200" w:line="360" w:lineRule="auto"/>
        <w:contextualSpacing/>
        <w:jc w:val="both"/>
        <w:rPr>
          <w:rFonts w:eastAsiaTheme="minorHAnsi" w:cs="Times New Roman"/>
          <w:szCs w:val="24"/>
          <w:lang w:val="en-US" w:bidi="ar-SA"/>
        </w:rPr>
      </w:pPr>
      <w:r w:rsidRPr="00C512ED">
        <w:rPr>
          <w:rFonts w:eastAsiaTheme="minorHAnsi" w:cs="Times New Roman"/>
          <w:szCs w:val="24"/>
          <w:lang w:val="en-US" w:bidi="ar-SA"/>
        </w:rPr>
        <w:t>Science</w:t>
      </w:r>
    </w:p>
    <w:p w14:paraId="2657A334" w14:textId="77777777" w:rsidR="00C512ED" w:rsidRPr="00C512ED" w:rsidRDefault="00037F74" w:rsidP="00C512ED">
      <w:pPr>
        <w:numPr>
          <w:ilvl w:val="0"/>
          <w:numId w:val="37"/>
        </w:numPr>
        <w:spacing w:after="200" w:line="360" w:lineRule="auto"/>
        <w:contextualSpacing/>
        <w:jc w:val="both"/>
        <w:rPr>
          <w:rFonts w:eastAsiaTheme="minorHAnsi" w:cs="Times New Roman"/>
          <w:szCs w:val="24"/>
          <w:lang w:val="en-US" w:bidi="ar-SA"/>
        </w:rPr>
      </w:pPr>
      <w:r w:rsidRPr="00C512ED">
        <w:rPr>
          <w:rFonts w:eastAsiaTheme="minorHAnsi" w:cs="Times New Roman"/>
          <w:szCs w:val="24"/>
          <w:lang w:val="en-US" w:bidi="ar-SA"/>
        </w:rPr>
        <w:t>Commerce</w:t>
      </w:r>
    </w:p>
    <w:p w14:paraId="0B1CB5E5" w14:textId="77777777" w:rsidR="00C512ED" w:rsidRPr="00C512ED" w:rsidRDefault="00037F74" w:rsidP="00C512ED">
      <w:pPr>
        <w:numPr>
          <w:ilvl w:val="0"/>
          <w:numId w:val="37"/>
        </w:numPr>
        <w:spacing w:after="200" w:line="360" w:lineRule="auto"/>
        <w:contextualSpacing/>
        <w:jc w:val="both"/>
        <w:rPr>
          <w:rFonts w:eastAsiaTheme="minorHAnsi" w:cs="Times New Roman"/>
          <w:szCs w:val="24"/>
          <w:lang w:val="en-US" w:bidi="ar-SA"/>
        </w:rPr>
      </w:pPr>
      <w:r w:rsidRPr="00C512ED">
        <w:rPr>
          <w:rFonts w:eastAsiaTheme="minorHAnsi" w:cs="Times New Roman"/>
          <w:szCs w:val="24"/>
          <w:lang w:val="en-US" w:bidi="ar-SA"/>
        </w:rPr>
        <w:t>Arts</w:t>
      </w:r>
    </w:p>
    <w:p w14:paraId="677AC7EA" w14:textId="77777777" w:rsidR="00C512ED" w:rsidRPr="00C512ED" w:rsidRDefault="00037F74" w:rsidP="00C512ED">
      <w:pPr>
        <w:numPr>
          <w:ilvl w:val="0"/>
          <w:numId w:val="37"/>
        </w:numPr>
        <w:spacing w:after="200" w:line="360" w:lineRule="auto"/>
        <w:contextualSpacing/>
        <w:jc w:val="both"/>
        <w:rPr>
          <w:rFonts w:eastAsiaTheme="minorHAnsi" w:cs="Times New Roman"/>
          <w:szCs w:val="24"/>
          <w:lang w:val="en-US" w:bidi="ar-SA"/>
        </w:rPr>
      </w:pPr>
      <w:r w:rsidRPr="00C512ED">
        <w:rPr>
          <w:rFonts w:eastAsiaTheme="minorHAnsi" w:cs="Times New Roman"/>
          <w:szCs w:val="24"/>
          <w:lang w:val="en-US" w:bidi="ar-SA"/>
        </w:rPr>
        <w:t>Other</w:t>
      </w:r>
    </w:p>
    <w:p w14:paraId="6C543EE9" w14:textId="77777777" w:rsidR="00C512ED" w:rsidRPr="00C512ED" w:rsidRDefault="00037F74" w:rsidP="00C512ED">
      <w:pPr>
        <w:spacing w:after="200" w:line="360" w:lineRule="auto"/>
        <w:ind w:left="90" w:firstLine="90"/>
        <w:contextualSpacing/>
        <w:jc w:val="both"/>
        <w:rPr>
          <w:rFonts w:eastAsiaTheme="minorHAnsi" w:cs="Times New Roman"/>
          <w:szCs w:val="24"/>
          <w:lang w:val="en-US" w:bidi="ar-SA"/>
        </w:rPr>
      </w:pPr>
      <w:r w:rsidRPr="00C512ED">
        <w:rPr>
          <w:rFonts w:eastAsiaTheme="minorHAnsi" w:cs="Times New Roman"/>
          <w:szCs w:val="24"/>
          <w:lang w:val="en-US" w:bidi="ar-SA"/>
        </w:rPr>
        <w:t>3. Qualification*</w:t>
      </w:r>
    </w:p>
    <w:p w14:paraId="76FE67DA" w14:textId="77777777" w:rsidR="00C512ED" w:rsidRPr="00C512ED" w:rsidRDefault="00037F74" w:rsidP="00C512ED">
      <w:pPr>
        <w:numPr>
          <w:ilvl w:val="0"/>
          <w:numId w:val="38"/>
        </w:numPr>
        <w:spacing w:after="200" w:line="360" w:lineRule="auto"/>
        <w:ind w:left="810"/>
        <w:contextualSpacing/>
        <w:jc w:val="both"/>
        <w:rPr>
          <w:rFonts w:eastAsiaTheme="minorHAnsi" w:cs="Times New Roman"/>
          <w:szCs w:val="24"/>
          <w:lang w:val="en-US" w:bidi="ar-SA"/>
        </w:rPr>
      </w:pPr>
      <w:r w:rsidRPr="00C512ED">
        <w:rPr>
          <w:rFonts w:eastAsiaTheme="minorHAnsi" w:cs="Times New Roman"/>
          <w:szCs w:val="24"/>
          <w:lang w:val="en-US" w:bidi="ar-SA"/>
        </w:rPr>
        <w:t>Under Graduate</w:t>
      </w:r>
    </w:p>
    <w:p w14:paraId="18E3161A" w14:textId="77777777" w:rsidR="00C512ED" w:rsidRPr="00C512ED" w:rsidRDefault="00037F74" w:rsidP="00C512ED">
      <w:pPr>
        <w:numPr>
          <w:ilvl w:val="0"/>
          <w:numId w:val="38"/>
        </w:numPr>
        <w:spacing w:after="200" w:line="360" w:lineRule="auto"/>
        <w:ind w:left="810"/>
        <w:contextualSpacing/>
        <w:jc w:val="both"/>
        <w:rPr>
          <w:rFonts w:eastAsiaTheme="minorHAnsi" w:cs="Times New Roman"/>
          <w:szCs w:val="24"/>
          <w:lang w:val="en-US" w:bidi="ar-SA"/>
        </w:rPr>
      </w:pPr>
      <w:r w:rsidRPr="00C512ED">
        <w:rPr>
          <w:rFonts w:eastAsiaTheme="minorHAnsi" w:cs="Times New Roman"/>
          <w:szCs w:val="24"/>
          <w:lang w:val="en-US" w:bidi="ar-SA"/>
        </w:rPr>
        <w:t>Graduate</w:t>
      </w:r>
    </w:p>
    <w:p w14:paraId="5AD39951" w14:textId="77777777" w:rsidR="00C512ED" w:rsidRPr="00C512ED" w:rsidRDefault="00037F74" w:rsidP="00C512ED">
      <w:pPr>
        <w:numPr>
          <w:ilvl w:val="0"/>
          <w:numId w:val="38"/>
        </w:numPr>
        <w:spacing w:after="200" w:line="360" w:lineRule="auto"/>
        <w:ind w:left="810"/>
        <w:contextualSpacing/>
        <w:jc w:val="both"/>
        <w:rPr>
          <w:rFonts w:eastAsiaTheme="minorHAnsi" w:cs="Times New Roman"/>
          <w:szCs w:val="24"/>
          <w:lang w:val="en-US" w:bidi="ar-SA"/>
        </w:rPr>
      </w:pPr>
      <w:r w:rsidRPr="00C512ED">
        <w:rPr>
          <w:rFonts w:eastAsiaTheme="minorHAnsi" w:cs="Times New Roman"/>
          <w:szCs w:val="24"/>
          <w:lang w:val="en-US" w:bidi="ar-SA"/>
        </w:rPr>
        <w:t>Post Graduate</w:t>
      </w:r>
    </w:p>
    <w:p w14:paraId="02ADA946" w14:textId="77777777" w:rsidR="00C512ED" w:rsidRPr="00C512ED" w:rsidRDefault="00037F74" w:rsidP="00C512ED">
      <w:pPr>
        <w:numPr>
          <w:ilvl w:val="0"/>
          <w:numId w:val="38"/>
        </w:numPr>
        <w:spacing w:after="200" w:line="360" w:lineRule="auto"/>
        <w:ind w:left="810"/>
        <w:contextualSpacing/>
        <w:jc w:val="both"/>
        <w:rPr>
          <w:rFonts w:eastAsiaTheme="minorHAnsi" w:cs="Times New Roman"/>
          <w:szCs w:val="24"/>
          <w:lang w:val="en-US" w:bidi="ar-SA"/>
        </w:rPr>
      </w:pPr>
      <w:r w:rsidRPr="00C512ED">
        <w:rPr>
          <w:rFonts w:eastAsiaTheme="minorHAnsi" w:cs="Times New Roman"/>
          <w:szCs w:val="24"/>
          <w:lang w:val="en-US" w:bidi="ar-SA"/>
        </w:rPr>
        <w:t>Other</w:t>
      </w:r>
    </w:p>
    <w:p w14:paraId="5B4384AC" w14:textId="77777777" w:rsidR="00C512ED" w:rsidRPr="00C512ED" w:rsidRDefault="00037F74" w:rsidP="00C512ED">
      <w:pPr>
        <w:spacing w:after="200" w:line="360" w:lineRule="auto"/>
        <w:ind w:left="180" w:firstLine="90"/>
        <w:contextualSpacing/>
        <w:jc w:val="both"/>
        <w:rPr>
          <w:rFonts w:eastAsiaTheme="minorHAnsi" w:cs="Times New Roman"/>
          <w:szCs w:val="24"/>
          <w:lang w:val="en-US" w:bidi="ar-SA"/>
        </w:rPr>
      </w:pPr>
      <w:r w:rsidRPr="00C512ED">
        <w:rPr>
          <w:rFonts w:eastAsiaTheme="minorHAnsi" w:cs="Times New Roman"/>
          <w:szCs w:val="24"/>
          <w:lang w:val="en-US" w:bidi="ar-SA"/>
        </w:rPr>
        <w:t>4. Age*</w:t>
      </w:r>
    </w:p>
    <w:p w14:paraId="484594B3" w14:textId="77777777" w:rsidR="00C512ED" w:rsidRPr="00C512ED" w:rsidRDefault="00037F74" w:rsidP="00C512ED">
      <w:pPr>
        <w:numPr>
          <w:ilvl w:val="0"/>
          <w:numId w:val="39"/>
        </w:numPr>
        <w:spacing w:after="200" w:line="360" w:lineRule="auto"/>
        <w:ind w:left="720" w:hanging="270"/>
        <w:contextualSpacing/>
        <w:jc w:val="both"/>
        <w:rPr>
          <w:rFonts w:eastAsiaTheme="minorHAnsi" w:cs="Times New Roman"/>
          <w:szCs w:val="24"/>
          <w:lang w:val="en-US" w:bidi="ar-SA"/>
        </w:rPr>
      </w:pPr>
      <w:r w:rsidRPr="00C512ED">
        <w:rPr>
          <w:rFonts w:eastAsiaTheme="minorHAnsi" w:cs="Times New Roman"/>
          <w:szCs w:val="24"/>
          <w:lang w:val="en-US" w:bidi="ar-SA"/>
        </w:rPr>
        <w:t>18-25 Yr.</w:t>
      </w:r>
    </w:p>
    <w:p w14:paraId="30667C2F" w14:textId="77777777" w:rsidR="00C512ED" w:rsidRPr="00C512ED" w:rsidRDefault="00037F74" w:rsidP="00C512ED">
      <w:pPr>
        <w:numPr>
          <w:ilvl w:val="0"/>
          <w:numId w:val="39"/>
        </w:numPr>
        <w:spacing w:after="200" w:line="360" w:lineRule="auto"/>
        <w:ind w:left="720" w:hanging="270"/>
        <w:contextualSpacing/>
        <w:jc w:val="both"/>
        <w:rPr>
          <w:rFonts w:eastAsiaTheme="minorHAnsi" w:cs="Times New Roman"/>
          <w:szCs w:val="24"/>
          <w:lang w:val="en-US" w:bidi="ar-SA"/>
        </w:rPr>
      </w:pPr>
      <w:r w:rsidRPr="00C512ED">
        <w:rPr>
          <w:rFonts w:eastAsiaTheme="minorHAnsi" w:cs="Times New Roman"/>
          <w:szCs w:val="24"/>
          <w:lang w:val="en-US" w:bidi="ar-SA"/>
        </w:rPr>
        <w:t>25-40 Yr.</w:t>
      </w:r>
    </w:p>
    <w:p w14:paraId="66B6D2CA" w14:textId="77777777" w:rsidR="00C512ED" w:rsidRPr="00C512ED" w:rsidRDefault="00037F74" w:rsidP="00C512ED">
      <w:pPr>
        <w:numPr>
          <w:ilvl w:val="0"/>
          <w:numId w:val="39"/>
        </w:numPr>
        <w:spacing w:after="200" w:line="360" w:lineRule="auto"/>
        <w:ind w:left="720" w:hanging="270"/>
        <w:contextualSpacing/>
        <w:jc w:val="both"/>
        <w:rPr>
          <w:rFonts w:eastAsiaTheme="minorHAnsi" w:cs="Times New Roman"/>
          <w:szCs w:val="24"/>
          <w:lang w:val="en-US" w:bidi="ar-SA"/>
        </w:rPr>
      </w:pPr>
      <w:r w:rsidRPr="00C512ED">
        <w:rPr>
          <w:rFonts w:eastAsiaTheme="minorHAnsi" w:cs="Times New Roman"/>
          <w:szCs w:val="24"/>
          <w:lang w:val="en-US" w:bidi="ar-SA"/>
        </w:rPr>
        <w:t>40-60 Yr.</w:t>
      </w:r>
    </w:p>
    <w:p w14:paraId="0EC186AC" w14:textId="77777777" w:rsidR="00C512ED" w:rsidRPr="00C512ED" w:rsidRDefault="00037F74" w:rsidP="00C512ED">
      <w:pPr>
        <w:numPr>
          <w:ilvl w:val="0"/>
          <w:numId w:val="39"/>
        </w:numPr>
        <w:spacing w:after="200" w:line="360" w:lineRule="auto"/>
        <w:ind w:left="720" w:hanging="270"/>
        <w:contextualSpacing/>
        <w:jc w:val="both"/>
        <w:rPr>
          <w:rFonts w:eastAsiaTheme="minorHAnsi" w:cs="Times New Roman"/>
          <w:szCs w:val="24"/>
          <w:lang w:val="en-US" w:bidi="ar-SA"/>
        </w:rPr>
      </w:pPr>
      <w:r w:rsidRPr="00C512ED">
        <w:rPr>
          <w:rFonts w:eastAsiaTheme="minorHAnsi" w:cs="Times New Roman"/>
          <w:szCs w:val="24"/>
          <w:lang w:val="en-US" w:bidi="ar-SA"/>
        </w:rPr>
        <w:t>Above 60 Yr.</w:t>
      </w:r>
    </w:p>
    <w:p w14:paraId="31582E8E" w14:textId="77777777" w:rsidR="00C512ED" w:rsidRPr="00C512ED" w:rsidRDefault="00037F74" w:rsidP="00C512ED">
      <w:pPr>
        <w:spacing w:after="200" w:line="360" w:lineRule="auto"/>
        <w:ind w:left="180" w:firstLine="90"/>
        <w:contextualSpacing/>
        <w:jc w:val="both"/>
        <w:rPr>
          <w:rFonts w:eastAsiaTheme="minorHAnsi" w:cs="Times New Roman"/>
          <w:szCs w:val="24"/>
          <w:lang w:val="en-US" w:bidi="ar-SA"/>
        </w:rPr>
      </w:pPr>
      <w:r w:rsidRPr="00C512ED">
        <w:rPr>
          <w:rFonts w:eastAsiaTheme="minorHAnsi" w:cs="Times New Roman"/>
          <w:szCs w:val="24"/>
          <w:lang w:val="en-US" w:bidi="ar-SA"/>
        </w:rPr>
        <w:t>5. Is the oil industry a significant contributor to the Indian economy?</w:t>
      </w:r>
      <w:r w:rsidR="00EC0417">
        <w:rPr>
          <w:rFonts w:eastAsiaTheme="minorHAnsi" w:cs="Times New Roman"/>
          <w:szCs w:val="24"/>
          <w:lang w:val="en-US" w:bidi="ar-SA"/>
        </w:rPr>
        <w:t xml:space="preserve"> </w:t>
      </w:r>
    </w:p>
    <w:p w14:paraId="1EFECEA9" w14:textId="77777777" w:rsidR="00C512ED" w:rsidRPr="00C512ED" w:rsidRDefault="00037F74" w:rsidP="00C512ED">
      <w:pPr>
        <w:numPr>
          <w:ilvl w:val="0"/>
          <w:numId w:val="40"/>
        </w:numPr>
        <w:spacing w:after="200" w:line="360" w:lineRule="auto"/>
        <w:ind w:left="810" w:hanging="270"/>
        <w:contextualSpacing/>
        <w:jc w:val="both"/>
        <w:rPr>
          <w:rFonts w:eastAsiaTheme="minorHAnsi" w:cs="Times New Roman"/>
          <w:szCs w:val="24"/>
          <w:lang w:val="en-US" w:bidi="ar-SA"/>
        </w:rPr>
      </w:pPr>
      <w:r w:rsidRPr="00C512ED">
        <w:rPr>
          <w:rFonts w:eastAsiaTheme="minorHAnsi" w:cs="Times New Roman"/>
          <w:szCs w:val="24"/>
          <w:lang w:val="en-US" w:bidi="ar-SA"/>
        </w:rPr>
        <w:t>Strongly agree</w:t>
      </w:r>
    </w:p>
    <w:p w14:paraId="304AF167" w14:textId="77777777" w:rsidR="00C512ED" w:rsidRPr="00C512ED" w:rsidRDefault="00037F74" w:rsidP="00C512ED">
      <w:pPr>
        <w:numPr>
          <w:ilvl w:val="0"/>
          <w:numId w:val="40"/>
        </w:numPr>
        <w:spacing w:after="200" w:line="360" w:lineRule="auto"/>
        <w:ind w:left="810" w:hanging="270"/>
        <w:contextualSpacing/>
        <w:jc w:val="both"/>
        <w:rPr>
          <w:rFonts w:eastAsiaTheme="minorHAnsi" w:cs="Times New Roman"/>
          <w:szCs w:val="24"/>
          <w:lang w:val="en-US" w:bidi="ar-SA"/>
        </w:rPr>
      </w:pPr>
      <w:r w:rsidRPr="00C512ED">
        <w:rPr>
          <w:rFonts w:eastAsiaTheme="minorHAnsi" w:cs="Times New Roman"/>
          <w:szCs w:val="24"/>
          <w:lang w:val="en-US" w:bidi="ar-SA"/>
        </w:rPr>
        <w:t>Agree</w:t>
      </w:r>
    </w:p>
    <w:p w14:paraId="461BC540" w14:textId="77777777" w:rsidR="00C512ED" w:rsidRPr="00C512ED" w:rsidRDefault="00037F74" w:rsidP="00C512ED">
      <w:pPr>
        <w:numPr>
          <w:ilvl w:val="0"/>
          <w:numId w:val="40"/>
        </w:numPr>
        <w:spacing w:after="200" w:line="360" w:lineRule="auto"/>
        <w:ind w:left="810" w:hanging="270"/>
        <w:contextualSpacing/>
        <w:jc w:val="both"/>
        <w:rPr>
          <w:rFonts w:eastAsiaTheme="minorHAnsi" w:cs="Times New Roman"/>
          <w:szCs w:val="24"/>
          <w:lang w:val="en-US" w:bidi="ar-SA"/>
        </w:rPr>
      </w:pPr>
      <w:r w:rsidRPr="00C512ED">
        <w:rPr>
          <w:rFonts w:eastAsiaTheme="minorHAnsi" w:cs="Times New Roman"/>
          <w:szCs w:val="24"/>
          <w:lang w:val="en-US" w:bidi="ar-SA"/>
        </w:rPr>
        <w:lastRenderedPageBreak/>
        <w:t>Neutral</w:t>
      </w:r>
    </w:p>
    <w:p w14:paraId="326AF102" w14:textId="77777777" w:rsidR="00C512ED" w:rsidRPr="00C512ED" w:rsidRDefault="00037F74" w:rsidP="00C512ED">
      <w:pPr>
        <w:numPr>
          <w:ilvl w:val="0"/>
          <w:numId w:val="40"/>
        </w:numPr>
        <w:spacing w:after="200" w:line="360" w:lineRule="auto"/>
        <w:ind w:left="810" w:hanging="270"/>
        <w:contextualSpacing/>
        <w:jc w:val="both"/>
        <w:rPr>
          <w:rFonts w:eastAsiaTheme="minorHAnsi" w:cs="Times New Roman"/>
          <w:szCs w:val="24"/>
          <w:lang w:val="en-US" w:bidi="ar-SA"/>
        </w:rPr>
      </w:pPr>
      <w:r w:rsidRPr="00C512ED">
        <w:rPr>
          <w:rFonts w:eastAsiaTheme="minorHAnsi" w:cs="Times New Roman"/>
          <w:szCs w:val="24"/>
          <w:lang w:val="en-US" w:bidi="ar-SA"/>
        </w:rPr>
        <w:t>Disagree</w:t>
      </w:r>
    </w:p>
    <w:p w14:paraId="4BAC9B83" w14:textId="77777777" w:rsidR="00C512ED" w:rsidRPr="00C512ED" w:rsidRDefault="00037F74" w:rsidP="00C512ED">
      <w:pPr>
        <w:spacing w:after="200" w:line="360" w:lineRule="auto"/>
        <w:ind w:left="360" w:hanging="90"/>
        <w:contextualSpacing/>
        <w:jc w:val="both"/>
        <w:rPr>
          <w:rFonts w:eastAsiaTheme="minorHAnsi" w:cs="Times New Roman"/>
          <w:szCs w:val="24"/>
          <w:lang w:val="en-US" w:bidi="ar-SA"/>
        </w:rPr>
      </w:pPr>
      <w:r w:rsidRPr="00C512ED">
        <w:rPr>
          <w:rFonts w:eastAsiaTheme="minorHAnsi" w:cs="Times New Roman"/>
          <w:szCs w:val="24"/>
          <w:lang w:val="en-US" w:bidi="ar-SA"/>
        </w:rPr>
        <w:t xml:space="preserve">6. </w:t>
      </w:r>
      <w:r w:rsidRPr="00C512ED">
        <w:rPr>
          <w:rFonts w:eastAsiaTheme="minorHAnsi" w:cs="Times New Roman"/>
          <w:color w:val="000000"/>
          <w:szCs w:val="24"/>
          <w:lang w:val="en-US" w:bidi="ar-SA"/>
        </w:rPr>
        <w:t>Select the ratios which are the most relevant one for proper analysis of companies working in the oil industry according to you. (Any 4) *</w:t>
      </w:r>
    </w:p>
    <w:p w14:paraId="37D6DCDD" w14:textId="77777777" w:rsidR="00C512ED" w:rsidRPr="00C512ED" w:rsidRDefault="00037F74" w:rsidP="00C512ED">
      <w:pPr>
        <w:numPr>
          <w:ilvl w:val="0"/>
          <w:numId w:val="41"/>
        </w:numPr>
        <w:spacing w:after="200" w:line="360" w:lineRule="auto"/>
        <w:ind w:hanging="180"/>
        <w:contextualSpacing/>
        <w:jc w:val="both"/>
        <w:rPr>
          <w:rFonts w:eastAsiaTheme="minorHAnsi" w:cs="Times New Roman"/>
          <w:szCs w:val="24"/>
          <w:lang w:val="en-US" w:bidi="ar-SA"/>
        </w:rPr>
      </w:pPr>
      <w:r w:rsidRPr="00C512ED">
        <w:rPr>
          <w:rFonts w:eastAsiaTheme="minorHAnsi" w:cs="Times New Roman"/>
          <w:color w:val="000000"/>
          <w:szCs w:val="24"/>
          <w:lang w:val="en-US" w:bidi="ar-SA"/>
        </w:rPr>
        <w:t>Debt-to- Equity = It's a financial leverage ratio that indicates what proportion of equity and debt is there in a company.</w:t>
      </w:r>
    </w:p>
    <w:p w14:paraId="48E3CFD2" w14:textId="77777777" w:rsidR="00C512ED" w:rsidRPr="00C512ED" w:rsidRDefault="00037F74" w:rsidP="00C512ED">
      <w:pPr>
        <w:numPr>
          <w:ilvl w:val="0"/>
          <w:numId w:val="41"/>
        </w:numPr>
        <w:spacing w:after="200" w:line="360" w:lineRule="auto"/>
        <w:ind w:hanging="180"/>
        <w:contextualSpacing/>
        <w:jc w:val="both"/>
        <w:rPr>
          <w:rFonts w:eastAsiaTheme="minorHAnsi" w:cs="Times New Roman"/>
          <w:szCs w:val="24"/>
          <w:lang w:val="en-US" w:bidi="ar-SA"/>
        </w:rPr>
      </w:pPr>
      <w:r w:rsidRPr="00C512ED">
        <w:rPr>
          <w:rFonts w:eastAsiaTheme="minorHAnsi" w:cs="Times New Roman"/>
          <w:color w:val="000000"/>
          <w:szCs w:val="24"/>
          <w:lang w:val="en-US" w:bidi="ar-SA"/>
        </w:rPr>
        <w:t>EBIT/Interest Expense = Determines the firm's ability to pay interest on outstanding debt.</w:t>
      </w:r>
    </w:p>
    <w:p w14:paraId="66A87458" w14:textId="77777777" w:rsidR="00C512ED" w:rsidRPr="00C512ED" w:rsidRDefault="00037F74" w:rsidP="00C512ED">
      <w:pPr>
        <w:numPr>
          <w:ilvl w:val="0"/>
          <w:numId w:val="41"/>
        </w:numPr>
        <w:spacing w:after="200" w:line="360" w:lineRule="auto"/>
        <w:ind w:hanging="180"/>
        <w:contextualSpacing/>
        <w:jc w:val="both"/>
        <w:rPr>
          <w:rFonts w:eastAsiaTheme="minorHAnsi" w:cs="Times New Roman"/>
          <w:szCs w:val="24"/>
          <w:lang w:val="en-US" w:bidi="ar-SA"/>
        </w:rPr>
      </w:pPr>
      <w:r w:rsidRPr="00C512ED">
        <w:rPr>
          <w:rFonts w:eastAsiaTheme="minorHAnsi" w:cs="Times New Roman"/>
          <w:color w:val="000000"/>
          <w:szCs w:val="24"/>
          <w:lang w:val="en-US" w:bidi="ar-SA"/>
        </w:rPr>
        <w:t>Return on equity = Measures a company's profitability based on profit a company generates with the shareholder's fund.</w:t>
      </w:r>
    </w:p>
    <w:p w14:paraId="678431A1" w14:textId="77777777" w:rsidR="00C512ED" w:rsidRPr="00C512ED" w:rsidRDefault="00037F74" w:rsidP="00C512ED">
      <w:pPr>
        <w:numPr>
          <w:ilvl w:val="0"/>
          <w:numId w:val="41"/>
        </w:numPr>
        <w:spacing w:after="200" w:line="360" w:lineRule="auto"/>
        <w:ind w:hanging="180"/>
        <w:contextualSpacing/>
        <w:jc w:val="both"/>
        <w:rPr>
          <w:rFonts w:eastAsiaTheme="minorHAnsi" w:cs="Times New Roman"/>
          <w:szCs w:val="24"/>
          <w:lang w:val="en-US" w:bidi="ar-SA"/>
        </w:rPr>
      </w:pPr>
      <w:r w:rsidRPr="00C512ED">
        <w:rPr>
          <w:rFonts w:eastAsiaTheme="minorHAnsi" w:cs="Times New Roman"/>
          <w:color w:val="000000"/>
          <w:szCs w:val="24"/>
          <w:lang w:val="en-US" w:bidi="ar-SA"/>
        </w:rPr>
        <w:t>Return on Asset = Indicates how profitable a company is relative to its total assets.</w:t>
      </w:r>
    </w:p>
    <w:p w14:paraId="5570C946" w14:textId="77777777" w:rsidR="00C512ED" w:rsidRPr="00C512ED" w:rsidRDefault="00037F74" w:rsidP="00C512ED">
      <w:pPr>
        <w:numPr>
          <w:ilvl w:val="0"/>
          <w:numId w:val="41"/>
        </w:numPr>
        <w:spacing w:after="200" w:line="360" w:lineRule="auto"/>
        <w:ind w:hanging="180"/>
        <w:contextualSpacing/>
        <w:jc w:val="both"/>
        <w:rPr>
          <w:rFonts w:eastAsiaTheme="minorHAnsi" w:cs="Times New Roman"/>
          <w:szCs w:val="24"/>
          <w:lang w:val="en-US" w:bidi="ar-SA"/>
        </w:rPr>
      </w:pPr>
      <w:r w:rsidRPr="00C512ED">
        <w:rPr>
          <w:rFonts w:eastAsiaTheme="minorHAnsi" w:cs="Times New Roman"/>
          <w:color w:val="000000"/>
          <w:szCs w:val="24"/>
          <w:lang w:val="en-US" w:bidi="ar-SA"/>
        </w:rPr>
        <w:t>Working capital Ratio = Measures a firm’s ability to pay off its current liabilities with current assets.</w:t>
      </w:r>
    </w:p>
    <w:p w14:paraId="62E66FD3" w14:textId="77777777" w:rsidR="00C512ED" w:rsidRPr="00C512ED" w:rsidRDefault="00037F74" w:rsidP="00C512ED">
      <w:pPr>
        <w:numPr>
          <w:ilvl w:val="0"/>
          <w:numId w:val="41"/>
        </w:numPr>
        <w:spacing w:after="200" w:line="360" w:lineRule="auto"/>
        <w:ind w:hanging="180"/>
        <w:contextualSpacing/>
        <w:jc w:val="both"/>
        <w:rPr>
          <w:rFonts w:eastAsiaTheme="minorHAnsi" w:cs="Times New Roman"/>
          <w:szCs w:val="24"/>
          <w:lang w:val="en-US" w:bidi="ar-SA"/>
        </w:rPr>
      </w:pPr>
      <w:r w:rsidRPr="00C512ED">
        <w:rPr>
          <w:rFonts w:eastAsiaTheme="minorHAnsi" w:cs="Times New Roman"/>
          <w:color w:val="000000"/>
          <w:szCs w:val="24"/>
          <w:lang w:val="en-US" w:bidi="ar-SA"/>
        </w:rPr>
        <w:t>Asset turnover ratio = Measures the efficiency of a company's assets to generate revenue or sales.</w:t>
      </w:r>
    </w:p>
    <w:p w14:paraId="3D5CD2FC" w14:textId="77777777" w:rsidR="00C512ED" w:rsidRPr="00C512ED" w:rsidRDefault="00037F74" w:rsidP="00C512ED">
      <w:pPr>
        <w:numPr>
          <w:ilvl w:val="0"/>
          <w:numId w:val="41"/>
        </w:numPr>
        <w:spacing w:after="200" w:line="360" w:lineRule="auto"/>
        <w:ind w:hanging="180"/>
        <w:contextualSpacing/>
        <w:jc w:val="both"/>
        <w:rPr>
          <w:rFonts w:eastAsiaTheme="minorHAnsi" w:cs="Times New Roman"/>
          <w:szCs w:val="24"/>
          <w:lang w:val="en-US" w:bidi="ar-SA"/>
        </w:rPr>
      </w:pPr>
      <w:r w:rsidRPr="00C512ED">
        <w:rPr>
          <w:rFonts w:eastAsiaTheme="minorHAnsi" w:cs="Times New Roman"/>
          <w:color w:val="000000"/>
          <w:szCs w:val="24"/>
          <w:lang w:val="en-US" w:bidi="ar-SA"/>
        </w:rPr>
        <w:t xml:space="preserve"> Operating Margin = Measures how profit a company makes on a dollar of sales, after paying for variable costs of production but before paying interest or tax. </w:t>
      </w:r>
    </w:p>
    <w:p w14:paraId="2D16E584" w14:textId="77777777" w:rsidR="00C512ED" w:rsidRPr="00356D25" w:rsidRDefault="00037F74" w:rsidP="00C512ED">
      <w:pPr>
        <w:numPr>
          <w:ilvl w:val="0"/>
          <w:numId w:val="41"/>
        </w:numPr>
        <w:spacing w:after="200" w:line="360" w:lineRule="auto"/>
        <w:ind w:hanging="180"/>
        <w:contextualSpacing/>
        <w:jc w:val="both"/>
        <w:rPr>
          <w:rFonts w:eastAsiaTheme="minorHAnsi" w:cs="Times New Roman"/>
          <w:szCs w:val="24"/>
          <w:lang w:val="en-US" w:bidi="ar-SA"/>
        </w:rPr>
      </w:pPr>
      <w:r w:rsidRPr="00C512ED">
        <w:rPr>
          <w:rFonts w:eastAsiaTheme="minorHAnsi" w:cs="Times New Roman"/>
          <w:color w:val="000000"/>
          <w:szCs w:val="24"/>
          <w:lang w:val="en-US" w:bidi="ar-SA"/>
        </w:rPr>
        <w:t>Price to Book value = Measures whether or not a company's stock price is undervalued</w:t>
      </w:r>
    </w:p>
    <w:p w14:paraId="626FB5DE" w14:textId="77777777" w:rsidR="006564AA" w:rsidRPr="00356D25" w:rsidRDefault="00356D25">
      <w:pPr>
        <w:rPr>
          <w:rFonts w:eastAsiaTheme="minorHAnsi" w:cs="Times New Roman"/>
          <w:color w:val="000000"/>
          <w:szCs w:val="24"/>
          <w:lang w:val="en-US" w:bidi="ar-SA"/>
        </w:rPr>
      </w:pPr>
      <w:r>
        <w:rPr>
          <w:rFonts w:eastAsiaTheme="minorHAnsi" w:cs="Times New Roman"/>
          <w:color w:val="000000"/>
          <w:szCs w:val="24"/>
          <w:lang w:val="en-US" w:bidi="ar-SA"/>
        </w:rPr>
        <w:br w:type="page"/>
      </w:r>
    </w:p>
    <w:p w14:paraId="72A0F956" w14:textId="77777777" w:rsidR="006564AA" w:rsidRDefault="00037F74" w:rsidP="00F34861">
      <w:pPr>
        <w:pStyle w:val="Heading1"/>
      </w:pPr>
      <w:bookmarkStart w:id="34" w:name="_Toc36752013"/>
      <w:r>
        <w:lastRenderedPageBreak/>
        <w:t>1</w:t>
      </w:r>
      <w:r w:rsidR="003D7BE8">
        <w:t>4</w:t>
      </w:r>
      <w:r>
        <w:t>. References</w:t>
      </w:r>
      <w:bookmarkEnd w:id="34"/>
    </w:p>
    <w:p w14:paraId="248A4377" w14:textId="77777777" w:rsidR="006564AA" w:rsidRDefault="00037F74">
      <w:pPr>
        <w:pStyle w:val="ListParagraph"/>
        <w:numPr>
          <w:ilvl w:val="0"/>
          <w:numId w:val="13"/>
        </w:numPr>
        <w:spacing w:line="360" w:lineRule="auto"/>
        <w:jc w:val="both"/>
        <w:rPr>
          <w:rFonts w:cs="Times New Roman"/>
          <w:szCs w:val="24"/>
        </w:rPr>
      </w:pPr>
      <w:r>
        <w:rPr>
          <w:rFonts w:cs="Times New Roman"/>
          <w:szCs w:val="24"/>
        </w:rPr>
        <w:t xml:space="preserve">Malone, D., Fries, C., &amp; Jones, T. (1993). An Empirical Investigation of The Extent of Corporate Financial Disclosure </w:t>
      </w:r>
      <w:proofErr w:type="gramStart"/>
      <w:r>
        <w:rPr>
          <w:rFonts w:cs="Times New Roman"/>
          <w:szCs w:val="24"/>
        </w:rPr>
        <w:t>In</w:t>
      </w:r>
      <w:proofErr w:type="gramEnd"/>
      <w:r>
        <w:rPr>
          <w:rFonts w:cs="Times New Roman"/>
          <w:szCs w:val="24"/>
        </w:rPr>
        <w:t xml:space="preserve"> The Oil And Gas Industry. Journal of Accounting, Auditing &amp; Finance.</w:t>
      </w:r>
    </w:p>
    <w:p w14:paraId="674B035F" w14:textId="77777777" w:rsidR="006564AA" w:rsidRDefault="00037F74">
      <w:pPr>
        <w:pStyle w:val="ListParagraph"/>
        <w:numPr>
          <w:ilvl w:val="0"/>
          <w:numId w:val="13"/>
        </w:numPr>
        <w:spacing w:line="360" w:lineRule="auto"/>
        <w:jc w:val="both"/>
        <w:rPr>
          <w:rFonts w:cs="Times New Roman"/>
          <w:szCs w:val="24"/>
        </w:rPr>
      </w:pPr>
      <w:proofErr w:type="spellStart"/>
      <w:r>
        <w:rPr>
          <w:rFonts w:cs="Times New Roman"/>
          <w:szCs w:val="24"/>
        </w:rPr>
        <w:t>Sakariya</w:t>
      </w:r>
      <w:proofErr w:type="spellEnd"/>
      <w:r>
        <w:rPr>
          <w:rFonts w:cs="Times New Roman"/>
          <w:szCs w:val="24"/>
        </w:rPr>
        <w:t>, Sanjay. (2011). Indian Oil and Gas Industry - An Overview. The Case Centre.</w:t>
      </w:r>
    </w:p>
    <w:p w14:paraId="43CD36DE" w14:textId="77777777" w:rsidR="006564AA" w:rsidRDefault="00037F74">
      <w:pPr>
        <w:pStyle w:val="ListParagraph"/>
        <w:numPr>
          <w:ilvl w:val="0"/>
          <w:numId w:val="13"/>
        </w:numPr>
        <w:spacing w:line="360" w:lineRule="auto"/>
        <w:jc w:val="both"/>
        <w:rPr>
          <w:rFonts w:cs="Times New Roman"/>
          <w:szCs w:val="24"/>
        </w:rPr>
      </w:pPr>
      <w:r>
        <w:rPr>
          <w:rFonts w:cs="Times New Roman"/>
          <w:szCs w:val="24"/>
        </w:rPr>
        <w:t xml:space="preserve">Bansal, Dr Rohit &amp; Kar, Sanjay &amp; Mishra, </w:t>
      </w:r>
      <w:proofErr w:type="spellStart"/>
      <w:r>
        <w:rPr>
          <w:rFonts w:cs="Times New Roman"/>
          <w:szCs w:val="24"/>
        </w:rPr>
        <w:t>Dr.</w:t>
      </w:r>
      <w:proofErr w:type="spellEnd"/>
      <w:r>
        <w:rPr>
          <w:rFonts w:cs="Times New Roman"/>
          <w:szCs w:val="24"/>
        </w:rPr>
        <w:t xml:space="preserve"> (2015). Comparative Financial Performance Analysis of Indian Oil Companies During 2010-2014. Archives of Business Research.</w:t>
      </w:r>
    </w:p>
    <w:p w14:paraId="32BEB6F2" w14:textId="77777777" w:rsidR="006564AA" w:rsidRDefault="00037F74">
      <w:pPr>
        <w:pStyle w:val="ListParagraph"/>
        <w:numPr>
          <w:ilvl w:val="0"/>
          <w:numId w:val="13"/>
        </w:numPr>
        <w:spacing w:line="360" w:lineRule="auto"/>
        <w:jc w:val="both"/>
        <w:rPr>
          <w:rFonts w:cs="Times New Roman"/>
          <w:szCs w:val="24"/>
        </w:rPr>
      </w:pPr>
      <w:r>
        <w:rPr>
          <w:rFonts w:cs="Times New Roman"/>
          <w:szCs w:val="24"/>
        </w:rPr>
        <w:t>Petroleum Planning and Analysis Cell (Petroleum Planning &amp; Analysis Cell), New Delhi.</w:t>
      </w:r>
    </w:p>
    <w:p w14:paraId="597D22A7" w14:textId="77777777" w:rsidR="006564AA" w:rsidRDefault="00037F74">
      <w:pPr>
        <w:pStyle w:val="ListParagraph"/>
        <w:numPr>
          <w:ilvl w:val="0"/>
          <w:numId w:val="13"/>
        </w:numPr>
        <w:spacing w:line="360" w:lineRule="auto"/>
        <w:jc w:val="both"/>
        <w:rPr>
          <w:rFonts w:cs="Times New Roman"/>
          <w:szCs w:val="24"/>
        </w:rPr>
      </w:pPr>
      <w:r>
        <w:rPr>
          <w:rFonts w:cs="Times New Roman"/>
          <w:szCs w:val="24"/>
        </w:rPr>
        <w:t xml:space="preserve">Rangarajan, C.R. Sah And K.S. Reddy ‗Impact </w:t>
      </w:r>
      <w:r w:rsidR="00E25A03">
        <w:rPr>
          <w:rFonts w:cs="Times New Roman"/>
          <w:szCs w:val="24"/>
        </w:rPr>
        <w:t>o</w:t>
      </w:r>
      <w:r>
        <w:rPr>
          <w:rFonts w:cs="Times New Roman"/>
          <w:szCs w:val="24"/>
        </w:rPr>
        <w:t xml:space="preserve">f Hike </w:t>
      </w:r>
      <w:proofErr w:type="gramStart"/>
      <w:r>
        <w:rPr>
          <w:rFonts w:cs="Times New Roman"/>
          <w:szCs w:val="24"/>
        </w:rPr>
        <w:t>In</w:t>
      </w:r>
      <w:proofErr w:type="gramEnd"/>
      <w:r>
        <w:rPr>
          <w:rFonts w:cs="Times New Roman"/>
          <w:szCs w:val="24"/>
        </w:rPr>
        <w:t xml:space="preserve"> Prices Of Coal And Petroleum Products On The Other Sectors Of The Economy: An Application Of Input-Output Technique, </w:t>
      </w:r>
      <w:proofErr w:type="spellStart"/>
      <w:r>
        <w:rPr>
          <w:rFonts w:cs="Times New Roman"/>
          <w:szCs w:val="24"/>
        </w:rPr>
        <w:t>Artha</w:t>
      </w:r>
      <w:proofErr w:type="spellEnd"/>
      <w:r>
        <w:rPr>
          <w:rFonts w:cs="Times New Roman"/>
          <w:szCs w:val="24"/>
        </w:rPr>
        <w:t xml:space="preserve"> </w:t>
      </w:r>
      <w:proofErr w:type="spellStart"/>
      <w:r>
        <w:rPr>
          <w:rFonts w:cs="Times New Roman"/>
          <w:szCs w:val="24"/>
        </w:rPr>
        <w:t>Vignana</w:t>
      </w:r>
      <w:proofErr w:type="spellEnd"/>
      <w:r>
        <w:rPr>
          <w:rFonts w:cs="Times New Roman"/>
          <w:szCs w:val="24"/>
        </w:rPr>
        <w:t>, 23, Pp 176-81.</w:t>
      </w:r>
    </w:p>
    <w:p w14:paraId="30A7381C" w14:textId="77777777" w:rsidR="006564AA" w:rsidRDefault="00037F74">
      <w:pPr>
        <w:pStyle w:val="ListParagraph"/>
        <w:numPr>
          <w:ilvl w:val="0"/>
          <w:numId w:val="13"/>
        </w:numPr>
        <w:spacing w:line="360" w:lineRule="auto"/>
        <w:jc w:val="both"/>
        <w:rPr>
          <w:rFonts w:cs="Times New Roman"/>
          <w:szCs w:val="24"/>
        </w:rPr>
      </w:pPr>
      <w:r>
        <w:rPr>
          <w:rFonts w:cs="Times New Roman"/>
          <w:szCs w:val="24"/>
        </w:rPr>
        <w:t xml:space="preserve">Megginson, W L, Nash, R C and Van </w:t>
      </w:r>
      <w:proofErr w:type="spellStart"/>
      <w:r>
        <w:rPr>
          <w:rFonts w:cs="Times New Roman"/>
          <w:szCs w:val="24"/>
        </w:rPr>
        <w:t>Randenborgh</w:t>
      </w:r>
      <w:proofErr w:type="spellEnd"/>
      <w:r>
        <w:rPr>
          <w:rFonts w:cs="Times New Roman"/>
          <w:szCs w:val="24"/>
        </w:rPr>
        <w:t>, M (1994). “The Financial and Operating Performance of Newly Privatised Firms: An International Empirical Analysis,” Journal of Finance, XLIX (2), 403-452.</w:t>
      </w:r>
    </w:p>
    <w:p w14:paraId="1A20630A" w14:textId="77777777" w:rsidR="006564AA" w:rsidRDefault="00037F74">
      <w:pPr>
        <w:pStyle w:val="ListParagraph"/>
        <w:numPr>
          <w:ilvl w:val="0"/>
          <w:numId w:val="13"/>
        </w:numPr>
        <w:spacing w:line="360" w:lineRule="auto"/>
        <w:jc w:val="both"/>
        <w:rPr>
          <w:rFonts w:cs="Times New Roman"/>
          <w:szCs w:val="24"/>
        </w:rPr>
      </w:pPr>
      <w:r>
        <w:rPr>
          <w:rFonts w:cs="Times New Roman"/>
          <w:szCs w:val="24"/>
        </w:rPr>
        <w:t>Pandey, I. M. (2010). Financial Management (10th Ed.). New Delhi: Vikas Publishing House Pvt Ltd.</w:t>
      </w:r>
    </w:p>
    <w:p w14:paraId="67843A71" w14:textId="77777777" w:rsidR="006564AA" w:rsidRDefault="00037F74">
      <w:pPr>
        <w:pStyle w:val="ListParagraph"/>
        <w:numPr>
          <w:ilvl w:val="0"/>
          <w:numId w:val="13"/>
        </w:numPr>
        <w:spacing w:line="360" w:lineRule="auto"/>
        <w:jc w:val="both"/>
        <w:rPr>
          <w:rFonts w:cs="Times New Roman"/>
          <w:szCs w:val="24"/>
        </w:rPr>
      </w:pPr>
      <w:proofErr w:type="spellStart"/>
      <w:r>
        <w:rPr>
          <w:rFonts w:cs="Times New Roman"/>
          <w:szCs w:val="24"/>
        </w:rPr>
        <w:t>Hooda</w:t>
      </w:r>
      <w:proofErr w:type="spellEnd"/>
      <w:r>
        <w:rPr>
          <w:rFonts w:cs="Times New Roman"/>
          <w:szCs w:val="24"/>
        </w:rPr>
        <w:t xml:space="preserve">, R., 2018. Financial Performance Analysis </w:t>
      </w:r>
      <w:proofErr w:type="gramStart"/>
      <w:r>
        <w:rPr>
          <w:rFonts w:cs="Times New Roman"/>
          <w:szCs w:val="24"/>
        </w:rPr>
        <w:t>Of</w:t>
      </w:r>
      <w:proofErr w:type="gramEnd"/>
      <w:r>
        <w:rPr>
          <w:rFonts w:cs="Times New Roman"/>
          <w:szCs w:val="24"/>
        </w:rPr>
        <w:t xml:space="preserve"> Indian Oil Corporation Limited.</w:t>
      </w:r>
    </w:p>
    <w:p w14:paraId="56C2E9A6" w14:textId="77777777" w:rsidR="006564AA" w:rsidRPr="0016650E" w:rsidRDefault="00037F74" w:rsidP="001F5B0C">
      <w:pPr>
        <w:pStyle w:val="ListParagraph"/>
        <w:numPr>
          <w:ilvl w:val="0"/>
          <w:numId w:val="13"/>
        </w:numPr>
        <w:spacing w:line="360" w:lineRule="auto"/>
        <w:jc w:val="both"/>
        <w:rPr>
          <w:rFonts w:cs="Times New Roman"/>
          <w:szCs w:val="24"/>
        </w:rPr>
      </w:pPr>
      <w:r w:rsidRPr="0016650E">
        <w:rPr>
          <w:rFonts w:cs="Times New Roman"/>
          <w:szCs w:val="24"/>
        </w:rPr>
        <w:t xml:space="preserve">Yadav, Santosh &amp; Kapoor, Rohit &amp; </w:t>
      </w:r>
      <w:proofErr w:type="spellStart"/>
      <w:r w:rsidRPr="0016650E">
        <w:rPr>
          <w:rFonts w:cs="Times New Roman"/>
          <w:szCs w:val="24"/>
        </w:rPr>
        <w:t>Dhaigude</w:t>
      </w:r>
      <w:proofErr w:type="spellEnd"/>
      <w:r w:rsidRPr="0016650E">
        <w:rPr>
          <w:rFonts w:cs="Times New Roman"/>
          <w:szCs w:val="24"/>
        </w:rPr>
        <w:t xml:space="preserve">, Amol. (2016). Financial performance ranking of oil and gas companies in India using </w:t>
      </w:r>
      <w:proofErr w:type="spellStart"/>
      <w:r w:rsidRPr="0016650E">
        <w:rPr>
          <w:rFonts w:cs="Times New Roman"/>
          <w:szCs w:val="24"/>
        </w:rPr>
        <w:t>topsis</w:t>
      </w:r>
      <w:proofErr w:type="spellEnd"/>
      <w:r w:rsidRPr="0016650E">
        <w:rPr>
          <w:rFonts w:cs="Times New Roman"/>
          <w:szCs w:val="24"/>
        </w:rPr>
        <w:t xml:space="preserve"> method. International Journal of Business Excellence. 14. 4463-4473. 10.1504/IJBEX.2018.10015928.</w:t>
      </w:r>
    </w:p>
    <w:sectPr w:rsidR="006564AA" w:rsidRPr="0016650E" w:rsidSect="00194F5C">
      <w:headerReference w:type="even" r:id="rId53"/>
      <w:headerReference w:type="default" r:id="rId54"/>
      <w:footerReference w:type="even" r:id="rId55"/>
      <w:footerReference w:type="default" r:id="rId56"/>
      <w:headerReference w:type="first" r:id="rId57"/>
      <w:footerReference w:type="first" r:id="rId58"/>
      <w:type w:val="continuous"/>
      <w:pgSz w:w="11906" w:h="16838"/>
      <w:pgMar w:top="1440" w:right="1558" w:bottom="1440" w:left="2155" w:header="709" w:footer="709"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69E95" w14:textId="77777777" w:rsidR="00196AA0" w:rsidRDefault="00196AA0">
      <w:r>
        <w:separator/>
      </w:r>
    </w:p>
  </w:endnote>
  <w:endnote w:type="continuationSeparator" w:id="0">
    <w:p w14:paraId="21204CDF" w14:textId="77777777" w:rsidR="00196AA0" w:rsidRDefault="0019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C36DD" w14:textId="77777777" w:rsidR="00E24529" w:rsidRDefault="00E24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DFDC6" w14:textId="77777777" w:rsidR="00350D12" w:rsidRDefault="00350D12">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spacing w:val="60"/>
      </w:rPr>
      <w:t>Page</w:t>
    </w:r>
  </w:p>
  <w:p w14:paraId="47DD4E8D" w14:textId="77777777" w:rsidR="00350D12" w:rsidRDefault="00350D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C41B1" w14:textId="77777777" w:rsidR="00E24529" w:rsidRDefault="00E24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948BB" w14:textId="77777777" w:rsidR="00196AA0" w:rsidRDefault="00196AA0">
      <w:r>
        <w:separator/>
      </w:r>
    </w:p>
  </w:footnote>
  <w:footnote w:type="continuationSeparator" w:id="0">
    <w:p w14:paraId="27E23F7E" w14:textId="77777777" w:rsidR="00196AA0" w:rsidRDefault="00196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72431" w14:textId="77777777" w:rsidR="00E24529" w:rsidRDefault="00E24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898942"/>
      <w:docPartObj>
        <w:docPartGallery w:val="Watermarks"/>
        <w:docPartUnique/>
      </w:docPartObj>
    </w:sdtPr>
    <w:sdtContent>
      <w:p w14:paraId="77DF5E48" w14:textId="40D8F28A" w:rsidR="00E24529" w:rsidRDefault="00E24529">
        <w:pPr>
          <w:pStyle w:val="Header"/>
        </w:pPr>
        <w:r>
          <w:rPr>
            <w:noProof/>
          </w:rPr>
          <w:pict w14:anchorId="1A50F3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D4AF2" w14:textId="77777777" w:rsidR="00E24529" w:rsidRDefault="00E24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6EA0232"/>
    <w:lvl w:ilvl="0" w:tplc="11D8F34A">
      <w:start w:val="1"/>
      <w:numFmt w:val="decimal"/>
      <w:lvlText w:val="%1."/>
      <w:lvlJc w:val="left"/>
      <w:pPr>
        <w:ind w:left="720" w:hanging="360"/>
      </w:pPr>
    </w:lvl>
    <w:lvl w:ilvl="1" w:tplc="F3083F1E">
      <w:start w:val="1"/>
      <w:numFmt w:val="lowerLetter"/>
      <w:lvlText w:val="%2."/>
      <w:lvlJc w:val="left"/>
      <w:pPr>
        <w:ind w:left="1440" w:hanging="360"/>
      </w:pPr>
    </w:lvl>
    <w:lvl w:ilvl="2" w:tplc="CC88F87C">
      <w:start w:val="1"/>
      <w:numFmt w:val="lowerRoman"/>
      <w:lvlText w:val="%3."/>
      <w:lvlJc w:val="right"/>
      <w:pPr>
        <w:ind w:left="2160" w:hanging="180"/>
      </w:pPr>
    </w:lvl>
    <w:lvl w:ilvl="3" w:tplc="40A20F34">
      <w:start w:val="1"/>
      <w:numFmt w:val="decimal"/>
      <w:lvlText w:val="%4."/>
      <w:lvlJc w:val="left"/>
      <w:pPr>
        <w:ind w:left="2880" w:hanging="360"/>
      </w:pPr>
    </w:lvl>
    <w:lvl w:ilvl="4" w:tplc="C0ECCED8">
      <w:start w:val="1"/>
      <w:numFmt w:val="lowerLetter"/>
      <w:lvlText w:val="%5."/>
      <w:lvlJc w:val="left"/>
      <w:pPr>
        <w:ind w:left="3600" w:hanging="360"/>
      </w:pPr>
    </w:lvl>
    <w:lvl w:ilvl="5" w:tplc="E4E85996">
      <w:start w:val="1"/>
      <w:numFmt w:val="lowerRoman"/>
      <w:lvlText w:val="%6."/>
      <w:lvlJc w:val="right"/>
      <w:pPr>
        <w:ind w:left="4320" w:hanging="180"/>
      </w:pPr>
    </w:lvl>
    <w:lvl w:ilvl="6" w:tplc="2BA0F382">
      <w:start w:val="1"/>
      <w:numFmt w:val="decimal"/>
      <w:lvlText w:val="%7."/>
      <w:lvlJc w:val="left"/>
      <w:pPr>
        <w:ind w:left="5040" w:hanging="360"/>
      </w:pPr>
    </w:lvl>
    <w:lvl w:ilvl="7" w:tplc="77044CF6">
      <w:start w:val="1"/>
      <w:numFmt w:val="lowerLetter"/>
      <w:lvlText w:val="%8."/>
      <w:lvlJc w:val="left"/>
      <w:pPr>
        <w:ind w:left="5760" w:hanging="360"/>
      </w:pPr>
    </w:lvl>
    <w:lvl w:ilvl="8" w:tplc="06184600">
      <w:start w:val="1"/>
      <w:numFmt w:val="lowerRoman"/>
      <w:lvlText w:val="%9."/>
      <w:lvlJc w:val="right"/>
      <w:pPr>
        <w:ind w:left="6480" w:hanging="180"/>
      </w:pPr>
    </w:lvl>
  </w:abstractNum>
  <w:abstractNum w:abstractNumId="1" w15:restartNumberingAfterBreak="0">
    <w:nsid w:val="00000002"/>
    <w:multiLevelType w:val="hybridMultilevel"/>
    <w:tmpl w:val="E0884F6A"/>
    <w:lvl w:ilvl="0" w:tplc="F79A9BA6">
      <w:start w:val="1"/>
      <w:numFmt w:val="upperLetter"/>
      <w:pStyle w:val="Heading3"/>
      <w:lvlText w:val="%1."/>
      <w:lvlJc w:val="left"/>
      <w:pPr>
        <w:ind w:left="720" w:hanging="360"/>
      </w:pPr>
      <w:rPr>
        <w:rFonts w:hint="default"/>
      </w:rPr>
    </w:lvl>
    <w:lvl w:ilvl="1" w:tplc="B29459DE" w:tentative="1">
      <w:start w:val="1"/>
      <w:numFmt w:val="lowerLetter"/>
      <w:lvlText w:val="%2."/>
      <w:lvlJc w:val="left"/>
      <w:pPr>
        <w:ind w:left="1440" w:hanging="360"/>
      </w:pPr>
    </w:lvl>
    <w:lvl w:ilvl="2" w:tplc="F7BEF87A" w:tentative="1">
      <w:start w:val="1"/>
      <w:numFmt w:val="lowerRoman"/>
      <w:lvlText w:val="%3."/>
      <w:lvlJc w:val="right"/>
      <w:pPr>
        <w:ind w:left="2160" w:hanging="180"/>
      </w:pPr>
    </w:lvl>
    <w:lvl w:ilvl="3" w:tplc="1FC89AF8" w:tentative="1">
      <w:start w:val="1"/>
      <w:numFmt w:val="decimal"/>
      <w:lvlText w:val="%4."/>
      <w:lvlJc w:val="left"/>
      <w:pPr>
        <w:ind w:left="2880" w:hanging="360"/>
      </w:pPr>
    </w:lvl>
    <w:lvl w:ilvl="4" w:tplc="8AB0EF04" w:tentative="1">
      <w:start w:val="1"/>
      <w:numFmt w:val="lowerLetter"/>
      <w:lvlText w:val="%5."/>
      <w:lvlJc w:val="left"/>
      <w:pPr>
        <w:ind w:left="3600" w:hanging="360"/>
      </w:pPr>
    </w:lvl>
    <w:lvl w:ilvl="5" w:tplc="0882ABC2" w:tentative="1">
      <w:start w:val="1"/>
      <w:numFmt w:val="lowerRoman"/>
      <w:lvlText w:val="%6."/>
      <w:lvlJc w:val="right"/>
      <w:pPr>
        <w:ind w:left="4320" w:hanging="180"/>
      </w:pPr>
    </w:lvl>
    <w:lvl w:ilvl="6" w:tplc="CDF0015E" w:tentative="1">
      <w:start w:val="1"/>
      <w:numFmt w:val="decimal"/>
      <w:lvlText w:val="%7."/>
      <w:lvlJc w:val="left"/>
      <w:pPr>
        <w:ind w:left="5040" w:hanging="360"/>
      </w:pPr>
    </w:lvl>
    <w:lvl w:ilvl="7" w:tplc="DED2A16E" w:tentative="1">
      <w:start w:val="1"/>
      <w:numFmt w:val="lowerLetter"/>
      <w:lvlText w:val="%8."/>
      <w:lvlJc w:val="left"/>
      <w:pPr>
        <w:ind w:left="5760" w:hanging="360"/>
      </w:pPr>
    </w:lvl>
    <w:lvl w:ilvl="8" w:tplc="AA2E1DEE" w:tentative="1">
      <w:start w:val="1"/>
      <w:numFmt w:val="lowerRoman"/>
      <w:lvlText w:val="%9."/>
      <w:lvlJc w:val="right"/>
      <w:pPr>
        <w:ind w:left="6480" w:hanging="180"/>
      </w:pPr>
    </w:lvl>
  </w:abstractNum>
  <w:abstractNum w:abstractNumId="2" w15:restartNumberingAfterBreak="0">
    <w:nsid w:val="00000003"/>
    <w:multiLevelType w:val="hybridMultilevel"/>
    <w:tmpl w:val="11B49A3A"/>
    <w:lvl w:ilvl="0" w:tplc="3A7AB94E">
      <w:start w:val="1"/>
      <w:numFmt w:val="bullet"/>
      <w:lvlText w:val=""/>
      <w:lvlJc w:val="left"/>
      <w:pPr>
        <w:ind w:left="720" w:hanging="360"/>
      </w:pPr>
      <w:rPr>
        <w:rFonts w:ascii="Symbol" w:hAnsi="Symbol" w:hint="default"/>
      </w:rPr>
    </w:lvl>
    <w:lvl w:ilvl="1" w:tplc="94341C44" w:tentative="1">
      <w:start w:val="1"/>
      <w:numFmt w:val="bullet"/>
      <w:lvlText w:val="o"/>
      <w:lvlJc w:val="left"/>
      <w:pPr>
        <w:ind w:left="1440" w:hanging="360"/>
      </w:pPr>
      <w:rPr>
        <w:rFonts w:ascii="Courier New" w:hAnsi="Courier New" w:cs="Courier New" w:hint="default"/>
      </w:rPr>
    </w:lvl>
    <w:lvl w:ilvl="2" w:tplc="C9928878" w:tentative="1">
      <w:start w:val="1"/>
      <w:numFmt w:val="bullet"/>
      <w:lvlText w:val=""/>
      <w:lvlJc w:val="left"/>
      <w:pPr>
        <w:ind w:left="2160" w:hanging="360"/>
      </w:pPr>
      <w:rPr>
        <w:rFonts w:ascii="Wingdings" w:hAnsi="Wingdings" w:hint="default"/>
      </w:rPr>
    </w:lvl>
    <w:lvl w:ilvl="3" w:tplc="F5A69F0C" w:tentative="1">
      <w:start w:val="1"/>
      <w:numFmt w:val="bullet"/>
      <w:lvlText w:val=""/>
      <w:lvlJc w:val="left"/>
      <w:pPr>
        <w:ind w:left="2880" w:hanging="360"/>
      </w:pPr>
      <w:rPr>
        <w:rFonts w:ascii="Symbol" w:hAnsi="Symbol" w:hint="default"/>
      </w:rPr>
    </w:lvl>
    <w:lvl w:ilvl="4" w:tplc="3FF296BC" w:tentative="1">
      <w:start w:val="1"/>
      <w:numFmt w:val="bullet"/>
      <w:lvlText w:val="o"/>
      <w:lvlJc w:val="left"/>
      <w:pPr>
        <w:ind w:left="3600" w:hanging="360"/>
      </w:pPr>
      <w:rPr>
        <w:rFonts w:ascii="Courier New" w:hAnsi="Courier New" w:cs="Courier New" w:hint="default"/>
      </w:rPr>
    </w:lvl>
    <w:lvl w:ilvl="5" w:tplc="1304FF1A" w:tentative="1">
      <w:start w:val="1"/>
      <w:numFmt w:val="bullet"/>
      <w:lvlText w:val=""/>
      <w:lvlJc w:val="left"/>
      <w:pPr>
        <w:ind w:left="4320" w:hanging="360"/>
      </w:pPr>
      <w:rPr>
        <w:rFonts w:ascii="Wingdings" w:hAnsi="Wingdings" w:hint="default"/>
      </w:rPr>
    </w:lvl>
    <w:lvl w:ilvl="6" w:tplc="322C0EAA" w:tentative="1">
      <w:start w:val="1"/>
      <w:numFmt w:val="bullet"/>
      <w:lvlText w:val=""/>
      <w:lvlJc w:val="left"/>
      <w:pPr>
        <w:ind w:left="5040" w:hanging="360"/>
      </w:pPr>
      <w:rPr>
        <w:rFonts w:ascii="Symbol" w:hAnsi="Symbol" w:hint="default"/>
      </w:rPr>
    </w:lvl>
    <w:lvl w:ilvl="7" w:tplc="E2963166" w:tentative="1">
      <w:start w:val="1"/>
      <w:numFmt w:val="bullet"/>
      <w:lvlText w:val="o"/>
      <w:lvlJc w:val="left"/>
      <w:pPr>
        <w:ind w:left="5760" w:hanging="360"/>
      </w:pPr>
      <w:rPr>
        <w:rFonts w:ascii="Courier New" w:hAnsi="Courier New" w:cs="Courier New" w:hint="default"/>
      </w:rPr>
    </w:lvl>
    <w:lvl w:ilvl="8" w:tplc="944CA04A"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90E8BD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000006"/>
    <w:multiLevelType w:val="hybridMultilevel"/>
    <w:tmpl w:val="BB041640"/>
    <w:lvl w:ilvl="0" w:tplc="B150F6F0">
      <w:start w:val="1"/>
      <w:numFmt w:val="upperLetter"/>
      <w:lvlText w:val="%1."/>
      <w:lvlJc w:val="left"/>
      <w:pPr>
        <w:ind w:left="720" w:hanging="360"/>
      </w:pPr>
    </w:lvl>
    <w:lvl w:ilvl="1" w:tplc="F710C0E6" w:tentative="1">
      <w:start w:val="1"/>
      <w:numFmt w:val="lowerLetter"/>
      <w:lvlText w:val="%2."/>
      <w:lvlJc w:val="left"/>
      <w:pPr>
        <w:ind w:left="1440" w:hanging="360"/>
      </w:pPr>
    </w:lvl>
    <w:lvl w:ilvl="2" w:tplc="CD748C6A" w:tentative="1">
      <w:start w:val="1"/>
      <w:numFmt w:val="lowerRoman"/>
      <w:lvlText w:val="%3."/>
      <w:lvlJc w:val="right"/>
      <w:pPr>
        <w:ind w:left="2160" w:hanging="180"/>
      </w:pPr>
    </w:lvl>
    <w:lvl w:ilvl="3" w:tplc="4FB41416" w:tentative="1">
      <w:start w:val="1"/>
      <w:numFmt w:val="decimal"/>
      <w:lvlText w:val="%4."/>
      <w:lvlJc w:val="left"/>
      <w:pPr>
        <w:ind w:left="2880" w:hanging="360"/>
      </w:pPr>
    </w:lvl>
    <w:lvl w:ilvl="4" w:tplc="F752C212" w:tentative="1">
      <w:start w:val="1"/>
      <w:numFmt w:val="lowerLetter"/>
      <w:lvlText w:val="%5."/>
      <w:lvlJc w:val="left"/>
      <w:pPr>
        <w:ind w:left="3600" w:hanging="360"/>
      </w:pPr>
    </w:lvl>
    <w:lvl w:ilvl="5" w:tplc="B522816E" w:tentative="1">
      <w:start w:val="1"/>
      <w:numFmt w:val="lowerRoman"/>
      <w:lvlText w:val="%6."/>
      <w:lvlJc w:val="right"/>
      <w:pPr>
        <w:ind w:left="4320" w:hanging="180"/>
      </w:pPr>
    </w:lvl>
    <w:lvl w:ilvl="6" w:tplc="C9B22AC0" w:tentative="1">
      <w:start w:val="1"/>
      <w:numFmt w:val="decimal"/>
      <w:lvlText w:val="%7."/>
      <w:lvlJc w:val="left"/>
      <w:pPr>
        <w:ind w:left="5040" w:hanging="360"/>
      </w:pPr>
    </w:lvl>
    <w:lvl w:ilvl="7" w:tplc="783E3E40" w:tentative="1">
      <w:start w:val="1"/>
      <w:numFmt w:val="lowerLetter"/>
      <w:lvlText w:val="%8."/>
      <w:lvlJc w:val="left"/>
      <w:pPr>
        <w:ind w:left="5760" w:hanging="360"/>
      </w:pPr>
    </w:lvl>
    <w:lvl w:ilvl="8" w:tplc="8752BEB2" w:tentative="1">
      <w:start w:val="1"/>
      <w:numFmt w:val="lowerRoman"/>
      <w:lvlText w:val="%9."/>
      <w:lvlJc w:val="right"/>
      <w:pPr>
        <w:ind w:left="6480" w:hanging="180"/>
      </w:pPr>
    </w:lvl>
  </w:abstractNum>
  <w:abstractNum w:abstractNumId="6" w15:restartNumberingAfterBreak="0">
    <w:nsid w:val="00000007"/>
    <w:multiLevelType w:val="hybridMultilevel"/>
    <w:tmpl w:val="97342D90"/>
    <w:lvl w:ilvl="0" w:tplc="D38AE7E6">
      <w:start w:val="1"/>
      <w:numFmt w:val="bullet"/>
      <w:lvlText w:val=""/>
      <w:lvlJc w:val="left"/>
      <w:pPr>
        <w:ind w:left="720" w:hanging="360"/>
      </w:pPr>
      <w:rPr>
        <w:rFonts w:ascii="Symbol" w:hAnsi="Symbol" w:hint="default"/>
      </w:rPr>
    </w:lvl>
    <w:lvl w:ilvl="1" w:tplc="16DC51E0" w:tentative="1">
      <w:start w:val="1"/>
      <w:numFmt w:val="bullet"/>
      <w:lvlText w:val="o"/>
      <w:lvlJc w:val="left"/>
      <w:pPr>
        <w:ind w:left="1440" w:hanging="360"/>
      </w:pPr>
      <w:rPr>
        <w:rFonts w:ascii="Courier New" w:hAnsi="Courier New" w:cs="Courier New" w:hint="default"/>
      </w:rPr>
    </w:lvl>
    <w:lvl w:ilvl="2" w:tplc="53C652CA" w:tentative="1">
      <w:start w:val="1"/>
      <w:numFmt w:val="bullet"/>
      <w:lvlText w:val=""/>
      <w:lvlJc w:val="left"/>
      <w:pPr>
        <w:ind w:left="2160" w:hanging="360"/>
      </w:pPr>
      <w:rPr>
        <w:rFonts w:ascii="Wingdings" w:hAnsi="Wingdings" w:hint="default"/>
      </w:rPr>
    </w:lvl>
    <w:lvl w:ilvl="3" w:tplc="7E5AE8EE" w:tentative="1">
      <w:start w:val="1"/>
      <w:numFmt w:val="bullet"/>
      <w:lvlText w:val=""/>
      <w:lvlJc w:val="left"/>
      <w:pPr>
        <w:ind w:left="2880" w:hanging="360"/>
      </w:pPr>
      <w:rPr>
        <w:rFonts w:ascii="Symbol" w:hAnsi="Symbol" w:hint="default"/>
      </w:rPr>
    </w:lvl>
    <w:lvl w:ilvl="4" w:tplc="97726C26" w:tentative="1">
      <w:start w:val="1"/>
      <w:numFmt w:val="bullet"/>
      <w:lvlText w:val="o"/>
      <w:lvlJc w:val="left"/>
      <w:pPr>
        <w:ind w:left="3600" w:hanging="360"/>
      </w:pPr>
      <w:rPr>
        <w:rFonts w:ascii="Courier New" w:hAnsi="Courier New" w:cs="Courier New" w:hint="default"/>
      </w:rPr>
    </w:lvl>
    <w:lvl w:ilvl="5" w:tplc="5380EB2C" w:tentative="1">
      <w:start w:val="1"/>
      <w:numFmt w:val="bullet"/>
      <w:lvlText w:val=""/>
      <w:lvlJc w:val="left"/>
      <w:pPr>
        <w:ind w:left="4320" w:hanging="360"/>
      </w:pPr>
      <w:rPr>
        <w:rFonts w:ascii="Wingdings" w:hAnsi="Wingdings" w:hint="default"/>
      </w:rPr>
    </w:lvl>
    <w:lvl w:ilvl="6" w:tplc="B90A6688" w:tentative="1">
      <w:start w:val="1"/>
      <w:numFmt w:val="bullet"/>
      <w:lvlText w:val=""/>
      <w:lvlJc w:val="left"/>
      <w:pPr>
        <w:ind w:left="5040" w:hanging="360"/>
      </w:pPr>
      <w:rPr>
        <w:rFonts w:ascii="Symbol" w:hAnsi="Symbol" w:hint="default"/>
      </w:rPr>
    </w:lvl>
    <w:lvl w:ilvl="7" w:tplc="0352B418" w:tentative="1">
      <w:start w:val="1"/>
      <w:numFmt w:val="bullet"/>
      <w:lvlText w:val="o"/>
      <w:lvlJc w:val="left"/>
      <w:pPr>
        <w:ind w:left="5760" w:hanging="360"/>
      </w:pPr>
      <w:rPr>
        <w:rFonts w:ascii="Courier New" w:hAnsi="Courier New" w:cs="Courier New" w:hint="default"/>
      </w:rPr>
    </w:lvl>
    <w:lvl w:ilvl="8" w:tplc="726C2872"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0000009"/>
    <w:multiLevelType w:val="hybridMultilevel"/>
    <w:tmpl w:val="3472819C"/>
    <w:lvl w:ilvl="0" w:tplc="90FE0D30">
      <w:start w:val="1"/>
      <w:numFmt w:val="bullet"/>
      <w:lvlText w:val=""/>
      <w:lvlJc w:val="left"/>
      <w:pPr>
        <w:ind w:left="360" w:hanging="360"/>
      </w:pPr>
      <w:rPr>
        <w:rFonts w:ascii="Symbol" w:hAnsi="Symbol" w:hint="default"/>
      </w:rPr>
    </w:lvl>
    <w:lvl w:ilvl="1" w:tplc="58FA073A" w:tentative="1">
      <w:start w:val="1"/>
      <w:numFmt w:val="bullet"/>
      <w:lvlText w:val="o"/>
      <w:lvlJc w:val="left"/>
      <w:pPr>
        <w:ind w:left="1080" w:hanging="360"/>
      </w:pPr>
      <w:rPr>
        <w:rFonts w:ascii="Courier New" w:hAnsi="Courier New" w:cs="Courier New" w:hint="default"/>
      </w:rPr>
    </w:lvl>
    <w:lvl w:ilvl="2" w:tplc="B066ECE2" w:tentative="1">
      <w:start w:val="1"/>
      <w:numFmt w:val="bullet"/>
      <w:lvlText w:val=""/>
      <w:lvlJc w:val="left"/>
      <w:pPr>
        <w:ind w:left="1800" w:hanging="360"/>
      </w:pPr>
      <w:rPr>
        <w:rFonts w:ascii="Wingdings" w:hAnsi="Wingdings" w:hint="default"/>
      </w:rPr>
    </w:lvl>
    <w:lvl w:ilvl="3" w:tplc="1B865B0C" w:tentative="1">
      <w:start w:val="1"/>
      <w:numFmt w:val="bullet"/>
      <w:lvlText w:val=""/>
      <w:lvlJc w:val="left"/>
      <w:pPr>
        <w:ind w:left="2520" w:hanging="360"/>
      </w:pPr>
      <w:rPr>
        <w:rFonts w:ascii="Symbol" w:hAnsi="Symbol" w:hint="default"/>
      </w:rPr>
    </w:lvl>
    <w:lvl w:ilvl="4" w:tplc="77080C94" w:tentative="1">
      <w:start w:val="1"/>
      <w:numFmt w:val="bullet"/>
      <w:lvlText w:val="o"/>
      <w:lvlJc w:val="left"/>
      <w:pPr>
        <w:ind w:left="3240" w:hanging="360"/>
      </w:pPr>
      <w:rPr>
        <w:rFonts w:ascii="Courier New" w:hAnsi="Courier New" w:cs="Courier New" w:hint="default"/>
      </w:rPr>
    </w:lvl>
    <w:lvl w:ilvl="5" w:tplc="D0C49B16" w:tentative="1">
      <w:start w:val="1"/>
      <w:numFmt w:val="bullet"/>
      <w:lvlText w:val=""/>
      <w:lvlJc w:val="left"/>
      <w:pPr>
        <w:ind w:left="3960" w:hanging="360"/>
      </w:pPr>
      <w:rPr>
        <w:rFonts w:ascii="Wingdings" w:hAnsi="Wingdings" w:hint="default"/>
      </w:rPr>
    </w:lvl>
    <w:lvl w:ilvl="6" w:tplc="1E9C9100" w:tentative="1">
      <w:start w:val="1"/>
      <w:numFmt w:val="bullet"/>
      <w:lvlText w:val=""/>
      <w:lvlJc w:val="left"/>
      <w:pPr>
        <w:ind w:left="4680" w:hanging="360"/>
      </w:pPr>
      <w:rPr>
        <w:rFonts w:ascii="Symbol" w:hAnsi="Symbol" w:hint="default"/>
      </w:rPr>
    </w:lvl>
    <w:lvl w:ilvl="7" w:tplc="2C8A0EF4" w:tentative="1">
      <w:start w:val="1"/>
      <w:numFmt w:val="bullet"/>
      <w:lvlText w:val="o"/>
      <w:lvlJc w:val="left"/>
      <w:pPr>
        <w:ind w:left="5400" w:hanging="360"/>
      </w:pPr>
      <w:rPr>
        <w:rFonts w:ascii="Courier New" w:hAnsi="Courier New" w:cs="Courier New" w:hint="default"/>
      </w:rPr>
    </w:lvl>
    <w:lvl w:ilvl="8" w:tplc="E2F2E25C" w:tentative="1">
      <w:start w:val="1"/>
      <w:numFmt w:val="bullet"/>
      <w:lvlText w:val=""/>
      <w:lvlJc w:val="left"/>
      <w:pPr>
        <w:ind w:left="6120" w:hanging="360"/>
      </w:pPr>
      <w:rPr>
        <w:rFonts w:ascii="Wingdings" w:hAnsi="Wingdings" w:hint="default"/>
      </w:rPr>
    </w:lvl>
  </w:abstractNum>
  <w:abstractNum w:abstractNumId="9" w15:restartNumberingAfterBreak="0">
    <w:nsid w:val="0000000A"/>
    <w:multiLevelType w:val="hybridMultilevel"/>
    <w:tmpl w:val="7152C762"/>
    <w:lvl w:ilvl="0" w:tplc="8E083826">
      <w:start w:val="1"/>
      <w:numFmt w:val="decimal"/>
      <w:lvlText w:val="%1."/>
      <w:lvlJc w:val="left"/>
      <w:pPr>
        <w:ind w:left="720" w:hanging="360"/>
      </w:pPr>
    </w:lvl>
    <w:lvl w:ilvl="1" w:tplc="5B900472" w:tentative="1">
      <w:start w:val="1"/>
      <w:numFmt w:val="lowerLetter"/>
      <w:lvlText w:val="%2."/>
      <w:lvlJc w:val="left"/>
      <w:pPr>
        <w:ind w:left="1440" w:hanging="360"/>
      </w:pPr>
    </w:lvl>
    <w:lvl w:ilvl="2" w:tplc="F8C436D6" w:tentative="1">
      <w:start w:val="1"/>
      <w:numFmt w:val="lowerRoman"/>
      <w:lvlText w:val="%3."/>
      <w:lvlJc w:val="right"/>
      <w:pPr>
        <w:ind w:left="2160" w:hanging="180"/>
      </w:pPr>
    </w:lvl>
    <w:lvl w:ilvl="3" w:tplc="FCE0DAB8" w:tentative="1">
      <w:start w:val="1"/>
      <w:numFmt w:val="decimal"/>
      <w:lvlText w:val="%4."/>
      <w:lvlJc w:val="left"/>
      <w:pPr>
        <w:ind w:left="2880" w:hanging="360"/>
      </w:pPr>
    </w:lvl>
    <w:lvl w:ilvl="4" w:tplc="74A2F126" w:tentative="1">
      <w:start w:val="1"/>
      <w:numFmt w:val="lowerLetter"/>
      <w:lvlText w:val="%5."/>
      <w:lvlJc w:val="left"/>
      <w:pPr>
        <w:ind w:left="3600" w:hanging="360"/>
      </w:pPr>
    </w:lvl>
    <w:lvl w:ilvl="5" w:tplc="F7C62930" w:tentative="1">
      <w:start w:val="1"/>
      <w:numFmt w:val="lowerRoman"/>
      <w:lvlText w:val="%6."/>
      <w:lvlJc w:val="right"/>
      <w:pPr>
        <w:ind w:left="4320" w:hanging="180"/>
      </w:pPr>
    </w:lvl>
    <w:lvl w:ilvl="6" w:tplc="6E24B7A2" w:tentative="1">
      <w:start w:val="1"/>
      <w:numFmt w:val="decimal"/>
      <w:lvlText w:val="%7."/>
      <w:lvlJc w:val="left"/>
      <w:pPr>
        <w:ind w:left="5040" w:hanging="360"/>
      </w:pPr>
    </w:lvl>
    <w:lvl w:ilvl="7" w:tplc="30DE3FCA" w:tentative="1">
      <w:start w:val="1"/>
      <w:numFmt w:val="lowerLetter"/>
      <w:lvlText w:val="%8."/>
      <w:lvlJc w:val="left"/>
      <w:pPr>
        <w:ind w:left="5760" w:hanging="360"/>
      </w:pPr>
    </w:lvl>
    <w:lvl w:ilvl="8" w:tplc="B0DEC4EE" w:tentative="1">
      <w:start w:val="1"/>
      <w:numFmt w:val="lowerRoman"/>
      <w:lvlText w:val="%9."/>
      <w:lvlJc w:val="right"/>
      <w:pPr>
        <w:ind w:left="6480" w:hanging="180"/>
      </w:pPr>
    </w:lvl>
  </w:abstractNum>
  <w:abstractNum w:abstractNumId="10" w15:restartNumberingAfterBreak="0">
    <w:nsid w:val="0000000B"/>
    <w:multiLevelType w:val="hybridMultilevel"/>
    <w:tmpl w:val="12548020"/>
    <w:lvl w:ilvl="0" w:tplc="2F3EB092">
      <w:start w:val="1"/>
      <w:numFmt w:val="bullet"/>
      <w:lvlText w:val=""/>
      <w:lvlJc w:val="left"/>
      <w:pPr>
        <w:ind w:left="720" w:hanging="360"/>
      </w:pPr>
      <w:rPr>
        <w:rFonts w:ascii="Symbol" w:hAnsi="Symbol" w:hint="default"/>
      </w:rPr>
    </w:lvl>
    <w:lvl w:ilvl="1" w:tplc="815403E0" w:tentative="1">
      <w:start w:val="1"/>
      <w:numFmt w:val="bullet"/>
      <w:lvlText w:val="o"/>
      <w:lvlJc w:val="left"/>
      <w:pPr>
        <w:ind w:left="1440" w:hanging="360"/>
      </w:pPr>
      <w:rPr>
        <w:rFonts w:ascii="Courier New" w:hAnsi="Courier New" w:cs="Courier New" w:hint="default"/>
      </w:rPr>
    </w:lvl>
    <w:lvl w:ilvl="2" w:tplc="F2DA4678" w:tentative="1">
      <w:start w:val="1"/>
      <w:numFmt w:val="bullet"/>
      <w:lvlText w:val=""/>
      <w:lvlJc w:val="left"/>
      <w:pPr>
        <w:ind w:left="2160" w:hanging="360"/>
      </w:pPr>
      <w:rPr>
        <w:rFonts w:ascii="Wingdings" w:hAnsi="Wingdings" w:hint="default"/>
      </w:rPr>
    </w:lvl>
    <w:lvl w:ilvl="3" w:tplc="C1EC2520" w:tentative="1">
      <w:start w:val="1"/>
      <w:numFmt w:val="bullet"/>
      <w:lvlText w:val=""/>
      <w:lvlJc w:val="left"/>
      <w:pPr>
        <w:ind w:left="2880" w:hanging="360"/>
      </w:pPr>
      <w:rPr>
        <w:rFonts w:ascii="Symbol" w:hAnsi="Symbol" w:hint="default"/>
      </w:rPr>
    </w:lvl>
    <w:lvl w:ilvl="4" w:tplc="A5761B7E" w:tentative="1">
      <w:start w:val="1"/>
      <w:numFmt w:val="bullet"/>
      <w:lvlText w:val="o"/>
      <w:lvlJc w:val="left"/>
      <w:pPr>
        <w:ind w:left="3600" w:hanging="360"/>
      </w:pPr>
      <w:rPr>
        <w:rFonts w:ascii="Courier New" w:hAnsi="Courier New" w:cs="Courier New" w:hint="default"/>
      </w:rPr>
    </w:lvl>
    <w:lvl w:ilvl="5" w:tplc="08449058" w:tentative="1">
      <w:start w:val="1"/>
      <w:numFmt w:val="bullet"/>
      <w:lvlText w:val=""/>
      <w:lvlJc w:val="left"/>
      <w:pPr>
        <w:ind w:left="4320" w:hanging="360"/>
      </w:pPr>
      <w:rPr>
        <w:rFonts w:ascii="Wingdings" w:hAnsi="Wingdings" w:hint="default"/>
      </w:rPr>
    </w:lvl>
    <w:lvl w:ilvl="6" w:tplc="0198A072" w:tentative="1">
      <w:start w:val="1"/>
      <w:numFmt w:val="bullet"/>
      <w:lvlText w:val=""/>
      <w:lvlJc w:val="left"/>
      <w:pPr>
        <w:ind w:left="5040" w:hanging="360"/>
      </w:pPr>
      <w:rPr>
        <w:rFonts w:ascii="Symbol" w:hAnsi="Symbol" w:hint="default"/>
      </w:rPr>
    </w:lvl>
    <w:lvl w:ilvl="7" w:tplc="D2348F90" w:tentative="1">
      <w:start w:val="1"/>
      <w:numFmt w:val="bullet"/>
      <w:lvlText w:val="o"/>
      <w:lvlJc w:val="left"/>
      <w:pPr>
        <w:ind w:left="5760" w:hanging="360"/>
      </w:pPr>
      <w:rPr>
        <w:rFonts w:ascii="Courier New" w:hAnsi="Courier New" w:cs="Courier New" w:hint="default"/>
      </w:rPr>
    </w:lvl>
    <w:lvl w:ilvl="8" w:tplc="01209A76"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E38E52B0"/>
    <w:lvl w:ilvl="0" w:tplc="F86E39D2">
      <w:start w:val="1"/>
      <w:numFmt w:val="decimal"/>
      <w:lvlText w:val="%1."/>
      <w:lvlJc w:val="left"/>
      <w:pPr>
        <w:ind w:left="720" w:hanging="360"/>
      </w:pPr>
      <w:rPr>
        <w:rFonts w:hint="default"/>
      </w:rPr>
    </w:lvl>
    <w:lvl w:ilvl="1" w:tplc="A12ED02E" w:tentative="1">
      <w:start w:val="1"/>
      <w:numFmt w:val="lowerLetter"/>
      <w:lvlText w:val="%2."/>
      <w:lvlJc w:val="left"/>
      <w:pPr>
        <w:ind w:left="1440" w:hanging="360"/>
      </w:pPr>
    </w:lvl>
    <w:lvl w:ilvl="2" w:tplc="19E25D9A" w:tentative="1">
      <w:start w:val="1"/>
      <w:numFmt w:val="lowerRoman"/>
      <w:lvlText w:val="%3."/>
      <w:lvlJc w:val="right"/>
      <w:pPr>
        <w:ind w:left="2160" w:hanging="180"/>
      </w:pPr>
    </w:lvl>
    <w:lvl w:ilvl="3" w:tplc="496AC50E" w:tentative="1">
      <w:start w:val="1"/>
      <w:numFmt w:val="decimal"/>
      <w:lvlText w:val="%4."/>
      <w:lvlJc w:val="left"/>
      <w:pPr>
        <w:ind w:left="2880" w:hanging="360"/>
      </w:pPr>
    </w:lvl>
    <w:lvl w:ilvl="4" w:tplc="2EC0D214" w:tentative="1">
      <w:start w:val="1"/>
      <w:numFmt w:val="lowerLetter"/>
      <w:lvlText w:val="%5."/>
      <w:lvlJc w:val="left"/>
      <w:pPr>
        <w:ind w:left="3600" w:hanging="360"/>
      </w:pPr>
    </w:lvl>
    <w:lvl w:ilvl="5" w:tplc="F4A85CF2" w:tentative="1">
      <w:start w:val="1"/>
      <w:numFmt w:val="lowerRoman"/>
      <w:lvlText w:val="%6."/>
      <w:lvlJc w:val="right"/>
      <w:pPr>
        <w:ind w:left="4320" w:hanging="180"/>
      </w:pPr>
    </w:lvl>
    <w:lvl w:ilvl="6" w:tplc="4AE0DA56" w:tentative="1">
      <w:start w:val="1"/>
      <w:numFmt w:val="decimal"/>
      <w:lvlText w:val="%7."/>
      <w:lvlJc w:val="left"/>
      <w:pPr>
        <w:ind w:left="5040" w:hanging="360"/>
      </w:pPr>
    </w:lvl>
    <w:lvl w:ilvl="7" w:tplc="B7D4BCE6" w:tentative="1">
      <w:start w:val="1"/>
      <w:numFmt w:val="lowerLetter"/>
      <w:lvlText w:val="%8."/>
      <w:lvlJc w:val="left"/>
      <w:pPr>
        <w:ind w:left="5760" w:hanging="360"/>
      </w:pPr>
    </w:lvl>
    <w:lvl w:ilvl="8" w:tplc="4E0807AC" w:tentative="1">
      <w:start w:val="1"/>
      <w:numFmt w:val="lowerRoman"/>
      <w:lvlText w:val="%9."/>
      <w:lvlJc w:val="right"/>
      <w:pPr>
        <w:ind w:left="6480" w:hanging="180"/>
      </w:pPr>
    </w:lvl>
  </w:abstractNum>
  <w:abstractNum w:abstractNumId="12" w15:restartNumberingAfterBreak="0">
    <w:nsid w:val="0000000D"/>
    <w:multiLevelType w:val="hybridMultilevel"/>
    <w:tmpl w:val="280225AC"/>
    <w:lvl w:ilvl="0" w:tplc="A97EF3DA">
      <w:start w:val="1"/>
      <w:numFmt w:val="bullet"/>
      <w:lvlText w:val=""/>
      <w:lvlJc w:val="left"/>
      <w:pPr>
        <w:ind w:left="720" w:hanging="360"/>
      </w:pPr>
      <w:rPr>
        <w:rFonts w:ascii="Symbol" w:hAnsi="Symbol" w:hint="default"/>
      </w:rPr>
    </w:lvl>
    <w:lvl w:ilvl="1" w:tplc="8F52C83C" w:tentative="1">
      <w:start w:val="1"/>
      <w:numFmt w:val="bullet"/>
      <w:lvlText w:val="o"/>
      <w:lvlJc w:val="left"/>
      <w:pPr>
        <w:ind w:left="1440" w:hanging="360"/>
      </w:pPr>
      <w:rPr>
        <w:rFonts w:ascii="Courier New" w:hAnsi="Courier New" w:cs="Courier New" w:hint="default"/>
      </w:rPr>
    </w:lvl>
    <w:lvl w:ilvl="2" w:tplc="580C2470" w:tentative="1">
      <w:start w:val="1"/>
      <w:numFmt w:val="bullet"/>
      <w:lvlText w:val=""/>
      <w:lvlJc w:val="left"/>
      <w:pPr>
        <w:ind w:left="2160" w:hanging="360"/>
      </w:pPr>
      <w:rPr>
        <w:rFonts w:ascii="Wingdings" w:hAnsi="Wingdings" w:hint="default"/>
      </w:rPr>
    </w:lvl>
    <w:lvl w:ilvl="3" w:tplc="5FA601D0" w:tentative="1">
      <w:start w:val="1"/>
      <w:numFmt w:val="bullet"/>
      <w:lvlText w:val=""/>
      <w:lvlJc w:val="left"/>
      <w:pPr>
        <w:ind w:left="2880" w:hanging="360"/>
      </w:pPr>
      <w:rPr>
        <w:rFonts w:ascii="Symbol" w:hAnsi="Symbol" w:hint="default"/>
      </w:rPr>
    </w:lvl>
    <w:lvl w:ilvl="4" w:tplc="FBD22CD8" w:tentative="1">
      <w:start w:val="1"/>
      <w:numFmt w:val="bullet"/>
      <w:lvlText w:val="o"/>
      <w:lvlJc w:val="left"/>
      <w:pPr>
        <w:ind w:left="3600" w:hanging="360"/>
      </w:pPr>
      <w:rPr>
        <w:rFonts w:ascii="Courier New" w:hAnsi="Courier New" w:cs="Courier New" w:hint="default"/>
      </w:rPr>
    </w:lvl>
    <w:lvl w:ilvl="5" w:tplc="AC1E9DA2" w:tentative="1">
      <w:start w:val="1"/>
      <w:numFmt w:val="bullet"/>
      <w:lvlText w:val=""/>
      <w:lvlJc w:val="left"/>
      <w:pPr>
        <w:ind w:left="4320" w:hanging="360"/>
      </w:pPr>
      <w:rPr>
        <w:rFonts w:ascii="Wingdings" w:hAnsi="Wingdings" w:hint="default"/>
      </w:rPr>
    </w:lvl>
    <w:lvl w:ilvl="6" w:tplc="EA6A6852" w:tentative="1">
      <w:start w:val="1"/>
      <w:numFmt w:val="bullet"/>
      <w:lvlText w:val=""/>
      <w:lvlJc w:val="left"/>
      <w:pPr>
        <w:ind w:left="5040" w:hanging="360"/>
      </w:pPr>
      <w:rPr>
        <w:rFonts w:ascii="Symbol" w:hAnsi="Symbol" w:hint="default"/>
      </w:rPr>
    </w:lvl>
    <w:lvl w:ilvl="7" w:tplc="97BEC10E" w:tentative="1">
      <w:start w:val="1"/>
      <w:numFmt w:val="bullet"/>
      <w:lvlText w:val="o"/>
      <w:lvlJc w:val="left"/>
      <w:pPr>
        <w:ind w:left="5760" w:hanging="360"/>
      </w:pPr>
      <w:rPr>
        <w:rFonts w:ascii="Courier New" w:hAnsi="Courier New" w:cs="Courier New" w:hint="default"/>
      </w:rPr>
    </w:lvl>
    <w:lvl w:ilvl="8" w:tplc="DDA4960E"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43F09B88"/>
    <w:lvl w:ilvl="0" w:tplc="753C1B6A">
      <w:start w:val="1"/>
      <w:numFmt w:val="upperLetter"/>
      <w:lvlText w:val="%1."/>
      <w:lvlJc w:val="left"/>
      <w:pPr>
        <w:ind w:left="720" w:hanging="360"/>
      </w:pPr>
    </w:lvl>
    <w:lvl w:ilvl="1" w:tplc="FE469076" w:tentative="1">
      <w:start w:val="1"/>
      <w:numFmt w:val="lowerLetter"/>
      <w:lvlText w:val="%2."/>
      <w:lvlJc w:val="left"/>
      <w:pPr>
        <w:ind w:left="1440" w:hanging="360"/>
      </w:pPr>
    </w:lvl>
    <w:lvl w:ilvl="2" w:tplc="636484C4" w:tentative="1">
      <w:start w:val="1"/>
      <w:numFmt w:val="lowerRoman"/>
      <w:lvlText w:val="%3."/>
      <w:lvlJc w:val="right"/>
      <w:pPr>
        <w:ind w:left="2160" w:hanging="180"/>
      </w:pPr>
    </w:lvl>
    <w:lvl w:ilvl="3" w:tplc="BE8A57DC" w:tentative="1">
      <w:start w:val="1"/>
      <w:numFmt w:val="decimal"/>
      <w:lvlText w:val="%4."/>
      <w:lvlJc w:val="left"/>
      <w:pPr>
        <w:ind w:left="2880" w:hanging="360"/>
      </w:pPr>
    </w:lvl>
    <w:lvl w:ilvl="4" w:tplc="13085C08" w:tentative="1">
      <w:start w:val="1"/>
      <w:numFmt w:val="lowerLetter"/>
      <w:lvlText w:val="%5."/>
      <w:lvlJc w:val="left"/>
      <w:pPr>
        <w:ind w:left="3600" w:hanging="360"/>
      </w:pPr>
    </w:lvl>
    <w:lvl w:ilvl="5" w:tplc="FA7E63AE" w:tentative="1">
      <w:start w:val="1"/>
      <w:numFmt w:val="lowerRoman"/>
      <w:lvlText w:val="%6."/>
      <w:lvlJc w:val="right"/>
      <w:pPr>
        <w:ind w:left="4320" w:hanging="180"/>
      </w:pPr>
    </w:lvl>
    <w:lvl w:ilvl="6" w:tplc="7D78F08A" w:tentative="1">
      <w:start w:val="1"/>
      <w:numFmt w:val="decimal"/>
      <w:lvlText w:val="%7."/>
      <w:lvlJc w:val="left"/>
      <w:pPr>
        <w:ind w:left="5040" w:hanging="360"/>
      </w:pPr>
    </w:lvl>
    <w:lvl w:ilvl="7" w:tplc="8E3C2A50" w:tentative="1">
      <w:start w:val="1"/>
      <w:numFmt w:val="lowerLetter"/>
      <w:lvlText w:val="%8."/>
      <w:lvlJc w:val="left"/>
      <w:pPr>
        <w:ind w:left="5760" w:hanging="360"/>
      </w:pPr>
    </w:lvl>
    <w:lvl w:ilvl="8" w:tplc="C5D068D4" w:tentative="1">
      <w:start w:val="1"/>
      <w:numFmt w:val="lowerRoman"/>
      <w:lvlText w:val="%9."/>
      <w:lvlJc w:val="right"/>
      <w:pPr>
        <w:ind w:left="6480" w:hanging="180"/>
      </w:pPr>
    </w:lvl>
  </w:abstractNum>
  <w:abstractNum w:abstractNumId="14" w15:restartNumberingAfterBreak="0">
    <w:nsid w:val="0000000F"/>
    <w:multiLevelType w:val="hybridMultilevel"/>
    <w:tmpl w:val="4BECFEC0"/>
    <w:lvl w:ilvl="0" w:tplc="3B905CB0">
      <w:start w:val="1"/>
      <w:numFmt w:val="bullet"/>
      <w:lvlText w:val=""/>
      <w:lvlJc w:val="left"/>
      <w:pPr>
        <w:ind w:left="720" w:hanging="360"/>
      </w:pPr>
      <w:rPr>
        <w:rFonts w:ascii="Symbol" w:hAnsi="Symbol" w:hint="default"/>
      </w:rPr>
    </w:lvl>
    <w:lvl w:ilvl="1" w:tplc="3736991A" w:tentative="1">
      <w:start w:val="1"/>
      <w:numFmt w:val="bullet"/>
      <w:lvlText w:val="o"/>
      <w:lvlJc w:val="left"/>
      <w:pPr>
        <w:ind w:left="1440" w:hanging="360"/>
      </w:pPr>
      <w:rPr>
        <w:rFonts w:ascii="Courier New" w:hAnsi="Courier New" w:cs="Courier New" w:hint="default"/>
      </w:rPr>
    </w:lvl>
    <w:lvl w:ilvl="2" w:tplc="EE54C594" w:tentative="1">
      <w:start w:val="1"/>
      <w:numFmt w:val="bullet"/>
      <w:lvlText w:val=""/>
      <w:lvlJc w:val="left"/>
      <w:pPr>
        <w:ind w:left="2160" w:hanging="360"/>
      </w:pPr>
      <w:rPr>
        <w:rFonts w:ascii="Wingdings" w:hAnsi="Wingdings" w:hint="default"/>
      </w:rPr>
    </w:lvl>
    <w:lvl w:ilvl="3" w:tplc="5E08ACC4" w:tentative="1">
      <w:start w:val="1"/>
      <w:numFmt w:val="bullet"/>
      <w:lvlText w:val=""/>
      <w:lvlJc w:val="left"/>
      <w:pPr>
        <w:ind w:left="2880" w:hanging="360"/>
      </w:pPr>
      <w:rPr>
        <w:rFonts w:ascii="Symbol" w:hAnsi="Symbol" w:hint="default"/>
      </w:rPr>
    </w:lvl>
    <w:lvl w:ilvl="4" w:tplc="503EDDC8" w:tentative="1">
      <w:start w:val="1"/>
      <w:numFmt w:val="bullet"/>
      <w:lvlText w:val="o"/>
      <w:lvlJc w:val="left"/>
      <w:pPr>
        <w:ind w:left="3600" w:hanging="360"/>
      </w:pPr>
      <w:rPr>
        <w:rFonts w:ascii="Courier New" w:hAnsi="Courier New" w:cs="Courier New" w:hint="default"/>
      </w:rPr>
    </w:lvl>
    <w:lvl w:ilvl="5" w:tplc="EB825988" w:tentative="1">
      <w:start w:val="1"/>
      <w:numFmt w:val="bullet"/>
      <w:lvlText w:val=""/>
      <w:lvlJc w:val="left"/>
      <w:pPr>
        <w:ind w:left="4320" w:hanging="360"/>
      </w:pPr>
      <w:rPr>
        <w:rFonts w:ascii="Wingdings" w:hAnsi="Wingdings" w:hint="default"/>
      </w:rPr>
    </w:lvl>
    <w:lvl w:ilvl="6" w:tplc="1C0E9F0A" w:tentative="1">
      <w:start w:val="1"/>
      <w:numFmt w:val="bullet"/>
      <w:lvlText w:val=""/>
      <w:lvlJc w:val="left"/>
      <w:pPr>
        <w:ind w:left="5040" w:hanging="360"/>
      </w:pPr>
      <w:rPr>
        <w:rFonts w:ascii="Symbol" w:hAnsi="Symbol" w:hint="default"/>
      </w:rPr>
    </w:lvl>
    <w:lvl w:ilvl="7" w:tplc="E40AE832" w:tentative="1">
      <w:start w:val="1"/>
      <w:numFmt w:val="bullet"/>
      <w:lvlText w:val="o"/>
      <w:lvlJc w:val="left"/>
      <w:pPr>
        <w:ind w:left="5760" w:hanging="360"/>
      </w:pPr>
      <w:rPr>
        <w:rFonts w:ascii="Courier New" w:hAnsi="Courier New" w:cs="Courier New" w:hint="default"/>
      </w:rPr>
    </w:lvl>
    <w:lvl w:ilvl="8" w:tplc="7E144C8C"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E438DF22"/>
    <w:lvl w:ilvl="0" w:tplc="2D4C3CF6">
      <w:start w:val="1"/>
      <w:numFmt w:val="bullet"/>
      <w:lvlText w:val=""/>
      <w:lvlJc w:val="left"/>
      <w:pPr>
        <w:ind w:left="720" w:hanging="360"/>
      </w:pPr>
      <w:rPr>
        <w:rFonts w:ascii="Symbol" w:hAnsi="Symbol" w:hint="default"/>
      </w:rPr>
    </w:lvl>
    <w:lvl w:ilvl="1" w:tplc="196CC32E" w:tentative="1">
      <w:start w:val="1"/>
      <w:numFmt w:val="bullet"/>
      <w:lvlText w:val="o"/>
      <w:lvlJc w:val="left"/>
      <w:pPr>
        <w:ind w:left="1440" w:hanging="360"/>
      </w:pPr>
      <w:rPr>
        <w:rFonts w:ascii="Courier New" w:hAnsi="Courier New" w:cs="Courier New" w:hint="default"/>
      </w:rPr>
    </w:lvl>
    <w:lvl w:ilvl="2" w:tplc="719CE1BA" w:tentative="1">
      <w:start w:val="1"/>
      <w:numFmt w:val="bullet"/>
      <w:lvlText w:val=""/>
      <w:lvlJc w:val="left"/>
      <w:pPr>
        <w:ind w:left="2160" w:hanging="360"/>
      </w:pPr>
      <w:rPr>
        <w:rFonts w:ascii="Wingdings" w:hAnsi="Wingdings" w:hint="default"/>
      </w:rPr>
    </w:lvl>
    <w:lvl w:ilvl="3" w:tplc="338CCE42" w:tentative="1">
      <w:start w:val="1"/>
      <w:numFmt w:val="bullet"/>
      <w:lvlText w:val=""/>
      <w:lvlJc w:val="left"/>
      <w:pPr>
        <w:ind w:left="2880" w:hanging="360"/>
      </w:pPr>
      <w:rPr>
        <w:rFonts w:ascii="Symbol" w:hAnsi="Symbol" w:hint="default"/>
      </w:rPr>
    </w:lvl>
    <w:lvl w:ilvl="4" w:tplc="5B16C7F0" w:tentative="1">
      <w:start w:val="1"/>
      <w:numFmt w:val="bullet"/>
      <w:lvlText w:val="o"/>
      <w:lvlJc w:val="left"/>
      <w:pPr>
        <w:ind w:left="3600" w:hanging="360"/>
      </w:pPr>
      <w:rPr>
        <w:rFonts w:ascii="Courier New" w:hAnsi="Courier New" w:cs="Courier New" w:hint="default"/>
      </w:rPr>
    </w:lvl>
    <w:lvl w:ilvl="5" w:tplc="EEE6A6A4" w:tentative="1">
      <w:start w:val="1"/>
      <w:numFmt w:val="bullet"/>
      <w:lvlText w:val=""/>
      <w:lvlJc w:val="left"/>
      <w:pPr>
        <w:ind w:left="4320" w:hanging="360"/>
      </w:pPr>
      <w:rPr>
        <w:rFonts w:ascii="Wingdings" w:hAnsi="Wingdings" w:hint="default"/>
      </w:rPr>
    </w:lvl>
    <w:lvl w:ilvl="6" w:tplc="893E93F2" w:tentative="1">
      <w:start w:val="1"/>
      <w:numFmt w:val="bullet"/>
      <w:lvlText w:val=""/>
      <w:lvlJc w:val="left"/>
      <w:pPr>
        <w:ind w:left="5040" w:hanging="360"/>
      </w:pPr>
      <w:rPr>
        <w:rFonts w:ascii="Symbol" w:hAnsi="Symbol" w:hint="default"/>
      </w:rPr>
    </w:lvl>
    <w:lvl w:ilvl="7" w:tplc="4372C2C6" w:tentative="1">
      <w:start w:val="1"/>
      <w:numFmt w:val="bullet"/>
      <w:lvlText w:val="o"/>
      <w:lvlJc w:val="left"/>
      <w:pPr>
        <w:ind w:left="5760" w:hanging="360"/>
      </w:pPr>
      <w:rPr>
        <w:rFonts w:ascii="Courier New" w:hAnsi="Courier New" w:cs="Courier New" w:hint="default"/>
      </w:rPr>
    </w:lvl>
    <w:lvl w:ilvl="8" w:tplc="C1742DCE"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82600352"/>
    <w:lvl w:ilvl="0" w:tplc="16144550">
      <w:start w:val="1"/>
      <w:numFmt w:val="bullet"/>
      <w:lvlText w:val=""/>
      <w:lvlJc w:val="left"/>
      <w:pPr>
        <w:ind w:left="720" w:hanging="360"/>
      </w:pPr>
      <w:rPr>
        <w:rFonts w:ascii="Symbol" w:hAnsi="Symbol" w:hint="default"/>
      </w:rPr>
    </w:lvl>
    <w:lvl w:ilvl="1" w:tplc="5A9C6EE0" w:tentative="1">
      <w:start w:val="1"/>
      <w:numFmt w:val="bullet"/>
      <w:lvlText w:val="o"/>
      <w:lvlJc w:val="left"/>
      <w:pPr>
        <w:ind w:left="1440" w:hanging="360"/>
      </w:pPr>
      <w:rPr>
        <w:rFonts w:ascii="Courier New" w:hAnsi="Courier New" w:cs="Courier New" w:hint="default"/>
      </w:rPr>
    </w:lvl>
    <w:lvl w:ilvl="2" w:tplc="EB34DEF4" w:tentative="1">
      <w:start w:val="1"/>
      <w:numFmt w:val="bullet"/>
      <w:lvlText w:val=""/>
      <w:lvlJc w:val="left"/>
      <w:pPr>
        <w:ind w:left="2160" w:hanging="360"/>
      </w:pPr>
      <w:rPr>
        <w:rFonts w:ascii="Wingdings" w:hAnsi="Wingdings" w:hint="default"/>
      </w:rPr>
    </w:lvl>
    <w:lvl w:ilvl="3" w:tplc="B0567804" w:tentative="1">
      <w:start w:val="1"/>
      <w:numFmt w:val="bullet"/>
      <w:lvlText w:val=""/>
      <w:lvlJc w:val="left"/>
      <w:pPr>
        <w:ind w:left="2880" w:hanging="360"/>
      </w:pPr>
      <w:rPr>
        <w:rFonts w:ascii="Symbol" w:hAnsi="Symbol" w:hint="default"/>
      </w:rPr>
    </w:lvl>
    <w:lvl w:ilvl="4" w:tplc="A5D8E660" w:tentative="1">
      <w:start w:val="1"/>
      <w:numFmt w:val="bullet"/>
      <w:lvlText w:val="o"/>
      <w:lvlJc w:val="left"/>
      <w:pPr>
        <w:ind w:left="3600" w:hanging="360"/>
      </w:pPr>
      <w:rPr>
        <w:rFonts w:ascii="Courier New" w:hAnsi="Courier New" w:cs="Courier New" w:hint="default"/>
      </w:rPr>
    </w:lvl>
    <w:lvl w:ilvl="5" w:tplc="82FECBEE" w:tentative="1">
      <w:start w:val="1"/>
      <w:numFmt w:val="bullet"/>
      <w:lvlText w:val=""/>
      <w:lvlJc w:val="left"/>
      <w:pPr>
        <w:ind w:left="4320" w:hanging="360"/>
      </w:pPr>
      <w:rPr>
        <w:rFonts w:ascii="Wingdings" w:hAnsi="Wingdings" w:hint="default"/>
      </w:rPr>
    </w:lvl>
    <w:lvl w:ilvl="6" w:tplc="ED72EB88" w:tentative="1">
      <w:start w:val="1"/>
      <w:numFmt w:val="bullet"/>
      <w:lvlText w:val=""/>
      <w:lvlJc w:val="left"/>
      <w:pPr>
        <w:ind w:left="5040" w:hanging="360"/>
      </w:pPr>
      <w:rPr>
        <w:rFonts w:ascii="Symbol" w:hAnsi="Symbol" w:hint="default"/>
      </w:rPr>
    </w:lvl>
    <w:lvl w:ilvl="7" w:tplc="7D02207C" w:tentative="1">
      <w:start w:val="1"/>
      <w:numFmt w:val="bullet"/>
      <w:lvlText w:val="o"/>
      <w:lvlJc w:val="left"/>
      <w:pPr>
        <w:ind w:left="5760" w:hanging="360"/>
      </w:pPr>
      <w:rPr>
        <w:rFonts w:ascii="Courier New" w:hAnsi="Courier New" w:cs="Courier New" w:hint="default"/>
      </w:rPr>
    </w:lvl>
    <w:lvl w:ilvl="8" w:tplc="B380E0BA"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248EC3F0"/>
    <w:lvl w:ilvl="0" w:tplc="4F087D90">
      <w:start w:val="1"/>
      <w:numFmt w:val="bullet"/>
      <w:lvlText w:val=""/>
      <w:lvlJc w:val="left"/>
      <w:pPr>
        <w:ind w:left="720" w:hanging="360"/>
      </w:pPr>
      <w:rPr>
        <w:rFonts w:ascii="Symbol" w:hAnsi="Symbol" w:hint="default"/>
      </w:rPr>
    </w:lvl>
    <w:lvl w:ilvl="1" w:tplc="9EEEB514" w:tentative="1">
      <w:start w:val="1"/>
      <w:numFmt w:val="bullet"/>
      <w:lvlText w:val="o"/>
      <w:lvlJc w:val="left"/>
      <w:pPr>
        <w:ind w:left="1440" w:hanging="360"/>
      </w:pPr>
      <w:rPr>
        <w:rFonts w:ascii="Courier New" w:hAnsi="Courier New" w:cs="Courier New" w:hint="default"/>
      </w:rPr>
    </w:lvl>
    <w:lvl w:ilvl="2" w:tplc="5E403444" w:tentative="1">
      <w:start w:val="1"/>
      <w:numFmt w:val="bullet"/>
      <w:lvlText w:val=""/>
      <w:lvlJc w:val="left"/>
      <w:pPr>
        <w:ind w:left="2160" w:hanging="360"/>
      </w:pPr>
      <w:rPr>
        <w:rFonts w:ascii="Wingdings" w:hAnsi="Wingdings" w:hint="default"/>
      </w:rPr>
    </w:lvl>
    <w:lvl w:ilvl="3" w:tplc="81DEBDB4" w:tentative="1">
      <w:start w:val="1"/>
      <w:numFmt w:val="bullet"/>
      <w:lvlText w:val=""/>
      <w:lvlJc w:val="left"/>
      <w:pPr>
        <w:ind w:left="2880" w:hanging="360"/>
      </w:pPr>
      <w:rPr>
        <w:rFonts w:ascii="Symbol" w:hAnsi="Symbol" w:hint="default"/>
      </w:rPr>
    </w:lvl>
    <w:lvl w:ilvl="4" w:tplc="424E2CAA" w:tentative="1">
      <w:start w:val="1"/>
      <w:numFmt w:val="bullet"/>
      <w:lvlText w:val="o"/>
      <w:lvlJc w:val="left"/>
      <w:pPr>
        <w:ind w:left="3600" w:hanging="360"/>
      </w:pPr>
      <w:rPr>
        <w:rFonts w:ascii="Courier New" w:hAnsi="Courier New" w:cs="Courier New" w:hint="default"/>
      </w:rPr>
    </w:lvl>
    <w:lvl w:ilvl="5" w:tplc="DD2467F8" w:tentative="1">
      <w:start w:val="1"/>
      <w:numFmt w:val="bullet"/>
      <w:lvlText w:val=""/>
      <w:lvlJc w:val="left"/>
      <w:pPr>
        <w:ind w:left="4320" w:hanging="360"/>
      </w:pPr>
      <w:rPr>
        <w:rFonts w:ascii="Wingdings" w:hAnsi="Wingdings" w:hint="default"/>
      </w:rPr>
    </w:lvl>
    <w:lvl w:ilvl="6" w:tplc="ED4E74DE" w:tentative="1">
      <w:start w:val="1"/>
      <w:numFmt w:val="bullet"/>
      <w:lvlText w:val=""/>
      <w:lvlJc w:val="left"/>
      <w:pPr>
        <w:ind w:left="5040" w:hanging="360"/>
      </w:pPr>
      <w:rPr>
        <w:rFonts w:ascii="Symbol" w:hAnsi="Symbol" w:hint="default"/>
      </w:rPr>
    </w:lvl>
    <w:lvl w:ilvl="7" w:tplc="009CC4E8" w:tentative="1">
      <w:start w:val="1"/>
      <w:numFmt w:val="bullet"/>
      <w:lvlText w:val="o"/>
      <w:lvlJc w:val="left"/>
      <w:pPr>
        <w:ind w:left="5760" w:hanging="360"/>
      </w:pPr>
      <w:rPr>
        <w:rFonts w:ascii="Courier New" w:hAnsi="Courier New" w:cs="Courier New" w:hint="default"/>
      </w:rPr>
    </w:lvl>
    <w:lvl w:ilvl="8" w:tplc="8EDE3C18"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DD4EAD7A"/>
    <w:lvl w:ilvl="0" w:tplc="46E40A8E">
      <w:start w:val="1"/>
      <w:numFmt w:val="bullet"/>
      <w:lvlText w:val=""/>
      <w:lvlJc w:val="left"/>
      <w:pPr>
        <w:ind w:left="720" w:hanging="360"/>
      </w:pPr>
      <w:rPr>
        <w:rFonts w:ascii="Symbol" w:hAnsi="Symbol" w:hint="default"/>
      </w:rPr>
    </w:lvl>
    <w:lvl w:ilvl="1" w:tplc="6AE2EC80" w:tentative="1">
      <w:start w:val="1"/>
      <w:numFmt w:val="bullet"/>
      <w:lvlText w:val="o"/>
      <w:lvlJc w:val="left"/>
      <w:pPr>
        <w:ind w:left="1440" w:hanging="360"/>
      </w:pPr>
      <w:rPr>
        <w:rFonts w:ascii="Courier New" w:hAnsi="Courier New" w:cs="Courier New" w:hint="default"/>
      </w:rPr>
    </w:lvl>
    <w:lvl w:ilvl="2" w:tplc="9AB23658" w:tentative="1">
      <w:start w:val="1"/>
      <w:numFmt w:val="bullet"/>
      <w:lvlText w:val=""/>
      <w:lvlJc w:val="left"/>
      <w:pPr>
        <w:ind w:left="2160" w:hanging="360"/>
      </w:pPr>
      <w:rPr>
        <w:rFonts w:ascii="Wingdings" w:hAnsi="Wingdings" w:hint="default"/>
      </w:rPr>
    </w:lvl>
    <w:lvl w:ilvl="3" w:tplc="4C06F69E" w:tentative="1">
      <w:start w:val="1"/>
      <w:numFmt w:val="bullet"/>
      <w:lvlText w:val=""/>
      <w:lvlJc w:val="left"/>
      <w:pPr>
        <w:ind w:left="2880" w:hanging="360"/>
      </w:pPr>
      <w:rPr>
        <w:rFonts w:ascii="Symbol" w:hAnsi="Symbol" w:hint="default"/>
      </w:rPr>
    </w:lvl>
    <w:lvl w:ilvl="4" w:tplc="D4B0DA1A" w:tentative="1">
      <w:start w:val="1"/>
      <w:numFmt w:val="bullet"/>
      <w:lvlText w:val="o"/>
      <w:lvlJc w:val="left"/>
      <w:pPr>
        <w:ind w:left="3600" w:hanging="360"/>
      </w:pPr>
      <w:rPr>
        <w:rFonts w:ascii="Courier New" w:hAnsi="Courier New" w:cs="Courier New" w:hint="default"/>
      </w:rPr>
    </w:lvl>
    <w:lvl w:ilvl="5" w:tplc="B0E26188" w:tentative="1">
      <w:start w:val="1"/>
      <w:numFmt w:val="bullet"/>
      <w:lvlText w:val=""/>
      <w:lvlJc w:val="left"/>
      <w:pPr>
        <w:ind w:left="4320" w:hanging="360"/>
      </w:pPr>
      <w:rPr>
        <w:rFonts w:ascii="Wingdings" w:hAnsi="Wingdings" w:hint="default"/>
      </w:rPr>
    </w:lvl>
    <w:lvl w:ilvl="6" w:tplc="298C393C" w:tentative="1">
      <w:start w:val="1"/>
      <w:numFmt w:val="bullet"/>
      <w:lvlText w:val=""/>
      <w:lvlJc w:val="left"/>
      <w:pPr>
        <w:ind w:left="5040" w:hanging="360"/>
      </w:pPr>
      <w:rPr>
        <w:rFonts w:ascii="Symbol" w:hAnsi="Symbol" w:hint="default"/>
      </w:rPr>
    </w:lvl>
    <w:lvl w:ilvl="7" w:tplc="0E227072" w:tentative="1">
      <w:start w:val="1"/>
      <w:numFmt w:val="bullet"/>
      <w:lvlText w:val="o"/>
      <w:lvlJc w:val="left"/>
      <w:pPr>
        <w:ind w:left="5760" w:hanging="360"/>
      </w:pPr>
      <w:rPr>
        <w:rFonts w:ascii="Courier New" w:hAnsi="Courier New" w:cs="Courier New" w:hint="default"/>
      </w:rPr>
    </w:lvl>
    <w:lvl w:ilvl="8" w:tplc="51C463B6"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C2D84B00"/>
    <w:lvl w:ilvl="0" w:tplc="643A87F2">
      <w:start w:val="1"/>
      <w:numFmt w:val="bullet"/>
      <w:lvlText w:val=""/>
      <w:lvlJc w:val="left"/>
      <w:pPr>
        <w:ind w:left="720" w:hanging="360"/>
      </w:pPr>
      <w:rPr>
        <w:rFonts w:ascii="Symbol" w:hAnsi="Symbol" w:hint="default"/>
      </w:rPr>
    </w:lvl>
    <w:lvl w:ilvl="1" w:tplc="C76AB154" w:tentative="1">
      <w:start w:val="1"/>
      <w:numFmt w:val="bullet"/>
      <w:lvlText w:val="o"/>
      <w:lvlJc w:val="left"/>
      <w:pPr>
        <w:ind w:left="1440" w:hanging="360"/>
      </w:pPr>
      <w:rPr>
        <w:rFonts w:ascii="Courier New" w:hAnsi="Courier New" w:cs="Courier New" w:hint="default"/>
      </w:rPr>
    </w:lvl>
    <w:lvl w:ilvl="2" w:tplc="8D18463E" w:tentative="1">
      <w:start w:val="1"/>
      <w:numFmt w:val="bullet"/>
      <w:lvlText w:val=""/>
      <w:lvlJc w:val="left"/>
      <w:pPr>
        <w:ind w:left="2160" w:hanging="360"/>
      </w:pPr>
      <w:rPr>
        <w:rFonts w:ascii="Wingdings" w:hAnsi="Wingdings" w:hint="default"/>
      </w:rPr>
    </w:lvl>
    <w:lvl w:ilvl="3" w:tplc="336C41B0" w:tentative="1">
      <w:start w:val="1"/>
      <w:numFmt w:val="bullet"/>
      <w:lvlText w:val=""/>
      <w:lvlJc w:val="left"/>
      <w:pPr>
        <w:ind w:left="2880" w:hanging="360"/>
      </w:pPr>
      <w:rPr>
        <w:rFonts w:ascii="Symbol" w:hAnsi="Symbol" w:hint="default"/>
      </w:rPr>
    </w:lvl>
    <w:lvl w:ilvl="4" w:tplc="7C263E44" w:tentative="1">
      <w:start w:val="1"/>
      <w:numFmt w:val="bullet"/>
      <w:lvlText w:val="o"/>
      <w:lvlJc w:val="left"/>
      <w:pPr>
        <w:ind w:left="3600" w:hanging="360"/>
      </w:pPr>
      <w:rPr>
        <w:rFonts w:ascii="Courier New" w:hAnsi="Courier New" w:cs="Courier New" w:hint="default"/>
      </w:rPr>
    </w:lvl>
    <w:lvl w:ilvl="5" w:tplc="48EE4366" w:tentative="1">
      <w:start w:val="1"/>
      <w:numFmt w:val="bullet"/>
      <w:lvlText w:val=""/>
      <w:lvlJc w:val="left"/>
      <w:pPr>
        <w:ind w:left="4320" w:hanging="360"/>
      </w:pPr>
      <w:rPr>
        <w:rFonts w:ascii="Wingdings" w:hAnsi="Wingdings" w:hint="default"/>
      </w:rPr>
    </w:lvl>
    <w:lvl w:ilvl="6" w:tplc="3452B26E" w:tentative="1">
      <w:start w:val="1"/>
      <w:numFmt w:val="bullet"/>
      <w:lvlText w:val=""/>
      <w:lvlJc w:val="left"/>
      <w:pPr>
        <w:ind w:left="5040" w:hanging="360"/>
      </w:pPr>
      <w:rPr>
        <w:rFonts w:ascii="Symbol" w:hAnsi="Symbol" w:hint="default"/>
      </w:rPr>
    </w:lvl>
    <w:lvl w:ilvl="7" w:tplc="AC92E91E" w:tentative="1">
      <w:start w:val="1"/>
      <w:numFmt w:val="bullet"/>
      <w:lvlText w:val="o"/>
      <w:lvlJc w:val="left"/>
      <w:pPr>
        <w:ind w:left="5760" w:hanging="360"/>
      </w:pPr>
      <w:rPr>
        <w:rFonts w:ascii="Courier New" w:hAnsi="Courier New" w:cs="Courier New" w:hint="default"/>
      </w:rPr>
    </w:lvl>
    <w:lvl w:ilvl="8" w:tplc="DA42CA96"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B358DEEA"/>
    <w:lvl w:ilvl="0" w:tplc="FB405222">
      <w:start w:val="1"/>
      <w:numFmt w:val="bullet"/>
      <w:lvlText w:val=""/>
      <w:lvlJc w:val="left"/>
      <w:pPr>
        <w:ind w:left="720" w:hanging="360"/>
      </w:pPr>
      <w:rPr>
        <w:rFonts w:ascii="Wingdings" w:hAnsi="Wingdings" w:hint="default"/>
      </w:rPr>
    </w:lvl>
    <w:lvl w:ilvl="1" w:tplc="3A227796" w:tentative="1">
      <w:start w:val="1"/>
      <w:numFmt w:val="bullet"/>
      <w:lvlText w:val="o"/>
      <w:lvlJc w:val="left"/>
      <w:pPr>
        <w:ind w:left="1440" w:hanging="360"/>
      </w:pPr>
      <w:rPr>
        <w:rFonts w:ascii="Courier New" w:hAnsi="Courier New" w:cs="Courier New" w:hint="default"/>
      </w:rPr>
    </w:lvl>
    <w:lvl w:ilvl="2" w:tplc="515CCE70" w:tentative="1">
      <w:start w:val="1"/>
      <w:numFmt w:val="bullet"/>
      <w:lvlText w:val=""/>
      <w:lvlJc w:val="left"/>
      <w:pPr>
        <w:ind w:left="2160" w:hanging="360"/>
      </w:pPr>
      <w:rPr>
        <w:rFonts w:ascii="Wingdings" w:hAnsi="Wingdings" w:hint="default"/>
      </w:rPr>
    </w:lvl>
    <w:lvl w:ilvl="3" w:tplc="3BFCA37E" w:tentative="1">
      <w:start w:val="1"/>
      <w:numFmt w:val="bullet"/>
      <w:lvlText w:val=""/>
      <w:lvlJc w:val="left"/>
      <w:pPr>
        <w:ind w:left="2880" w:hanging="360"/>
      </w:pPr>
      <w:rPr>
        <w:rFonts w:ascii="Symbol" w:hAnsi="Symbol" w:hint="default"/>
      </w:rPr>
    </w:lvl>
    <w:lvl w:ilvl="4" w:tplc="A48E8D7A" w:tentative="1">
      <w:start w:val="1"/>
      <w:numFmt w:val="bullet"/>
      <w:lvlText w:val="o"/>
      <w:lvlJc w:val="left"/>
      <w:pPr>
        <w:ind w:left="3600" w:hanging="360"/>
      </w:pPr>
      <w:rPr>
        <w:rFonts w:ascii="Courier New" w:hAnsi="Courier New" w:cs="Courier New" w:hint="default"/>
      </w:rPr>
    </w:lvl>
    <w:lvl w:ilvl="5" w:tplc="0ADA93CE" w:tentative="1">
      <w:start w:val="1"/>
      <w:numFmt w:val="bullet"/>
      <w:lvlText w:val=""/>
      <w:lvlJc w:val="left"/>
      <w:pPr>
        <w:ind w:left="4320" w:hanging="360"/>
      </w:pPr>
      <w:rPr>
        <w:rFonts w:ascii="Wingdings" w:hAnsi="Wingdings" w:hint="default"/>
      </w:rPr>
    </w:lvl>
    <w:lvl w:ilvl="6" w:tplc="E28A4368" w:tentative="1">
      <w:start w:val="1"/>
      <w:numFmt w:val="bullet"/>
      <w:lvlText w:val=""/>
      <w:lvlJc w:val="left"/>
      <w:pPr>
        <w:ind w:left="5040" w:hanging="360"/>
      </w:pPr>
      <w:rPr>
        <w:rFonts w:ascii="Symbol" w:hAnsi="Symbol" w:hint="default"/>
      </w:rPr>
    </w:lvl>
    <w:lvl w:ilvl="7" w:tplc="3AB0CD9C" w:tentative="1">
      <w:start w:val="1"/>
      <w:numFmt w:val="bullet"/>
      <w:lvlText w:val="o"/>
      <w:lvlJc w:val="left"/>
      <w:pPr>
        <w:ind w:left="5760" w:hanging="360"/>
      </w:pPr>
      <w:rPr>
        <w:rFonts w:ascii="Courier New" w:hAnsi="Courier New" w:cs="Courier New" w:hint="default"/>
      </w:rPr>
    </w:lvl>
    <w:lvl w:ilvl="8" w:tplc="68C23126"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83C835AA"/>
    <w:lvl w:ilvl="0" w:tplc="3266C74C">
      <w:start w:val="1"/>
      <w:numFmt w:val="bullet"/>
      <w:lvlText w:val=""/>
      <w:lvlJc w:val="left"/>
      <w:pPr>
        <w:ind w:left="720" w:hanging="360"/>
      </w:pPr>
      <w:rPr>
        <w:rFonts w:ascii="Symbol" w:hAnsi="Symbol" w:hint="default"/>
      </w:rPr>
    </w:lvl>
    <w:lvl w:ilvl="1" w:tplc="48623294" w:tentative="1">
      <w:start w:val="1"/>
      <w:numFmt w:val="bullet"/>
      <w:lvlText w:val="o"/>
      <w:lvlJc w:val="left"/>
      <w:pPr>
        <w:ind w:left="1440" w:hanging="360"/>
      </w:pPr>
      <w:rPr>
        <w:rFonts w:ascii="Courier New" w:hAnsi="Courier New" w:cs="Courier New" w:hint="default"/>
      </w:rPr>
    </w:lvl>
    <w:lvl w:ilvl="2" w:tplc="E6DAEEE2" w:tentative="1">
      <w:start w:val="1"/>
      <w:numFmt w:val="bullet"/>
      <w:lvlText w:val=""/>
      <w:lvlJc w:val="left"/>
      <w:pPr>
        <w:ind w:left="2160" w:hanging="360"/>
      </w:pPr>
      <w:rPr>
        <w:rFonts w:ascii="Wingdings" w:hAnsi="Wingdings" w:hint="default"/>
      </w:rPr>
    </w:lvl>
    <w:lvl w:ilvl="3" w:tplc="D94CC36C" w:tentative="1">
      <w:start w:val="1"/>
      <w:numFmt w:val="bullet"/>
      <w:lvlText w:val=""/>
      <w:lvlJc w:val="left"/>
      <w:pPr>
        <w:ind w:left="2880" w:hanging="360"/>
      </w:pPr>
      <w:rPr>
        <w:rFonts w:ascii="Symbol" w:hAnsi="Symbol" w:hint="default"/>
      </w:rPr>
    </w:lvl>
    <w:lvl w:ilvl="4" w:tplc="C11E2AE8" w:tentative="1">
      <w:start w:val="1"/>
      <w:numFmt w:val="bullet"/>
      <w:lvlText w:val="o"/>
      <w:lvlJc w:val="left"/>
      <w:pPr>
        <w:ind w:left="3600" w:hanging="360"/>
      </w:pPr>
      <w:rPr>
        <w:rFonts w:ascii="Courier New" w:hAnsi="Courier New" w:cs="Courier New" w:hint="default"/>
      </w:rPr>
    </w:lvl>
    <w:lvl w:ilvl="5" w:tplc="6A223A78" w:tentative="1">
      <w:start w:val="1"/>
      <w:numFmt w:val="bullet"/>
      <w:lvlText w:val=""/>
      <w:lvlJc w:val="left"/>
      <w:pPr>
        <w:ind w:left="4320" w:hanging="360"/>
      </w:pPr>
      <w:rPr>
        <w:rFonts w:ascii="Wingdings" w:hAnsi="Wingdings" w:hint="default"/>
      </w:rPr>
    </w:lvl>
    <w:lvl w:ilvl="6" w:tplc="6DD6434C" w:tentative="1">
      <w:start w:val="1"/>
      <w:numFmt w:val="bullet"/>
      <w:lvlText w:val=""/>
      <w:lvlJc w:val="left"/>
      <w:pPr>
        <w:ind w:left="5040" w:hanging="360"/>
      </w:pPr>
      <w:rPr>
        <w:rFonts w:ascii="Symbol" w:hAnsi="Symbol" w:hint="default"/>
      </w:rPr>
    </w:lvl>
    <w:lvl w:ilvl="7" w:tplc="342CC384" w:tentative="1">
      <w:start w:val="1"/>
      <w:numFmt w:val="bullet"/>
      <w:lvlText w:val="o"/>
      <w:lvlJc w:val="left"/>
      <w:pPr>
        <w:ind w:left="5760" w:hanging="360"/>
      </w:pPr>
      <w:rPr>
        <w:rFonts w:ascii="Courier New" w:hAnsi="Courier New" w:cs="Courier New" w:hint="default"/>
      </w:rPr>
    </w:lvl>
    <w:lvl w:ilvl="8" w:tplc="4836D1E8"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04709E78"/>
    <w:lvl w:ilvl="0" w:tplc="5ADE4F40">
      <w:start w:val="1"/>
      <w:numFmt w:val="bullet"/>
      <w:lvlText w:val=""/>
      <w:lvlJc w:val="left"/>
      <w:pPr>
        <w:ind w:left="720" w:hanging="360"/>
      </w:pPr>
      <w:rPr>
        <w:rFonts w:ascii="Symbol" w:hAnsi="Symbol" w:hint="default"/>
      </w:rPr>
    </w:lvl>
    <w:lvl w:ilvl="1" w:tplc="D6B81100" w:tentative="1">
      <w:start w:val="1"/>
      <w:numFmt w:val="bullet"/>
      <w:lvlText w:val="o"/>
      <w:lvlJc w:val="left"/>
      <w:pPr>
        <w:ind w:left="1440" w:hanging="360"/>
      </w:pPr>
      <w:rPr>
        <w:rFonts w:ascii="Courier New" w:hAnsi="Courier New" w:cs="Courier New" w:hint="default"/>
      </w:rPr>
    </w:lvl>
    <w:lvl w:ilvl="2" w:tplc="A6882B24" w:tentative="1">
      <w:start w:val="1"/>
      <w:numFmt w:val="bullet"/>
      <w:lvlText w:val=""/>
      <w:lvlJc w:val="left"/>
      <w:pPr>
        <w:ind w:left="2160" w:hanging="360"/>
      </w:pPr>
      <w:rPr>
        <w:rFonts w:ascii="Wingdings" w:hAnsi="Wingdings" w:hint="default"/>
      </w:rPr>
    </w:lvl>
    <w:lvl w:ilvl="3" w:tplc="856CEFCA" w:tentative="1">
      <w:start w:val="1"/>
      <w:numFmt w:val="bullet"/>
      <w:lvlText w:val=""/>
      <w:lvlJc w:val="left"/>
      <w:pPr>
        <w:ind w:left="2880" w:hanging="360"/>
      </w:pPr>
      <w:rPr>
        <w:rFonts w:ascii="Symbol" w:hAnsi="Symbol" w:hint="default"/>
      </w:rPr>
    </w:lvl>
    <w:lvl w:ilvl="4" w:tplc="9BEC44BE" w:tentative="1">
      <w:start w:val="1"/>
      <w:numFmt w:val="bullet"/>
      <w:lvlText w:val="o"/>
      <w:lvlJc w:val="left"/>
      <w:pPr>
        <w:ind w:left="3600" w:hanging="360"/>
      </w:pPr>
      <w:rPr>
        <w:rFonts w:ascii="Courier New" w:hAnsi="Courier New" w:cs="Courier New" w:hint="default"/>
      </w:rPr>
    </w:lvl>
    <w:lvl w:ilvl="5" w:tplc="A3F44902" w:tentative="1">
      <w:start w:val="1"/>
      <w:numFmt w:val="bullet"/>
      <w:lvlText w:val=""/>
      <w:lvlJc w:val="left"/>
      <w:pPr>
        <w:ind w:left="4320" w:hanging="360"/>
      </w:pPr>
      <w:rPr>
        <w:rFonts w:ascii="Wingdings" w:hAnsi="Wingdings" w:hint="default"/>
      </w:rPr>
    </w:lvl>
    <w:lvl w:ilvl="6" w:tplc="669CF0DA" w:tentative="1">
      <w:start w:val="1"/>
      <w:numFmt w:val="bullet"/>
      <w:lvlText w:val=""/>
      <w:lvlJc w:val="left"/>
      <w:pPr>
        <w:ind w:left="5040" w:hanging="360"/>
      </w:pPr>
      <w:rPr>
        <w:rFonts w:ascii="Symbol" w:hAnsi="Symbol" w:hint="default"/>
      </w:rPr>
    </w:lvl>
    <w:lvl w:ilvl="7" w:tplc="847614CA" w:tentative="1">
      <w:start w:val="1"/>
      <w:numFmt w:val="bullet"/>
      <w:lvlText w:val="o"/>
      <w:lvlJc w:val="left"/>
      <w:pPr>
        <w:ind w:left="5760" w:hanging="360"/>
      </w:pPr>
      <w:rPr>
        <w:rFonts w:ascii="Courier New" w:hAnsi="Courier New" w:cs="Courier New" w:hint="default"/>
      </w:rPr>
    </w:lvl>
    <w:lvl w:ilvl="8" w:tplc="E5826D48"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949835D4"/>
    <w:lvl w:ilvl="0" w:tplc="311A42E0">
      <w:start w:val="1"/>
      <w:numFmt w:val="decimal"/>
      <w:lvlText w:val="%1."/>
      <w:lvlJc w:val="left"/>
      <w:pPr>
        <w:ind w:left="720" w:hanging="360"/>
      </w:pPr>
    </w:lvl>
    <w:lvl w:ilvl="1" w:tplc="FC66A116" w:tentative="1">
      <w:start w:val="1"/>
      <w:numFmt w:val="lowerLetter"/>
      <w:lvlText w:val="%2."/>
      <w:lvlJc w:val="left"/>
      <w:pPr>
        <w:ind w:left="1440" w:hanging="360"/>
      </w:pPr>
    </w:lvl>
    <w:lvl w:ilvl="2" w:tplc="74BA7466" w:tentative="1">
      <w:start w:val="1"/>
      <w:numFmt w:val="lowerRoman"/>
      <w:lvlText w:val="%3."/>
      <w:lvlJc w:val="right"/>
      <w:pPr>
        <w:ind w:left="2160" w:hanging="180"/>
      </w:pPr>
    </w:lvl>
    <w:lvl w:ilvl="3" w:tplc="C7FE0C4C" w:tentative="1">
      <w:start w:val="1"/>
      <w:numFmt w:val="decimal"/>
      <w:lvlText w:val="%4."/>
      <w:lvlJc w:val="left"/>
      <w:pPr>
        <w:ind w:left="2880" w:hanging="360"/>
      </w:pPr>
    </w:lvl>
    <w:lvl w:ilvl="4" w:tplc="44B42894" w:tentative="1">
      <w:start w:val="1"/>
      <w:numFmt w:val="lowerLetter"/>
      <w:lvlText w:val="%5."/>
      <w:lvlJc w:val="left"/>
      <w:pPr>
        <w:ind w:left="3600" w:hanging="360"/>
      </w:pPr>
    </w:lvl>
    <w:lvl w:ilvl="5" w:tplc="13C49834" w:tentative="1">
      <w:start w:val="1"/>
      <w:numFmt w:val="lowerRoman"/>
      <w:lvlText w:val="%6."/>
      <w:lvlJc w:val="right"/>
      <w:pPr>
        <w:ind w:left="4320" w:hanging="180"/>
      </w:pPr>
    </w:lvl>
    <w:lvl w:ilvl="6" w:tplc="8BA0DD3A" w:tentative="1">
      <w:start w:val="1"/>
      <w:numFmt w:val="decimal"/>
      <w:lvlText w:val="%7."/>
      <w:lvlJc w:val="left"/>
      <w:pPr>
        <w:ind w:left="5040" w:hanging="360"/>
      </w:pPr>
    </w:lvl>
    <w:lvl w:ilvl="7" w:tplc="8E304760" w:tentative="1">
      <w:start w:val="1"/>
      <w:numFmt w:val="lowerLetter"/>
      <w:lvlText w:val="%8."/>
      <w:lvlJc w:val="left"/>
      <w:pPr>
        <w:ind w:left="5760" w:hanging="360"/>
      </w:pPr>
    </w:lvl>
    <w:lvl w:ilvl="8" w:tplc="900C9E62" w:tentative="1">
      <w:start w:val="1"/>
      <w:numFmt w:val="lowerRoman"/>
      <w:lvlText w:val="%9."/>
      <w:lvlJc w:val="right"/>
      <w:pPr>
        <w:ind w:left="6480" w:hanging="180"/>
      </w:pPr>
    </w:lvl>
  </w:abstractNum>
  <w:abstractNum w:abstractNumId="24" w15:restartNumberingAfterBreak="0">
    <w:nsid w:val="00000019"/>
    <w:multiLevelType w:val="hybridMultilevel"/>
    <w:tmpl w:val="A93E21A8"/>
    <w:lvl w:ilvl="0" w:tplc="C038A128">
      <w:start w:val="1"/>
      <w:numFmt w:val="decimal"/>
      <w:lvlText w:val="%1."/>
      <w:lvlJc w:val="left"/>
      <w:pPr>
        <w:ind w:left="720" w:hanging="360"/>
      </w:pPr>
      <w:rPr>
        <w:rFonts w:hint="default"/>
      </w:rPr>
    </w:lvl>
    <w:lvl w:ilvl="1" w:tplc="12D84082" w:tentative="1">
      <w:start w:val="1"/>
      <w:numFmt w:val="lowerLetter"/>
      <w:lvlText w:val="%2."/>
      <w:lvlJc w:val="left"/>
      <w:pPr>
        <w:ind w:left="1440" w:hanging="360"/>
      </w:pPr>
    </w:lvl>
    <w:lvl w:ilvl="2" w:tplc="377E6440" w:tentative="1">
      <w:start w:val="1"/>
      <w:numFmt w:val="lowerRoman"/>
      <w:lvlText w:val="%3."/>
      <w:lvlJc w:val="right"/>
      <w:pPr>
        <w:ind w:left="2160" w:hanging="180"/>
      </w:pPr>
    </w:lvl>
    <w:lvl w:ilvl="3" w:tplc="6D8E37C8" w:tentative="1">
      <w:start w:val="1"/>
      <w:numFmt w:val="decimal"/>
      <w:lvlText w:val="%4."/>
      <w:lvlJc w:val="left"/>
      <w:pPr>
        <w:ind w:left="2880" w:hanging="360"/>
      </w:pPr>
    </w:lvl>
    <w:lvl w:ilvl="4" w:tplc="5A7A5300" w:tentative="1">
      <w:start w:val="1"/>
      <w:numFmt w:val="lowerLetter"/>
      <w:lvlText w:val="%5."/>
      <w:lvlJc w:val="left"/>
      <w:pPr>
        <w:ind w:left="3600" w:hanging="360"/>
      </w:pPr>
    </w:lvl>
    <w:lvl w:ilvl="5" w:tplc="7C08A7C6" w:tentative="1">
      <w:start w:val="1"/>
      <w:numFmt w:val="lowerRoman"/>
      <w:lvlText w:val="%6."/>
      <w:lvlJc w:val="right"/>
      <w:pPr>
        <w:ind w:left="4320" w:hanging="180"/>
      </w:pPr>
    </w:lvl>
    <w:lvl w:ilvl="6" w:tplc="D090C024" w:tentative="1">
      <w:start w:val="1"/>
      <w:numFmt w:val="decimal"/>
      <w:lvlText w:val="%7."/>
      <w:lvlJc w:val="left"/>
      <w:pPr>
        <w:ind w:left="5040" w:hanging="360"/>
      </w:pPr>
    </w:lvl>
    <w:lvl w:ilvl="7" w:tplc="B6ECF41C" w:tentative="1">
      <w:start w:val="1"/>
      <w:numFmt w:val="lowerLetter"/>
      <w:lvlText w:val="%8."/>
      <w:lvlJc w:val="left"/>
      <w:pPr>
        <w:ind w:left="5760" w:hanging="360"/>
      </w:pPr>
    </w:lvl>
    <w:lvl w:ilvl="8" w:tplc="9CCCC06A" w:tentative="1">
      <w:start w:val="1"/>
      <w:numFmt w:val="lowerRoman"/>
      <w:lvlText w:val="%9."/>
      <w:lvlJc w:val="right"/>
      <w:pPr>
        <w:ind w:left="6480" w:hanging="180"/>
      </w:pPr>
    </w:lvl>
  </w:abstractNum>
  <w:abstractNum w:abstractNumId="25" w15:restartNumberingAfterBreak="0">
    <w:nsid w:val="0000001A"/>
    <w:multiLevelType w:val="hybridMultilevel"/>
    <w:tmpl w:val="1CDA5D1A"/>
    <w:lvl w:ilvl="0" w:tplc="774AEED0">
      <w:start w:val="1"/>
      <w:numFmt w:val="bullet"/>
      <w:lvlText w:val=""/>
      <w:lvlJc w:val="left"/>
      <w:pPr>
        <w:ind w:left="2160" w:hanging="360"/>
      </w:pPr>
      <w:rPr>
        <w:rFonts w:ascii="Symbol" w:hAnsi="Symbol" w:hint="default"/>
      </w:rPr>
    </w:lvl>
    <w:lvl w:ilvl="1" w:tplc="4D2C0D98" w:tentative="1">
      <w:start w:val="1"/>
      <w:numFmt w:val="bullet"/>
      <w:lvlText w:val="o"/>
      <w:lvlJc w:val="left"/>
      <w:pPr>
        <w:ind w:left="2880" w:hanging="360"/>
      </w:pPr>
      <w:rPr>
        <w:rFonts w:ascii="Courier New" w:hAnsi="Courier New" w:cs="Courier New" w:hint="default"/>
      </w:rPr>
    </w:lvl>
    <w:lvl w:ilvl="2" w:tplc="D95A0B84" w:tentative="1">
      <w:start w:val="1"/>
      <w:numFmt w:val="bullet"/>
      <w:lvlText w:val=""/>
      <w:lvlJc w:val="left"/>
      <w:pPr>
        <w:ind w:left="3600" w:hanging="360"/>
      </w:pPr>
      <w:rPr>
        <w:rFonts w:ascii="Wingdings" w:hAnsi="Wingdings" w:hint="default"/>
      </w:rPr>
    </w:lvl>
    <w:lvl w:ilvl="3" w:tplc="4300B41E" w:tentative="1">
      <w:start w:val="1"/>
      <w:numFmt w:val="bullet"/>
      <w:lvlText w:val=""/>
      <w:lvlJc w:val="left"/>
      <w:pPr>
        <w:ind w:left="4320" w:hanging="360"/>
      </w:pPr>
      <w:rPr>
        <w:rFonts w:ascii="Symbol" w:hAnsi="Symbol" w:hint="default"/>
      </w:rPr>
    </w:lvl>
    <w:lvl w:ilvl="4" w:tplc="712638BE" w:tentative="1">
      <w:start w:val="1"/>
      <w:numFmt w:val="bullet"/>
      <w:lvlText w:val="o"/>
      <w:lvlJc w:val="left"/>
      <w:pPr>
        <w:ind w:left="5040" w:hanging="360"/>
      </w:pPr>
      <w:rPr>
        <w:rFonts w:ascii="Courier New" w:hAnsi="Courier New" w:cs="Courier New" w:hint="default"/>
      </w:rPr>
    </w:lvl>
    <w:lvl w:ilvl="5" w:tplc="3B6CE70E" w:tentative="1">
      <w:start w:val="1"/>
      <w:numFmt w:val="bullet"/>
      <w:lvlText w:val=""/>
      <w:lvlJc w:val="left"/>
      <w:pPr>
        <w:ind w:left="5760" w:hanging="360"/>
      </w:pPr>
      <w:rPr>
        <w:rFonts w:ascii="Wingdings" w:hAnsi="Wingdings" w:hint="default"/>
      </w:rPr>
    </w:lvl>
    <w:lvl w:ilvl="6" w:tplc="90CC8F7A" w:tentative="1">
      <w:start w:val="1"/>
      <w:numFmt w:val="bullet"/>
      <w:lvlText w:val=""/>
      <w:lvlJc w:val="left"/>
      <w:pPr>
        <w:ind w:left="6480" w:hanging="360"/>
      </w:pPr>
      <w:rPr>
        <w:rFonts w:ascii="Symbol" w:hAnsi="Symbol" w:hint="default"/>
      </w:rPr>
    </w:lvl>
    <w:lvl w:ilvl="7" w:tplc="C1AC5420" w:tentative="1">
      <w:start w:val="1"/>
      <w:numFmt w:val="bullet"/>
      <w:lvlText w:val="o"/>
      <w:lvlJc w:val="left"/>
      <w:pPr>
        <w:ind w:left="7200" w:hanging="360"/>
      </w:pPr>
      <w:rPr>
        <w:rFonts w:ascii="Courier New" w:hAnsi="Courier New" w:cs="Courier New" w:hint="default"/>
      </w:rPr>
    </w:lvl>
    <w:lvl w:ilvl="8" w:tplc="ABDA7CBE" w:tentative="1">
      <w:start w:val="1"/>
      <w:numFmt w:val="bullet"/>
      <w:lvlText w:val=""/>
      <w:lvlJc w:val="left"/>
      <w:pPr>
        <w:ind w:left="7920" w:hanging="360"/>
      </w:pPr>
      <w:rPr>
        <w:rFonts w:ascii="Wingdings" w:hAnsi="Wingdings" w:hint="default"/>
      </w:rPr>
    </w:lvl>
  </w:abstractNum>
  <w:abstractNum w:abstractNumId="26" w15:restartNumberingAfterBreak="0">
    <w:nsid w:val="0000001B"/>
    <w:multiLevelType w:val="hybridMultilevel"/>
    <w:tmpl w:val="CD0CDE10"/>
    <w:lvl w:ilvl="0" w:tplc="AF5A8444">
      <w:start w:val="1"/>
      <w:numFmt w:val="decimal"/>
      <w:lvlText w:val="%1."/>
      <w:lvlJc w:val="left"/>
      <w:pPr>
        <w:ind w:left="720" w:hanging="360"/>
      </w:pPr>
      <w:rPr>
        <w:rFonts w:hint="default"/>
      </w:rPr>
    </w:lvl>
    <w:lvl w:ilvl="1" w:tplc="9EF0E1A8" w:tentative="1">
      <w:start w:val="1"/>
      <w:numFmt w:val="lowerLetter"/>
      <w:lvlText w:val="%2."/>
      <w:lvlJc w:val="left"/>
      <w:pPr>
        <w:ind w:left="1440" w:hanging="360"/>
      </w:pPr>
    </w:lvl>
    <w:lvl w:ilvl="2" w:tplc="72326F68" w:tentative="1">
      <w:start w:val="1"/>
      <w:numFmt w:val="lowerRoman"/>
      <w:lvlText w:val="%3."/>
      <w:lvlJc w:val="right"/>
      <w:pPr>
        <w:ind w:left="2160" w:hanging="180"/>
      </w:pPr>
    </w:lvl>
    <w:lvl w:ilvl="3" w:tplc="8334CB4A" w:tentative="1">
      <w:start w:val="1"/>
      <w:numFmt w:val="decimal"/>
      <w:lvlText w:val="%4."/>
      <w:lvlJc w:val="left"/>
      <w:pPr>
        <w:ind w:left="2880" w:hanging="360"/>
      </w:pPr>
    </w:lvl>
    <w:lvl w:ilvl="4" w:tplc="5EAEC506" w:tentative="1">
      <w:start w:val="1"/>
      <w:numFmt w:val="lowerLetter"/>
      <w:lvlText w:val="%5."/>
      <w:lvlJc w:val="left"/>
      <w:pPr>
        <w:ind w:left="3600" w:hanging="360"/>
      </w:pPr>
    </w:lvl>
    <w:lvl w:ilvl="5" w:tplc="F244AA48" w:tentative="1">
      <w:start w:val="1"/>
      <w:numFmt w:val="lowerRoman"/>
      <w:lvlText w:val="%6."/>
      <w:lvlJc w:val="right"/>
      <w:pPr>
        <w:ind w:left="4320" w:hanging="180"/>
      </w:pPr>
    </w:lvl>
    <w:lvl w:ilvl="6" w:tplc="F6E8C048" w:tentative="1">
      <w:start w:val="1"/>
      <w:numFmt w:val="decimal"/>
      <w:lvlText w:val="%7."/>
      <w:lvlJc w:val="left"/>
      <w:pPr>
        <w:ind w:left="5040" w:hanging="360"/>
      </w:pPr>
    </w:lvl>
    <w:lvl w:ilvl="7" w:tplc="1048041E" w:tentative="1">
      <w:start w:val="1"/>
      <w:numFmt w:val="lowerLetter"/>
      <w:lvlText w:val="%8."/>
      <w:lvlJc w:val="left"/>
      <w:pPr>
        <w:ind w:left="5760" w:hanging="360"/>
      </w:pPr>
    </w:lvl>
    <w:lvl w:ilvl="8" w:tplc="2ED89368" w:tentative="1">
      <w:start w:val="1"/>
      <w:numFmt w:val="lowerRoman"/>
      <w:lvlText w:val="%9."/>
      <w:lvlJc w:val="right"/>
      <w:pPr>
        <w:ind w:left="6480" w:hanging="180"/>
      </w:pPr>
    </w:lvl>
  </w:abstractNum>
  <w:abstractNum w:abstractNumId="27" w15:restartNumberingAfterBreak="0">
    <w:nsid w:val="0000001C"/>
    <w:multiLevelType w:val="hybridMultilevel"/>
    <w:tmpl w:val="4D30AE12"/>
    <w:lvl w:ilvl="0" w:tplc="CE64826E">
      <w:start w:val="1"/>
      <w:numFmt w:val="bullet"/>
      <w:lvlText w:val=""/>
      <w:lvlJc w:val="left"/>
      <w:pPr>
        <w:ind w:left="720" w:hanging="360"/>
      </w:pPr>
      <w:rPr>
        <w:rFonts w:ascii="Symbol" w:hAnsi="Symbol" w:hint="default"/>
      </w:rPr>
    </w:lvl>
    <w:lvl w:ilvl="1" w:tplc="5BB48806" w:tentative="1">
      <w:start w:val="1"/>
      <w:numFmt w:val="bullet"/>
      <w:lvlText w:val="o"/>
      <w:lvlJc w:val="left"/>
      <w:pPr>
        <w:ind w:left="1440" w:hanging="360"/>
      </w:pPr>
      <w:rPr>
        <w:rFonts w:ascii="Courier New" w:hAnsi="Courier New" w:cs="Courier New" w:hint="default"/>
      </w:rPr>
    </w:lvl>
    <w:lvl w:ilvl="2" w:tplc="D97ABD28" w:tentative="1">
      <w:start w:val="1"/>
      <w:numFmt w:val="bullet"/>
      <w:lvlText w:val=""/>
      <w:lvlJc w:val="left"/>
      <w:pPr>
        <w:ind w:left="2160" w:hanging="360"/>
      </w:pPr>
      <w:rPr>
        <w:rFonts w:ascii="Wingdings" w:hAnsi="Wingdings" w:hint="default"/>
      </w:rPr>
    </w:lvl>
    <w:lvl w:ilvl="3" w:tplc="5AB41594" w:tentative="1">
      <w:start w:val="1"/>
      <w:numFmt w:val="bullet"/>
      <w:lvlText w:val=""/>
      <w:lvlJc w:val="left"/>
      <w:pPr>
        <w:ind w:left="2880" w:hanging="360"/>
      </w:pPr>
      <w:rPr>
        <w:rFonts w:ascii="Symbol" w:hAnsi="Symbol" w:hint="default"/>
      </w:rPr>
    </w:lvl>
    <w:lvl w:ilvl="4" w:tplc="50367732" w:tentative="1">
      <w:start w:val="1"/>
      <w:numFmt w:val="bullet"/>
      <w:lvlText w:val="o"/>
      <w:lvlJc w:val="left"/>
      <w:pPr>
        <w:ind w:left="3600" w:hanging="360"/>
      </w:pPr>
      <w:rPr>
        <w:rFonts w:ascii="Courier New" w:hAnsi="Courier New" w:cs="Courier New" w:hint="default"/>
      </w:rPr>
    </w:lvl>
    <w:lvl w:ilvl="5" w:tplc="524A79E8" w:tentative="1">
      <w:start w:val="1"/>
      <w:numFmt w:val="bullet"/>
      <w:lvlText w:val=""/>
      <w:lvlJc w:val="left"/>
      <w:pPr>
        <w:ind w:left="4320" w:hanging="360"/>
      </w:pPr>
      <w:rPr>
        <w:rFonts w:ascii="Wingdings" w:hAnsi="Wingdings" w:hint="default"/>
      </w:rPr>
    </w:lvl>
    <w:lvl w:ilvl="6" w:tplc="34307C6E" w:tentative="1">
      <w:start w:val="1"/>
      <w:numFmt w:val="bullet"/>
      <w:lvlText w:val=""/>
      <w:lvlJc w:val="left"/>
      <w:pPr>
        <w:ind w:left="5040" w:hanging="360"/>
      </w:pPr>
      <w:rPr>
        <w:rFonts w:ascii="Symbol" w:hAnsi="Symbol" w:hint="default"/>
      </w:rPr>
    </w:lvl>
    <w:lvl w:ilvl="7" w:tplc="04D0050A" w:tentative="1">
      <w:start w:val="1"/>
      <w:numFmt w:val="bullet"/>
      <w:lvlText w:val="o"/>
      <w:lvlJc w:val="left"/>
      <w:pPr>
        <w:ind w:left="5760" w:hanging="360"/>
      </w:pPr>
      <w:rPr>
        <w:rFonts w:ascii="Courier New" w:hAnsi="Courier New" w:cs="Courier New" w:hint="default"/>
      </w:rPr>
    </w:lvl>
    <w:lvl w:ilvl="8" w:tplc="CE589776"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6DBE8776"/>
    <w:lvl w:ilvl="0" w:tplc="0B24D872">
      <w:start w:val="1"/>
      <w:numFmt w:val="upperLetter"/>
      <w:lvlText w:val="%1."/>
      <w:lvlJc w:val="left"/>
      <w:pPr>
        <w:ind w:left="720" w:hanging="360"/>
      </w:pPr>
    </w:lvl>
    <w:lvl w:ilvl="1" w:tplc="46D6ED8A" w:tentative="1">
      <w:start w:val="1"/>
      <w:numFmt w:val="lowerLetter"/>
      <w:lvlText w:val="%2."/>
      <w:lvlJc w:val="left"/>
      <w:pPr>
        <w:ind w:left="1440" w:hanging="360"/>
      </w:pPr>
    </w:lvl>
    <w:lvl w:ilvl="2" w:tplc="48647190" w:tentative="1">
      <w:start w:val="1"/>
      <w:numFmt w:val="lowerRoman"/>
      <w:lvlText w:val="%3."/>
      <w:lvlJc w:val="right"/>
      <w:pPr>
        <w:ind w:left="2160" w:hanging="180"/>
      </w:pPr>
    </w:lvl>
    <w:lvl w:ilvl="3" w:tplc="08C0FD3A" w:tentative="1">
      <w:start w:val="1"/>
      <w:numFmt w:val="decimal"/>
      <w:lvlText w:val="%4."/>
      <w:lvlJc w:val="left"/>
      <w:pPr>
        <w:ind w:left="2880" w:hanging="360"/>
      </w:pPr>
    </w:lvl>
    <w:lvl w:ilvl="4" w:tplc="43BE6480" w:tentative="1">
      <w:start w:val="1"/>
      <w:numFmt w:val="lowerLetter"/>
      <w:lvlText w:val="%5."/>
      <w:lvlJc w:val="left"/>
      <w:pPr>
        <w:ind w:left="3600" w:hanging="360"/>
      </w:pPr>
    </w:lvl>
    <w:lvl w:ilvl="5" w:tplc="EF88D25A" w:tentative="1">
      <w:start w:val="1"/>
      <w:numFmt w:val="lowerRoman"/>
      <w:lvlText w:val="%6."/>
      <w:lvlJc w:val="right"/>
      <w:pPr>
        <w:ind w:left="4320" w:hanging="180"/>
      </w:pPr>
    </w:lvl>
    <w:lvl w:ilvl="6" w:tplc="6A664B66" w:tentative="1">
      <w:start w:val="1"/>
      <w:numFmt w:val="decimal"/>
      <w:lvlText w:val="%7."/>
      <w:lvlJc w:val="left"/>
      <w:pPr>
        <w:ind w:left="5040" w:hanging="360"/>
      </w:pPr>
    </w:lvl>
    <w:lvl w:ilvl="7" w:tplc="1A8E04D8" w:tentative="1">
      <w:start w:val="1"/>
      <w:numFmt w:val="lowerLetter"/>
      <w:lvlText w:val="%8."/>
      <w:lvlJc w:val="left"/>
      <w:pPr>
        <w:ind w:left="5760" w:hanging="360"/>
      </w:pPr>
    </w:lvl>
    <w:lvl w:ilvl="8" w:tplc="453208AE" w:tentative="1">
      <w:start w:val="1"/>
      <w:numFmt w:val="lowerRoman"/>
      <w:lvlText w:val="%9."/>
      <w:lvlJc w:val="right"/>
      <w:pPr>
        <w:ind w:left="6480" w:hanging="180"/>
      </w:pPr>
    </w:lvl>
  </w:abstractNum>
  <w:abstractNum w:abstractNumId="29" w15:restartNumberingAfterBreak="0">
    <w:nsid w:val="0000001E"/>
    <w:multiLevelType w:val="hybridMultilevel"/>
    <w:tmpl w:val="11D8D116"/>
    <w:lvl w:ilvl="0" w:tplc="FCACD6F4">
      <w:start w:val="1"/>
      <w:numFmt w:val="decimal"/>
      <w:lvlText w:val="%1."/>
      <w:lvlJc w:val="left"/>
      <w:pPr>
        <w:ind w:left="720" w:hanging="360"/>
      </w:pPr>
    </w:lvl>
    <w:lvl w:ilvl="1" w:tplc="01B4A6CE" w:tentative="1">
      <w:start w:val="1"/>
      <w:numFmt w:val="lowerLetter"/>
      <w:lvlText w:val="%2."/>
      <w:lvlJc w:val="left"/>
      <w:pPr>
        <w:ind w:left="1440" w:hanging="360"/>
      </w:pPr>
    </w:lvl>
    <w:lvl w:ilvl="2" w:tplc="C0FE6D8A" w:tentative="1">
      <w:start w:val="1"/>
      <w:numFmt w:val="lowerRoman"/>
      <w:lvlText w:val="%3."/>
      <w:lvlJc w:val="right"/>
      <w:pPr>
        <w:ind w:left="2160" w:hanging="180"/>
      </w:pPr>
    </w:lvl>
    <w:lvl w:ilvl="3" w:tplc="B342814E" w:tentative="1">
      <w:start w:val="1"/>
      <w:numFmt w:val="decimal"/>
      <w:lvlText w:val="%4."/>
      <w:lvlJc w:val="left"/>
      <w:pPr>
        <w:ind w:left="2880" w:hanging="360"/>
      </w:pPr>
    </w:lvl>
    <w:lvl w:ilvl="4" w:tplc="0B9811D4" w:tentative="1">
      <w:start w:val="1"/>
      <w:numFmt w:val="lowerLetter"/>
      <w:lvlText w:val="%5."/>
      <w:lvlJc w:val="left"/>
      <w:pPr>
        <w:ind w:left="3600" w:hanging="360"/>
      </w:pPr>
    </w:lvl>
    <w:lvl w:ilvl="5" w:tplc="41EA09E2" w:tentative="1">
      <w:start w:val="1"/>
      <w:numFmt w:val="lowerRoman"/>
      <w:lvlText w:val="%6."/>
      <w:lvlJc w:val="right"/>
      <w:pPr>
        <w:ind w:left="4320" w:hanging="180"/>
      </w:pPr>
    </w:lvl>
    <w:lvl w:ilvl="6" w:tplc="94C6EFB4" w:tentative="1">
      <w:start w:val="1"/>
      <w:numFmt w:val="decimal"/>
      <w:lvlText w:val="%7."/>
      <w:lvlJc w:val="left"/>
      <w:pPr>
        <w:ind w:left="5040" w:hanging="360"/>
      </w:pPr>
    </w:lvl>
    <w:lvl w:ilvl="7" w:tplc="61B602DE" w:tentative="1">
      <w:start w:val="1"/>
      <w:numFmt w:val="lowerLetter"/>
      <w:lvlText w:val="%8."/>
      <w:lvlJc w:val="left"/>
      <w:pPr>
        <w:ind w:left="5760" w:hanging="360"/>
      </w:pPr>
    </w:lvl>
    <w:lvl w:ilvl="8" w:tplc="49E2BA28" w:tentative="1">
      <w:start w:val="1"/>
      <w:numFmt w:val="lowerRoman"/>
      <w:lvlText w:val="%9."/>
      <w:lvlJc w:val="right"/>
      <w:pPr>
        <w:ind w:left="6480" w:hanging="180"/>
      </w:pPr>
    </w:lvl>
  </w:abstractNum>
  <w:abstractNum w:abstractNumId="30" w15:restartNumberingAfterBreak="0">
    <w:nsid w:val="0000001F"/>
    <w:multiLevelType w:val="hybridMultilevel"/>
    <w:tmpl w:val="04DA6C46"/>
    <w:lvl w:ilvl="0" w:tplc="B0A8C0AE">
      <w:start w:val="1"/>
      <w:numFmt w:val="bullet"/>
      <w:lvlText w:val=""/>
      <w:lvlJc w:val="left"/>
      <w:pPr>
        <w:ind w:left="2976" w:hanging="360"/>
      </w:pPr>
      <w:rPr>
        <w:rFonts w:ascii="Symbol" w:hAnsi="Symbol" w:hint="default"/>
      </w:rPr>
    </w:lvl>
    <w:lvl w:ilvl="1" w:tplc="5AAE481C" w:tentative="1">
      <w:start w:val="1"/>
      <w:numFmt w:val="bullet"/>
      <w:lvlText w:val="o"/>
      <w:lvlJc w:val="left"/>
      <w:pPr>
        <w:ind w:left="3696" w:hanging="360"/>
      </w:pPr>
      <w:rPr>
        <w:rFonts w:ascii="Courier New" w:hAnsi="Courier New" w:cs="Courier New" w:hint="default"/>
      </w:rPr>
    </w:lvl>
    <w:lvl w:ilvl="2" w:tplc="D4DA518E" w:tentative="1">
      <w:start w:val="1"/>
      <w:numFmt w:val="bullet"/>
      <w:lvlText w:val=""/>
      <w:lvlJc w:val="left"/>
      <w:pPr>
        <w:ind w:left="4416" w:hanging="360"/>
      </w:pPr>
      <w:rPr>
        <w:rFonts w:ascii="Wingdings" w:hAnsi="Wingdings" w:hint="default"/>
      </w:rPr>
    </w:lvl>
    <w:lvl w:ilvl="3" w:tplc="08A86D64" w:tentative="1">
      <w:start w:val="1"/>
      <w:numFmt w:val="bullet"/>
      <w:lvlText w:val=""/>
      <w:lvlJc w:val="left"/>
      <w:pPr>
        <w:ind w:left="5136" w:hanging="360"/>
      </w:pPr>
      <w:rPr>
        <w:rFonts w:ascii="Symbol" w:hAnsi="Symbol" w:hint="default"/>
      </w:rPr>
    </w:lvl>
    <w:lvl w:ilvl="4" w:tplc="FF24A498" w:tentative="1">
      <w:start w:val="1"/>
      <w:numFmt w:val="bullet"/>
      <w:lvlText w:val="o"/>
      <w:lvlJc w:val="left"/>
      <w:pPr>
        <w:ind w:left="5856" w:hanging="360"/>
      </w:pPr>
      <w:rPr>
        <w:rFonts w:ascii="Courier New" w:hAnsi="Courier New" w:cs="Courier New" w:hint="default"/>
      </w:rPr>
    </w:lvl>
    <w:lvl w:ilvl="5" w:tplc="0040DA6C" w:tentative="1">
      <w:start w:val="1"/>
      <w:numFmt w:val="bullet"/>
      <w:lvlText w:val=""/>
      <w:lvlJc w:val="left"/>
      <w:pPr>
        <w:ind w:left="6576" w:hanging="360"/>
      </w:pPr>
      <w:rPr>
        <w:rFonts w:ascii="Wingdings" w:hAnsi="Wingdings" w:hint="default"/>
      </w:rPr>
    </w:lvl>
    <w:lvl w:ilvl="6" w:tplc="DD3E1C1A" w:tentative="1">
      <w:start w:val="1"/>
      <w:numFmt w:val="bullet"/>
      <w:lvlText w:val=""/>
      <w:lvlJc w:val="left"/>
      <w:pPr>
        <w:ind w:left="7296" w:hanging="360"/>
      </w:pPr>
      <w:rPr>
        <w:rFonts w:ascii="Symbol" w:hAnsi="Symbol" w:hint="default"/>
      </w:rPr>
    </w:lvl>
    <w:lvl w:ilvl="7" w:tplc="63007324" w:tentative="1">
      <w:start w:val="1"/>
      <w:numFmt w:val="bullet"/>
      <w:lvlText w:val="o"/>
      <w:lvlJc w:val="left"/>
      <w:pPr>
        <w:ind w:left="8016" w:hanging="360"/>
      </w:pPr>
      <w:rPr>
        <w:rFonts w:ascii="Courier New" w:hAnsi="Courier New" w:cs="Courier New" w:hint="default"/>
      </w:rPr>
    </w:lvl>
    <w:lvl w:ilvl="8" w:tplc="93409AD6" w:tentative="1">
      <w:start w:val="1"/>
      <w:numFmt w:val="bullet"/>
      <w:lvlText w:val=""/>
      <w:lvlJc w:val="left"/>
      <w:pPr>
        <w:ind w:left="8736" w:hanging="360"/>
      </w:pPr>
      <w:rPr>
        <w:rFonts w:ascii="Wingdings" w:hAnsi="Wingdings" w:hint="default"/>
      </w:rPr>
    </w:lvl>
  </w:abstractNum>
  <w:abstractNum w:abstractNumId="31" w15:restartNumberingAfterBreak="0">
    <w:nsid w:val="00000020"/>
    <w:multiLevelType w:val="hybridMultilevel"/>
    <w:tmpl w:val="977619E2"/>
    <w:lvl w:ilvl="0" w:tplc="7ADE3B1E">
      <w:start w:val="1"/>
      <w:numFmt w:val="bullet"/>
      <w:lvlText w:val=""/>
      <w:lvlJc w:val="left"/>
      <w:pPr>
        <w:ind w:left="720" w:hanging="360"/>
      </w:pPr>
      <w:rPr>
        <w:rFonts w:ascii="Symbol" w:hAnsi="Symbol" w:hint="default"/>
      </w:rPr>
    </w:lvl>
    <w:lvl w:ilvl="1" w:tplc="6242E9E2" w:tentative="1">
      <w:start w:val="1"/>
      <w:numFmt w:val="bullet"/>
      <w:lvlText w:val="o"/>
      <w:lvlJc w:val="left"/>
      <w:pPr>
        <w:ind w:left="1440" w:hanging="360"/>
      </w:pPr>
      <w:rPr>
        <w:rFonts w:ascii="Courier New" w:hAnsi="Courier New" w:cs="Courier New" w:hint="default"/>
      </w:rPr>
    </w:lvl>
    <w:lvl w:ilvl="2" w:tplc="3B4A12CE" w:tentative="1">
      <w:start w:val="1"/>
      <w:numFmt w:val="bullet"/>
      <w:lvlText w:val=""/>
      <w:lvlJc w:val="left"/>
      <w:pPr>
        <w:ind w:left="2160" w:hanging="360"/>
      </w:pPr>
      <w:rPr>
        <w:rFonts w:ascii="Wingdings" w:hAnsi="Wingdings" w:hint="default"/>
      </w:rPr>
    </w:lvl>
    <w:lvl w:ilvl="3" w:tplc="CDE205B4" w:tentative="1">
      <w:start w:val="1"/>
      <w:numFmt w:val="bullet"/>
      <w:lvlText w:val=""/>
      <w:lvlJc w:val="left"/>
      <w:pPr>
        <w:ind w:left="2880" w:hanging="360"/>
      </w:pPr>
      <w:rPr>
        <w:rFonts w:ascii="Symbol" w:hAnsi="Symbol" w:hint="default"/>
      </w:rPr>
    </w:lvl>
    <w:lvl w:ilvl="4" w:tplc="4ED6DEF2" w:tentative="1">
      <w:start w:val="1"/>
      <w:numFmt w:val="bullet"/>
      <w:lvlText w:val="o"/>
      <w:lvlJc w:val="left"/>
      <w:pPr>
        <w:ind w:left="3600" w:hanging="360"/>
      </w:pPr>
      <w:rPr>
        <w:rFonts w:ascii="Courier New" w:hAnsi="Courier New" w:cs="Courier New" w:hint="default"/>
      </w:rPr>
    </w:lvl>
    <w:lvl w:ilvl="5" w:tplc="7F50BCF4" w:tentative="1">
      <w:start w:val="1"/>
      <w:numFmt w:val="bullet"/>
      <w:lvlText w:val=""/>
      <w:lvlJc w:val="left"/>
      <w:pPr>
        <w:ind w:left="4320" w:hanging="360"/>
      </w:pPr>
      <w:rPr>
        <w:rFonts w:ascii="Wingdings" w:hAnsi="Wingdings" w:hint="default"/>
      </w:rPr>
    </w:lvl>
    <w:lvl w:ilvl="6" w:tplc="7B12C552" w:tentative="1">
      <w:start w:val="1"/>
      <w:numFmt w:val="bullet"/>
      <w:lvlText w:val=""/>
      <w:lvlJc w:val="left"/>
      <w:pPr>
        <w:ind w:left="5040" w:hanging="360"/>
      </w:pPr>
      <w:rPr>
        <w:rFonts w:ascii="Symbol" w:hAnsi="Symbol" w:hint="default"/>
      </w:rPr>
    </w:lvl>
    <w:lvl w:ilvl="7" w:tplc="85662456" w:tentative="1">
      <w:start w:val="1"/>
      <w:numFmt w:val="bullet"/>
      <w:lvlText w:val="o"/>
      <w:lvlJc w:val="left"/>
      <w:pPr>
        <w:ind w:left="5760" w:hanging="360"/>
      </w:pPr>
      <w:rPr>
        <w:rFonts w:ascii="Courier New" w:hAnsi="Courier New" w:cs="Courier New" w:hint="default"/>
      </w:rPr>
    </w:lvl>
    <w:lvl w:ilvl="8" w:tplc="59882786" w:tentative="1">
      <w:start w:val="1"/>
      <w:numFmt w:val="bullet"/>
      <w:lvlText w:val=""/>
      <w:lvlJc w:val="left"/>
      <w:pPr>
        <w:ind w:left="6480" w:hanging="360"/>
      </w:pPr>
      <w:rPr>
        <w:rFonts w:ascii="Wingdings" w:hAnsi="Wingdings" w:hint="default"/>
      </w:rPr>
    </w:lvl>
  </w:abstractNum>
  <w:abstractNum w:abstractNumId="32" w15:restartNumberingAfterBreak="0">
    <w:nsid w:val="0074154E"/>
    <w:multiLevelType w:val="hybridMultilevel"/>
    <w:tmpl w:val="06AA0EAE"/>
    <w:lvl w:ilvl="0" w:tplc="D3D8AB48">
      <w:start w:val="1"/>
      <w:numFmt w:val="bullet"/>
      <w:lvlText w:val=""/>
      <w:lvlJc w:val="left"/>
      <w:pPr>
        <w:ind w:left="990" w:hanging="360"/>
      </w:pPr>
      <w:rPr>
        <w:rFonts w:ascii="Symbol" w:hAnsi="Symbol" w:hint="default"/>
      </w:rPr>
    </w:lvl>
    <w:lvl w:ilvl="1" w:tplc="97226F32" w:tentative="1">
      <w:start w:val="1"/>
      <w:numFmt w:val="bullet"/>
      <w:lvlText w:val="o"/>
      <w:lvlJc w:val="left"/>
      <w:pPr>
        <w:ind w:left="1710" w:hanging="360"/>
      </w:pPr>
      <w:rPr>
        <w:rFonts w:ascii="Courier New" w:hAnsi="Courier New" w:cs="Courier New" w:hint="default"/>
      </w:rPr>
    </w:lvl>
    <w:lvl w:ilvl="2" w:tplc="53BCBDC0" w:tentative="1">
      <w:start w:val="1"/>
      <w:numFmt w:val="bullet"/>
      <w:lvlText w:val=""/>
      <w:lvlJc w:val="left"/>
      <w:pPr>
        <w:ind w:left="2430" w:hanging="360"/>
      </w:pPr>
      <w:rPr>
        <w:rFonts w:ascii="Wingdings" w:hAnsi="Wingdings" w:hint="default"/>
      </w:rPr>
    </w:lvl>
    <w:lvl w:ilvl="3" w:tplc="DFC4DCCC" w:tentative="1">
      <w:start w:val="1"/>
      <w:numFmt w:val="bullet"/>
      <w:lvlText w:val=""/>
      <w:lvlJc w:val="left"/>
      <w:pPr>
        <w:ind w:left="3150" w:hanging="360"/>
      </w:pPr>
      <w:rPr>
        <w:rFonts w:ascii="Symbol" w:hAnsi="Symbol" w:hint="default"/>
      </w:rPr>
    </w:lvl>
    <w:lvl w:ilvl="4" w:tplc="24B46C46" w:tentative="1">
      <w:start w:val="1"/>
      <w:numFmt w:val="bullet"/>
      <w:lvlText w:val="o"/>
      <w:lvlJc w:val="left"/>
      <w:pPr>
        <w:ind w:left="3870" w:hanging="360"/>
      </w:pPr>
      <w:rPr>
        <w:rFonts w:ascii="Courier New" w:hAnsi="Courier New" w:cs="Courier New" w:hint="default"/>
      </w:rPr>
    </w:lvl>
    <w:lvl w:ilvl="5" w:tplc="2FE8448C" w:tentative="1">
      <w:start w:val="1"/>
      <w:numFmt w:val="bullet"/>
      <w:lvlText w:val=""/>
      <w:lvlJc w:val="left"/>
      <w:pPr>
        <w:ind w:left="4590" w:hanging="360"/>
      </w:pPr>
      <w:rPr>
        <w:rFonts w:ascii="Wingdings" w:hAnsi="Wingdings" w:hint="default"/>
      </w:rPr>
    </w:lvl>
    <w:lvl w:ilvl="6" w:tplc="352AECFC" w:tentative="1">
      <w:start w:val="1"/>
      <w:numFmt w:val="bullet"/>
      <w:lvlText w:val=""/>
      <w:lvlJc w:val="left"/>
      <w:pPr>
        <w:ind w:left="5310" w:hanging="360"/>
      </w:pPr>
      <w:rPr>
        <w:rFonts w:ascii="Symbol" w:hAnsi="Symbol" w:hint="default"/>
      </w:rPr>
    </w:lvl>
    <w:lvl w:ilvl="7" w:tplc="128E1A48" w:tentative="1">
      <w:start w:val="1"/>
      <w:numFmt w:val="bullet"/>
      <w:lvlText w:val="o"/>
      <w:lvlJc w:val="left"/>
      <w:pPr>
        <w:ind w:left="6030" w:hanging="360"/>
      </w:pPr>
      <w:rPr>
        <w:rFonts w:ascii="Courier New" w:hAnsi="Courier New" w:cs="Courier New" w:hint="default"/>
      </w:rPr>
    </w:lvl>
    <w:lvl w:ilvl="8" w:tplc="C1848B22" w:tentative="1">
      <w:start w:val="1"/>
      <w:numFmt w:val="bullet"/>
      <w:lvlText w:val=""/>
      <w:lvlJc w:val="left"/>
      <w:pPr>
        <w:ind w:left="6750" w:hanging="360"/>
      </w:pPr>
      <w:rPr>
        <w:rFonts w:ascii="Wingdings" w:hAnsi="Wingdings" w:hint="default"/>
      </w:rPr>
    </w:lvl>
  </w:abstractNum>
  <w:abstractNum w:abstractNumId="33" w15:restartNumberingAfterBreak="0">
    <w:nsid w:val="199A6E87"/>
    <w:multiLevelType w:val="hybridMultilevel"/>
    <w:tmpl w:val="92148FEA"/>
    <w:lvl w:ilvl="0" w:tplc="18C0EA22">
      <w:start w:val="1"/>
      <w:numFmt w:val="bullet"/>
      <w:lvlText w:val=""/>
      <w:lvlJc w:val="left"/>
      <w:pPr>
        <w:ind w:left="228" w:hanging="360"/>
      </w:pPr>
      <w:rPr>
        <w:rFonts w:ascii="Symbol" w:hAnsi="Symbol" w:hint="default"/>
      </w:rPr>
    </w:lvl>
    <w:lvl w:ilvl="1" w:tplc="C82CD276" w:tentative="1">
      <w:start w:val="1"/>
      <w:numFmt w:val="bullet"/>
      <w:lvlText w:val="o"/>
      <w:lvlJc w:val="left"/>
      <w:pPr>
        <w:ind w:left="948" w:hanging="360"/>
      </w:pPr>
      <w:rPr>
        <w:rFonts w:ascii="Courier New" w:hAnsi="Courier New" w:cs="Courier New" w:hint="default"/>
      </w:rPr>
    </w:lvl>
    <w:lvl w:ilvl="2" w:tplc="A2AACA6A" w:tentative="1">
      <w:start w:val="1"/>
      <w:numFmt w:val="bullet"/>
      <w:lvlText w:val=""/>
      <w:lvlJc w:val="left"/>
      <w:pPr>
        <w:ind w:left="1668" w:hanging="360"/>
      </w:pPr>
      <w:rPr>
        <w:rFonts w:ascii="Wingdings" w:hAnsi="Wingdings" w:hint="default"/>
      </w:rPr>
    </w:lvl>
    <w:lvl w:ilvl="3" w:tplc="EF486054" w:tentative="1">
      <w:start w:val="1"/>
      <w:numFmt w:val="bullet"/>
      <w:lvlText w:val=""/>
      <w:lvlJc w:val="left"/>
      <w:pPr>
        <w:ind w:left="2388" w:hanging="360"/>
      </w:pPr>
      <w:rPr>
        <w:rFonts w:ascii="Symbol" w:hAnsi="Symbol" w:hint="default"/>
      </w:rPr>
    </w:lvl>
    <w:lvl w:ilvl="4" w:tplc="EA02F2E2" w:tentative="1">
      <w:start w:val="1"/>
      <w:numFmt w:val="bullet"/>
      <w:lvlText w:val="o"/>
      <w:lvlJc w:val="left"/>
      <w:pPr>
        <w:ind w:left="3108" w:hanging="360"/>
      </w:pPr>
      <w:rPr>
        <w:rFonts w:ascii="Courier New" w:hAnsi="Courier New" w:cs="Courier New" w:hint="default"/>
      </w:rPr>
    </w:lvl>
    <w:lvl w:ilvl="5" w:tplc="5F50FFA4" w:tentative="1">
      <w:start w:val="1"/>
      <w:numFmt w:val="bullet"/>
      <w:lvlText w:val=""/>
      <w:lvlJc w:val="left"/>
      <w:pPr>
        <w:ind w:left="3828" w:hanging="360"/>
      </w:pPr>
      <w:rPr>
        <w:rFonts w:ascii="Wingdings" w:hAnsi="Wingdings" w:hint="default"/>
      </w:rPr>
    </w:lvl>
    <w:lvl w:ilvl="6" w:tplc="D35ABED8" w:tentative="1">
      <w:start w:val="1"/>
      <w:numFmt w:val="bullet"/>
      <w:lvlText w:val=""/>
      <w:lvlJc w:val="left"/>
      <w:pPr>
        <w:ind w:left="4548" w:hanging="360"/>
      </w:pPr>
      <w:rPr>
        <w:rFonts w:ascii="Symbol" w:hAnsi="Symbol" w:hint="default"/>
      </w:rPr>
    </w:lvl>
    <w:lvl w:ilvl="7" w:tplc="E2488B80" w:tentative="1">
      <w:start w:val="1"/>
      <w:numFmt w:val="bullet"/>
      <w:lvlText w:val="o"/>
      <w:lvlJc w:val="left"/>
      <w:pPr>
        <w:ind w:left="5268" w:hanging="360"/>
      </w:pPr>
      <w:rPr>
        <w:rFonts w:ascii="Courier New" w:hAnsi="Courier New" w:cs="Courier New" w:hint="default"/>
      </w:rPr>
    </w:lvl>
    <w:lvl w:ilvl="8" w:tplc="45C027F0" w:tentative="1">
      <w:start w:val="1"/>
      <w:numFmt w:val="bullet"/>
      <w:lvlText w:val=""/>
      <w:lvlJc w:val="left"/>
      <w:pPr>
        <w:ind w:left="5988" w:hanging="360"/>
      </w:pPr>
      <w:rPr>
        <w:rFonts w:ascii="Wingdings" w:hAnsi="Wingdings" w:hint="default"/>
      </w:rPr>
    </w:lvl>
  </w:abstractNum>
  <w:abstractNum w:abstractNumId="34" w15:restartNumberingAfterBreak="0">
    <w:nsid w:val="2DE43114"/>
    <w:multiLevelType w:val="hybridMultilevel"/>
    <w:tmpl w:val="156E64F0"/>
    <w:lvl w:ilvl="0" w:tplc="06741436">
      <w:start w:val="1"/>
      <w:numFmt w:val="bullet"/>
      <w:lvlText w:val=""/>
      <w:lvlJc w:val="left"/>
      <w:pPr>
        <w:ind w:left="720" w:hanging="360"/>
      </w:pPr>
      <w:rPr>
        <w:rFonts w:ascii="Symbol" w:hAnsi="Symbol" w:hint="default"/>
      </w:rPr>
    </w:lvl>
    <w:lvl w:ilvl="1" w:tplc="C5BAEA88" w:tentative="1">
      <w:start w:val="1"/>
      <w:numFmt w:val="bullet"/>
      <w:lvlText w:val="o"/>
      <w:lvlJc w:val="left"/>
      <w:pPr>
        <w:ind w:left="1440" w:hanging="360"/>
      </w:pPr>
      <w:rPr>
        <w:rFonts w:ascii="Courier New" w:hAnsi="Courier New" w:cs="Courier New" w:hint="default"/>
      </w:rPr>
    </w:lvl>
    <w:lvl w:ilvl="2" w:tplc="F7808A82" w:tentative="1">
      <w:start w:val="1"/>
      <w:numFmt w:val="bullet"/>
      <w:lvlText w:val=""/>
      <w:lvlJc w:val="left"/>
      <w:pPr>
        <w:ind w:left="2160" w:hanging="360"/>
      </w:pPr>
      <w:rPr>
        <w:rFonts w:ascii="Wingdings" w:hAnsi="Wingdings" w:hint="default"/>
      </w:rPr>
    </w:lvl>
    <w:lvl w:ilvl="3" w:tplc="2A44D9B4" w:tentative="1">
      <w:start w:val="1"/>
      <w:numFmt w:val="bullet"/>
      <w:lvlText w:val=""/>
      <w:lvlJc w:val="left"/>
      <w:pPr>
        <w:ind w:left="2880" w:hanging="360"/>
      </w:pPr>
      <w:rPr>
        <w:rFonts w:ascii="Symbol" w:hAnsi="Symbol" w:hint="default"/>
      </w:rPr>
    </w:lvl>
    <w:lvl w:ilvl="4" w:tplc="821041F4" w:tentative="1">
      <w:start w:val="1"/>
      <w:numFmt w:val="bullet"/>
      <w:lvlText w:val="o"/>
      <w:lvlJc w:val="left"/>
      <w:pPr>
        <w:ind w:left="3600" w:hanging="360"/>
      </w:pPr>
      <w:rPr>
        <w:rFonts w:ascii="Courier New" w:hAnsi="Courier New" w:cs="Courier New" w:hint="default"/>
      </w:rPr>
    </w:lvl>
    <w:lvl w:ilvl="5" w:tplc="B1384D88" w:tentative="1">
      <w:start w:val="1"/>
      <w:numFmt w:val="bullet"/>
      <w:lvlText w:val=""/>
      <w:lvlJc w:val="left"/>
      <w:pPr>
        <w:ind w:left="4320" w:hanging="360"/>
      </w:pPr>
      <w:rPr>
        <w:rFonts w:ascii="Wingdings" w:hAnsi="Wingdings" w:hint="default"/>
      </w:rPr>
    </w:lvl>
    <w:lvl w:ilvl="6" w:tplc="B68A5C7C" w:tentative="1">
      <w:start w:val="1"/>
      <w:numFmt w:val="bullet"/>
      <w:lvlText w:val=""/>
      <w:lvlJc w:val="left"/>
      <w:pPr>
        <w:ind w:left="5040" w:hanging="360"/>
      </w:pPr>
      <w:rPr>
        <w:rFonts w:ascii="Symbol" w:hAnsi="Symbol" w:hint="default"/>
      </w:rPr>
    </w:lvl>
    <w:lvl w:ilvl="7" w:tplc="88A6BE32" w:tentative="1">
      <w:start w:val="1"/>
      <w:numFmt w:val="bullet"/>
      <w:lvlText w:val="o"/>
      <w:lvlJc w:val="left"/>
      <w:pPr>
        <w:ind w:left="5760" w:hanging="360"/>
      </w:pPr>
      <w:rPr>
        <w:rFonts w:ascii="Courier New" w:hAnsi="Courier New" w:cs="Courier New" w:hint="default"/>
      </w:rPr>
    </w:lvl>
    <w:lvl w:ilvl="8" w:tplc="04A80BE2" w:tentative="1">
      <w:start w:val="1"/>
      <w:numFmt w:val="bullet"/>
      <w:lvlText w:val=""/>
      <w:lvlJc w:val="left"/>
      <w:pPr>
        <w:ind w:left="6480" w:hanging="360"/>
      </w:pPr>
      <w:rPr>
        <w:rFonts w:ascii="Wingdings" w:hAnsi="Wingdings" w:hint="default"/>
      </w:rPr>
    </w:lvl>
  </w:abstractNum>
  <w:abstractNum w:abstractNumId="35" w15:restartNumberingAfterBreak="0">
    <w:nsid w:val="307944AC"/>
    <w:multiLevelType w:val="hybridMultilevel"/>
    <w:tmpl w:val="6F8EF678"/>
    <w:lvl w:ilvl="0" w:tplc="93FA7E8E">
      <w:start w:val="1"/>
      <w:numFmt w:val="bullet"/>
      <w:lvlText w:val=""/>
      <w:lvlJc w:val="left"/>
      <w:pPr>
        <w:ind w:left="810" w:hanging="360"/>
      </w:pPr>
      <w:rPr>
        <w:rFonts w:ascii="Symbol" w:hAnsi="Symbol" w:hint="default"/>
      </w:rPr>
    </w:lvl>
    <w:lvl w:ilvl="1" w:tplc="9D28AFF0" w:tentative="1">
      <w:start w:val="1"/>
      <w:numFmt w:val="bullet"/>
      <w:lvlText w:val="o"/>
      <w:lvlJc w:val="left"/>
      <w:pPr>
        <w:ind w:left="1530" w:hanging="360"/>
      </w:pPr>
      <w:rPr>
        <w:rFonts w:ascii="Courier New" w:hAnsi="Courier New" w:cs="Courier New" w:hint="default"/>
      </w:rPr>
    </w:lvl>
    <w:lvl w:ilvl="2" w:tplc="38963818" w:tentative="1">
      <w:start w:val="1"/>
      <w:numFmt w:val="bullet"/>
      <w:lvlText w:val=""/>
      <w:lvlJc w:val="left"/>
      <w:pPr>
        <w:ind w:left="2250" w:hanging="360"/>
      </w:pPr>
      <w:rPr>
        <w:rFonts w:ascii="Wingdings" w:hAnsi="Wingdings" w:hint="default"/>
      </w:rPr>
    </w:lvl>
    <w:lvl w:ilvl="3" w:tplc="76DC6CBE" w:tentative="1">
      <w:start w:val="1"/>
      <w:numFmt w:val="bullet"/>
      <w:lvlText w:val=""/>
      <w:lvlJc w:val="left"/>
      <w:pPr>
        <w:ind w:left="2970" w:hanging="360"/>
      </w:pPr>
      <w:rPr>
        <w:rFonts w:ascii="Symbol" w:hAnsi="Symbol" w:hint="default"/>
      </w:rPr>
    </w:lvl>
    <w:lvl w:ilvl="4" w:tplc="23E69F3C" w:tentative="1">
      <w:start w:val="1"/>
      <w:numFmt w:val="bullet"/>
      <w:lvlText w:val="o"/>
      <w:lvlJc w:val="left"/>
      <w:pPr>
        <w:ind w:left="3690" w:hanging="360"/>
      </w:pPr>
      <w:rPr>
        <w:rFonts w:ascii="Courier New" w:hAnsi="Courier New" w:cs="Courier New" w:hint="default"/>
      </w:rPr>
    </w:lvl>
    <w:lvl w:ilvl="5" w:tplc="5F64EEE8" w:tentative="1">
      <w:start w:val="1"/>
      <w:numFmt w:val="bullet"/>
      <w:lvlText w:val=""/>
      <w:lvlJc w:val="left"/>
      <w:pPr>
        <w:ind w:left="4410" w:hanging="360"/>
      </w:pPr>
      <w:rPr>
        <w:rFonts w:ascii="Wingdings" w:hAnsi="Wingdings" w:hint="default"/>
      </w:rPr>
    </w:lvl>
    <w:lvl w:ilvl="6" w:tplc="F73416B4" w:tentative="1">
      <w:start w:val="1"/>
      <w:numFmt w:val="bullet"/>
      <w:lvlText w:val=""/>
      <w:lvlJc w:val="left"/>
      <w:pPr>
        <w:ind w:left="5130" w:hanging="360"/>
      </w:pPr>
      <w:rPr>
        <w:rFonts w:ascii="Symbol" w:hAnsi="Symbol" w:hint="default"/>
      </w:rPr>
    </w:lvl>
    <w:lvl w:ilvl="7" w:tplc="4FB66D7C" w:tentative="1">
      <w:start w:val="1"/>
      <w:numFmt w:val="bullet"/>
      <w:lvlText w:val="o"/>
      <w:lvlJc w:val="left"/>
      <w:pPr>
        <w:ind w:left="5850" w:hanging="360"/>
      </w:pPr>
      <w:rPr>
        <w:rFonts w:ascii="Courier New" w:hAnsi="Courier New" w:cs="Courier New" w:hint="default"/>
      </w:rPr>
    </w:lvl>
    <w:lvl w:ilvl="8" w:tplc="CBE83D6A" w:tentative="1">
      <w:start w:val="1"/>
      <w:numFmt w:val="bullet"/>
      <w:lvlText w:val=""/>
      <w:lvlJc w:val="left"/>
      <w:pPr>
        <w:ind w:left="6570" w:hanging="360"/>
      </w:pPr>
      <w:rPr>
        <w:rFonts w:ascii="Wingdings" w:hAnsi="Wingdings" w:hint="default"/>
      </w:rPr>
    </w:lvl>
  </w:abstractNum>
  <w:abstractNum w:abstractNumId="36" w15:restartNumberingAfterBreak="0">
    <w:nsid w:val="3AF90F71"/>
    <w:multiLevelType w:val="hybridMultilevel"/>
    <w:tmpl w:val="35C4FB00"/>
    <w:lvl w:ilvl="0" w:tplc="56B01932">
      <w:start w:val="1"/>
      <w:numFmt w:val="bullet"/>
      <w:lvlText w:val=""/>
      <w:lvlJc w:val="left"/>
      <w:pPr>
        <w:ind w:left="720" w:hanging="360"/>
      </w:pPr>
      <w:rPr>
        <w:rFonts w:ascii="Symbol" w:hAnsi="Symbol" w:hint="default"/>
      </w:rPr>
    </w:lvl>
    <w:lvl w:ilvl="1" w:tplc="FE1AEAC2" w:tentative="1">
      <w:start w:val="1"/>
      <w:numFmt w:val="bullet"/>
      <w:lvlText w:val="o"/>
      <w:lvlJc w:val="left"/>
      <w:pPr>
        <w:ind w:left="1440" w:hanging="360"/>
      </w:pPr>
      <w:rPr>
        <w:rFonts w:ascii="Courier New" w:hAnsi="Courier New" w:cs="Courier New" w:hint="default"/>
      </w:rPr>
    </w:lvl>
    <w:lvl w:ilvl="2" w:tplc="C6D8BEF6" w:tentative="1">
      <w:start w:val="1"/>
      <w:numFmt w:val="bullet"/>
      <w:lvlText w:val=""/>
      <w:lvlJc w:val="left"/>
      <w:pPr>
        <w:ind w:left="2160" w:hanging="360"/>
      </w:pPr>
      <w:rPr>
        <w:rFonts w:ascii="Wingdings" w:hAnsi="Wingdings" w:hint="default"/>
      </w:rPr>
    </w:lvl>
    <w:lvl w:ilvl="3" w:tplc="6BCA992C" w:tentative="1">
      <w:start w:val="1"/>
      <w:numFmt w:val="bullet"/>
      <w:lvlText w:val=""/>
      <w:lvlJc w:val="left"/>
      <w:pPr>
        <w:ind w:left="2880" w:hanging="360"/>
      </w:pPr>
      <w:rPr>
        <w:rFonts w:ascii="Symbol" w:hAnsi="Symbol" w:hint="default"/>
      </w:rPr>
    </w:lvl>
    <w:lvl w:ilvl="4" w:tplc="B0F2C7FA" w:tentative="1">
      <w:start w:val="1"/>
      <w:numFmt w:val="bullet"/>
      <w:lvlText w:val="o"/>
      <w:lvlJc w:val="left"/>
      <w:pPr>
        <w:ind w:left="3600" w:hanging="360"/>
      </w:pPr>
      <w:rPr>
        <w:rFonts w:ascii="Courier New" w:hAnsi="Courier New" w:cs="Courier New" w:hint="default"/>
      </w:rPr>
    </w:lvl>
    <w:lvl w:ilvl="5" w:tplc="73086D34" w:tentative="1">
      <w:start w:val="1"/>
      <w:numFmt w:val="bullet"/>
      <w:lvlText w:val=""/>
      <w:lvlJc w:val="left"/>
      <w:pPr>
        <w:ind w:left="4320" w:hanging="360"/>
      </w:pPr>
      <w:rPr>
        <w:rFonts w:ascii="Wingdings" w:hAnsi="Wingdings" w:hint="default"/>
      </w:rPr>
    </w:lvl>
    <w:lvl w:ilvl="6" w:tplc="F072D750" w:tentative="1">
      <w:start w:val="1"/>
      <w:numFmt w:val="bullet"/>
      <w:lvlText w:val=""/>
      <w:lvlJc w:val="left"/>
      <w:pPr>
        <w:ind w:left="5040" w:hanging="360"/>
      </w:pPr>
      <w:rPr>
        <w:rFonts w:ascii="Symbol" w:hAnsi="Symbol" w:hint="default"/>
      </w:rPr>
    </w:lvl>
    <w:lvl w:ilvl="7" w:tplc="C5BA1818" w:tentative="1">
      <w:start w:val="1"/>
      <w:numFmt w:val="bullet"/>
      <w:lvlText w:val="o"/>
      <w:lvlJc w:val="left"/>
      <w:pPr>
        <w:ind w:left="5760" w:hanging="360"/>
      </w:pPr>
      <w:rPr>
        <w:rFonts w:ascii="Courier New" w:hAnsi="Courier New" w:cs="Courier New" w:hint="default"/>
      </w:rPr>
    </w:lvl>
    <w:lvl w:ilvl="8" w:tplc="CE1C8BB0" w:tentative="1">
      <w:start w:val="1"/>
      <w:numFmt w:val="bullet"/>
      <w:lvlText w:val=""/>
      <w:lvlJc w:val="left"/>
      <w:pPr>
        <w:ind w:left="6480" w:hanging="360"/>
      </w:pPr>
      <w:rPr>
        <w:rFonts w:ascii="Wingdings" w:hAnsi="Wingdings" w:hint="default"/>
      </w:rPr>
    </w:lvl>
  </w:abstractNum>
  <w:abstractNum w:abstractNumId="37" w15:restartNumberingAfterBreak="0">
    <w:nsid w:val="49EE6B7A"/>
    <w:multiLevelType w:val="hybridMultilevel"/>
    <w:tmpl w:val="F1A84F20"/>
    <w:lvl w:ilvl="0" w:tplc="F04E7720">
      <w:start w:val="2"/>
      <w:numFmt w:val="upperLetter"/>
      <w:lvlText w:val="%1."/>
      <w:lvlJc w:val="left"/>
      <w:pPr>
        <w:tabs>
          <w:tab w:val="num" w:pos="720"/>
        </w:tabs>
        <w:ind w:left="720" w:hanging="360"/>
      </w:pPr>
    </w:lvl>
    <w:lvl w:ilvl="1" w:tplc="6B5C1016" w:tentative="1">
      <w:start w:val="1"/>
      <w:numFmt w:val="decimal"/>
      <w:lvlText w:val="%2."/>
      <w:lvlJc w:val="left"/>
      <w:pPr>
        <w:tabs>
          <w:tab w:val="num" w:pos="1440"/>
        </w:tabs>
        <w:ind w:left="1440" w:hanging="360"/>
      </w:pPr>
    </w:lvl>
    <w:lvl w:ilvl="2" w:tplc="7AE407C2" w:tentative="1">
      <w:start w:val="1"/>
      <w:numFmt w:val="decimal"/>
      <w:lvlText w:val="%3."/>
      <w:lvlJc w:val="left"/>
      <w:pPr>
        <w:tabs>
          <w:tab w:val="num" w:pos="2160"/>
        </w:tabs>
        <w:ind w:left="2160" w:hanging="360"/>
      </w:pPr>
    </w:lvl>
    <w:lvl w:ilvl="3" w:tplc="117E5720" w:tentative="1">
      <w:start w:val="1"/>
      <w:numFmt w:val="decimal"/>
      <w:lvlText w:val="%4."/>
      <w:lvlJc w:val="left"/>
      <w:pPr>
        <w:tabs>
          <w:tab w:val="num" w:pos="2880"/>
        </w:tabs>
        <w:ind w:left="2880" w:hanging="360"/>
      </w:pPr>
    </w:lvl>
    <w:lvl w:ilvl="4" w:tplc="D19CD9EE" w:tentative="1">
      <w:start w:val="1"/>
      <w:numFmt w:val="decimal"/>
      <w:lvlText w:val="%5."/>
      <w:lvlJc w:val="left"/>
      <w:pPr>
        <w:tabs>
          <w:tab w:val="num" w:pos="3600"/>
        </w:tabs>
        <w:ind w:left="3600" w:hanging="360"/>
      </w:pPr>
    </w:lvl>
    <w:lvl w:ilvl="5" w:tplc="0EBCAE84" w:tentative="1">
      <w:start w:val="1"/>
      <w:numFmt w:val="decimal"/>
      <w:lvlText w:val="%6."/>
      <w:lvlJc w:val="left"/>
      <w:pPr>
        <w:tabs>
          <w:tab w:val="num" w:pos="4320"/>
        </w:tabs>
        <w:ind w:left="4320" w:hanging="360"/>
      </w:pPr>
    </w:lvl>
    <w:lvl w:ilvl="6" w:tplc="9E50F946" w:tentative="1">
      <w:start w:val="1"/>
      <w:numFmt w:val="decimal"/>
      <w:lvlText w:val="%7."/>
      <w:lvlJc w:val="left"/>
      <w:pPr>
        <w:tabs>
          <w:tab w:val="num" w:pos="5040"/>
        </w:tabs>
        <w:ind w:left="5040" w:hanging="360"/>
      </w:pPr>
    </w:lvl>
    <w:lvl w:ilvl="7" w:tplc="B3A66D1A" w:tentative="1">
      <w:start w:val="1"/>
      <w:numFmt w:val="decimal"/>
      <w:lvlText w:val="%8."/>
      <w:lvlJc w:val="left"/>
      <w:pPr>
        <w:tabs>
          <w:tab w:val="num" w:pos="5760"/>
        </w:tabs>
        <w:ind w:left="5760" w:hanging="360"/>
      </w:pPr>
    </w:lvl>
    <w:lvl w:ilvl="8" w:tplc="1FAC7EDA" w:tentative="1">
      <w:start w:val="1"/>
      <w:numFmt w:val="decimal"/>
      <w:lvlText w:val="%9."/>
      <w:lvlJc w:val="left"/>
      <w:pPr>
        <w:tabs>
          <w:tab w:val="num" w:pos="6480"/>
        </w:tabs>
        <w:ind w:left="6480" w:hanging="360"/>
      </w:pPr>
    </w:lvl>
  </w:abstractNum>
  <w:abstractNum w:abstractNumId="38" w15:restartNumberingAfterBreak="0">
    <w:nsid w:val="50B746B3"/>
    <w:multiLevelType w:val="hybridMultilevel"/>
    <w:tmpl w:val="24900722"/>
    <w:lvl w:ilvl="0" w:tplc="7C84324E">
      <w:start w:val="1"/>
      <w:numFmt w:val="bullet"/>
      <w:lvlText w:val=""/>
      <w:lvlJc w:val="left"/>
      <w:pPr>
        <w:ind w:left="720" w:hanging="360"/>
      </w:pPr>
      <w:rPr>
        <w:rFonts w:ascii="Symbol" w:hAnsi="Symbol" w:hint="default"/>
      </w:rPr>
    </w:lvl>
    <w:lvl w:ilvl="1" w:tplc="37960426" w:tentative="1">
      <w:start w:val="1"/>
      <w:numFmt w:val="bullet"/>
      <w:lvlText w:val="o"/>
      <w:lvlJc w:val="left"/>
      <w:pPr>
        <w:ind w:left="1440" w:hanging="360"/>
      </w:pPr>
      <w:rPr>
        <w:rFonts w:ascii="Courier New" w:hAnsi="Courier New" w:cs="Courier New" w:hint="default"/>
      </w:rPr>
    </w:lvl>
    <w:lvl w:ilvl="2" w:tplc="5E74032E" w:tentative="1">
      <w:start w:val="1"/>
      <w:numFmt w:val="bullet"/>
      <w:lvlText w:val=""/>
      <w:lvlJc w:val="left"/>
      <w:pPr>
        <w:ind w:left="2160" w:hanging="360"/>
      </w:pPr>
      <w:rPr>
        <w:rFonts w:ascii="Wingdings" w:hAnsi="Wingdings" w:hint="default"/>
      </w:rPr>
    </w:lvl>
    <w:lvl w:ilvl="3" w:tplc="5922E760" w:tentative="1">
      <w:start w:val="1"/>
      <w:numFmt w:val="bullet"/>
      <w:lvlText w:val=""/>
      <w:lvlJc w:val="left"/>
      <w:pPr>
        <w:ind w:left="2880" w:hanging="360"/>
      </w:pPr>
      <w:rPr>
        <w:rFonts w:ascii="Symbol" w:hAnsi="Symbol" w:hint="default"/>
      </w:rPr>
    </w:lvl>
    <w:lvl w:ilvl="4" w:tplc="0298C160" w:tentative="1">
      <w:start w:val="1"/>
      <w:numFmt w:val="bullet"/>
      <w:lvlText w:val="o"/>
      <w:lvlJc w:val="left"/>
      <w:pPr>
        <w:ind w:left="3600" w:hanging="360"/>
      </w:pPr>
      <w:rPr>
        <w:rFonts w:ascii="Courier New" w:hAnsi="Courier New" w:cs="Courier New" w:hint="default"/>
      </w:rPr>
    </w:lvl>
    <w:lvl w:ilvl="5" w:tplc="3BBAAAE0" w:tentative="1">
      <w:start w:val="1"/>
      <w:numFmt w:val="bullet"/>
      <w:lvlText w:val=""/>
      <w:lvlJc w:val="left"/>
      <w:pPr>
        <w:ind w:left="4320" w:hanging="360"/>
      </w:pPr>
      <w:rPr>
        <w:rFonts w:ascii="Wingdings" w:hAnsi="Wingdings" w:hint="default"/>
      </w:rPr>
    </w:lvl>
    <w:lvl w:ilvl="6" w:tplc="06C88718" w:tentative="1">
      <w:start w:val="1"/>
      <w:numFmt w:val="bullet"/>
      <w:lvlText w:val=""/>
      <w:lvlJc w:val="left"/>
      <w:pPr>
        <w:ind w:left="5040" w:hanging="360"/>
      </w:pPr>
      <w:rPr>
        <w:rFonts w:ascii="Symbol" w:hAnsi="Symbol" w:hint="default"/>
      </w:rPr>
    </w:lvl>
    <w:lvl w:ilvl="7" w:tplc="46E064BA" w:tentative="1">
      <w:start w:val="1"/>
      <w:numFmt w:val="bullet"/>
      <w:lvlText w:val="o"/>
      <w:lvlJc w:val="left"/>
      <w:pPr>
        <w:ind w:left="5760" w:hanging="360"/>
      </w:pPr>
      <w:rPr>
        <w:rFonts w:ascii="Courier New" w:hAnsi="Courier New" w:cs="Courier New" w:hint="default"/>
      </w:rPr>
    </w:lvl>
    <w:lvl w:ilvl="8" w:tplc="C074B584" w:tentative="1">
      <w:start w:val="1"/>
      <w:numFmt w:val="bullet"/>
      <w:lvlText w:val=""/>
      <w:lvlJc w:val="left"/>
      <w:pPr>
        <w:ind w:left="6480" w:hanging="360"/>
      </w:pPr>
      <w:rPr>
        <w:rFonts w:ascii="Wingdings" w:hAnsi="Wingdings" w:hint="default"/>
      </w:rPr>
    </w:lvl>
  </w:abstractNum>
  <w:abstractNum w:abstractNumId="39" w15:restartNumberingAfterBreak="0">
    <w:nsid w:val="53390BF0"/>
    <w:multiLevelType w:val="multilevel"/>
    <w:tmpl w:val="51D27F14"/>
    <w:lvl w:ilvl="0">
      <w:start w:val="1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0" w15:restartNumberingAfterBreak="0">
    <w:nsid w:val="5502714B"/>
    <w:multiLevelType w:val="hybridMultilevel"/>
    <w:tmpl w:val="58E0DD4A"/>
    <w:lvl w:ilvl="0" w:tplc="B1EAEB84">
      <w:start w:val="1"/>
      <w:numFmt w:val="bullet"/>
      <w:lvlText w:val=""/>
      <w:lvlJc w:val="left"/>
      <w:pPr>
        <w:ind w:left="900" w:hanging="360"/>
      </w:pPr>
      <w:rPr>
        <w:rFonts w:ascii="Symbol" w:hAnsi="Symbol" w:hint="default"/>
      </w:rPr>
    </w:lvl>
    <w:lvl w:ilvl="1" w:tplc="E14A962E" w:tentative="1">
      <w:start w:val="1"/>
      <w:numFmt w:val="bullet"/>
      <w:lvlText w:val="o"/>
      <w:lvlJc w:val="left"/>
      <w:pPr>
        <w:ind w:left="1620" w:hanging="360"/>
      </w:pPr>
      <w:rPr>
        <w:rFonts w:ascii="Courier New" w:hAnsi="Courier New" w:cs="Courier New" w:hint="default"/>
      </w:rPr>
    </w:lvl>
    <w:lvl w:ilvl="2" w:tplc="E67EFC88" w:tentative="1">
      <w:start w:val="1"/>
      <w:numFmt w:val="bullet"/>
      <w:lvlText w:val=""/>
      <w:lvlJc w:val="left"/>
      <w:pPr>
        <w:ind w:left="2340" w:hanging="360"/>
      </w:pPr>
      <w:rPr>
        <w:rFonts w:ascii="Wingdings" w:hAnsi="Wingdings" w:hint="default"/>
      </w:rPr>
    </w:lvl>
    <w:lvl w:ilvl="3" w:tplc="B0D0A3AC" w:tentative="1">
      <w:start w:val="1"/>
      <w:numFmt w:val="bullet"/>
      <w:lvlText w:val=""/>
      <w:lvlJc w:val="left"/>
      <w:pPr>
        <w:ind w:left="3060" w:hanging="360"/>
      </w:pPr>
      <w:rPr>
        <w:rFonts w:ascii="Symbol" w:hAnsi="Symbol" w:hint="default"/>
      </w:rPr>
    </w:lvl>
    <w:lvl w:ilvl="4" w:tplc="8EF498EE" w:tentative="1">
      <w:start w:val="1"/>
      <w:numFmt w:val="bullet"/>
      <w:lvlText w:val="o"/>
      <w:lvlJc w:val="left"/>
      <w:pPr>
        <w:ind w:left="3780" w:hanging="360"/>
      </w:pPr>
      <w:rPr>
        <w:rFonts w:ascii="Courier New" w:hAnsi="Courier New" w:cs="Courier New" w:hint="default"/>
      </w:rPr>
    </w:lvl>
    <w:lvl w:ilvl="5" w:tplc="818EA244" w:tentative="1">
      <w:start w:val="1"/>
      <w:numFmt w:val="bullet"/>
      <w:lvlText w:val=""/>
      <w:lvlJc w:val="left"/>
      <w:pPr>
        <w:ind w:left="4500" w:hanging="360"/>
      </w:pPr>
      <w:rPr>
        <w:rFonts w:ascii="Wingdings" w:hAnsi="Wingdings" w:hint="default"/>
      </w:rPr>
    </w:lvl>
    <w:lvl w:ilvl="6" w:tplc="788ADF30" w:tentative="1">
      <w:start w:val="1"/>
      <w:numFmt w:val="bullet"/>
      <w:lvlText w:val=""/>
      <w:lvlJc w:val="left"/>
      <w:pPr>
        <w:ind w:left="5220" w:hanging="360"/>
      </w:pPr>
      <w:rPr>
        <w:rFonts w:ascii="Symbol" w:hAnsi="Symbol" w:hint="default"/>
      </w:rPr>
    </w:lvl>
    <w:lvl w:ilvl="7" w:tplc="CB4A6A52" w:tentative="1">
      <w:start w:val="1"/>
      <w:numFmt w:val="bullet"/>
      <w:lvlText w:val="o"/>
      <w:lvlJc w:val="left"/>
      <w:pPr>
        <w:ind w:left="5940" w:hanging="360"/>
      </w:pPr>
      <w:rPr>
        <w:rFonts w:ascii="Courier New" w:hAnsi="Courier New" w:cs="Courier New" w:hint="default"/>
      </w:rPr>
    </w:lvl>
    <w:lvl w:ilvl="8" w:tplc="32F6930A" w:tentative="1">
      <w:start w:val="1"/>
      <w:numFmt w:val="bullet"/>
      <w:lvlText w:val=""/>
      <w:lvlJc w:val="left"/>
      <w:pPr>
        <w:ind w:left="6660" w:hanging="360"/>
      </w:pPr>
      <w:rPr>
        <w:rFonts w:ascii="Wingdings" w:hAnsi="Wingdings" w:hint="default"/>
      </w:rPr>
    </w:lvl>
  </w:abstractNum>
  <w:abstractNum w:abstractNumId="41" w15:restartNumberingAfterBreak="0">
    <w:nsid w:val="60F30AD3"/>
    <w:multiLevelType w:val="multilevel"/>
    <w:tmpl w:val="EBA6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19557C"/>
    <w:multiLevelType w:val="hybridMultilevel"/>
    <w:tmpl w:val="6EE6F436"/>
    <w:lvl w:ilvl="0" w:tplc="CAF49B9A">
      <w:start w:val="1"/>
      <w:numFmt w:val="bullet"/>
      <w:lvlText w:val=""/>
      <w:lvlJc w:val="left"/>
      <w:pPr>
        <w:ind w:left="990" w:hanging="360"/>
      </w:pPr>
      <w:rPr>
        <w:rFonts w:ascii="Symbol" w:hAnsi="Symbol" w:hint="default"/>
      </w:rPr>
    </w:lvl>
    <w:lvl w:ilvl="1" w:tplc="EA402BA2" w:tentative="1">
      <w:start w:val="1"/>
      <w:numFmt w:val="bullet"/>
      <w:lvlText w:val="o"/>
      <w:lvlJc w:val="left"/>
      <w:pPr>
        <w:ind w:left="1710" w:hanging="360"/>
      </w:pPr>
      <w:rPr>
        <w:rFonts w:ascii="Courier New" w:hAnsi="Courier New" w:cs="Courier New" w:hint="default"/>
      </w:rPr>
    </w:lvl>
    <w:lvl w:ilvl="2" w:tplc="7572110A" w:tentative="1">
      <w:start w:val="1"/>
      <w:numFmt w:val="bullet"/>
      <w:lvlText w:val=""/>
      <w:lvlJc w:val="left"/>
      <w:pPr>
        <w:ind w:left="2430" w:hanging="360"/>
      </w:pPr>
      <w:rPr>
        <w:rFonts w:ascii="Wingdings" w:hAnsi="Wingdings" w:hint="default"/>
      </w:rPr>
    </w:lvl>
    <w:lvl w:ilvl="3" w:tplc="32E622CE" w:tentative="1">
      <w:start w:val="1"/>
      <w:numFmt w:val="bullet"/>
      <w:lvlText w:val=""/>
      <w:lvlJc w:val="left"/>
      <w:pPr>
        <w:ind w:left="3150" w:hanging="360"/>
      </w:pPr>
      <w:rPr>
        <w:rFonts w:ascii="Symbol" w:hAnsi="Symbol" w:hint="default"/>
      </w:rPr>
    </w:lvl>
    <w:lvl w:ilvl="4" w:tplc="9418E398" w:tentative="1">
      <w:start w:val="1"/>
      <w:numFmt w:val="bullet"/>
      <w:lvlText w:val="o"/>
      <w:lvlJc w:val="left"/>
      <w:pPr>
        <w:ind w:left="3870" w:hanging="360"/>
      </w:pPr>
      <w:rPr>
        <w:rFonts w:ascii="Courier New" w:hAnsi="Courier New" w:cs="Courier New" w:hint="default"/>
      </w:rPr>
    </w:lvl>
    <w:lvl w:ilvl="5" w:tplc="F7A86860" w:tentative="1">
      <w:start w:val="1"/>
      <w:numFmt w:val="bullet"/>
      <w:lvlText w:val=""/>
      <w:lvlJc w:val="left"/>
      <w:pPr>
        <w:ind w:left="4590" w:hanging="360"/>
      </w:pPr>
      <w:rPr>
        <w:rFonts w:ascii="Wingdings" w:hAnsi="Wingdings" w:hint="default"/>
      </w:rPr>
    </w:lvl>
    <w:lvl w:ilvl="6" w:tplc="996A0A70" w:tentative="1">
      <w:start w:val="1"/>
      <w:numFmt w:val="bullet"/>
      <w:lvlText w:val=""/>
      <w:lvlJc w:val="left"/>
      <w:pPr>
        <w:ind w:left="5310" w:hanging="360"/>
      </w:pPr>
      <w:rPr>
        <w:rFonts w:ascii="Symbol" w:hAnsi="Symbol" w:hint="default"/>
      </w:rPr>
    </w:lvl>
    <w:lvl w:ilvl="7" w:tplc="C21C659A" w:tentative="1">
      <w:start w:val="1"/>
      <w:numFmt w:val="bullet"/>
      <w:lvlText w:val="o"/>
      <w:lvlJc w:val="left"/>
      <w:pPr>
        <w:ind w:left="6030" w:hanging="360"/>
      </w:pPr>
      <w:rPr>
        <w:rFonts w:ascii="Courier New" w:hAnsi="Courier New" w:cs="Courier New" w:hint="default"/>
      </w:rPr>
    </w:lvl>
    <w:lvl w:ilvl="8" w:tplc="245C3FCE" w:tentative="1">
      <w:start w:val="1"/>
      <w:numFmt w:val="bullet"/>
      <w:lvlText w:val=""/>
      <w:lvlJc w:val="left"/>
      <w:pPr>
        <w:ind w:left="6750" w:hanging="360"/>
      </w:pPr>
      <w:rPr>
        <w:rFonts w:ascii="Wingdings" w:hAnsi="Wingdings" w:hint="default"/>
      </w:rPr>
    </w:lvl>
  </w:abstractNum>
  <w:abstractNum w:abstractNumId="43" w15:restartNumberingAfterBreak="0">
    <w:nsid w:val="7CD25006"/>
    <w:multiLevelType w:val="multilevel"/>
    <w:tmpl w:val="616A8E94"/>
    <w:lvl w:ilvl="0">
      <w:start w:val="11"/>
      <w:numFmt w:val="decimal"/>
      <w:lvlText w:val="%1"/>
      <w:lvlJc w:val="left"/>
      <w:pPr>
        <w:ind w:left="420" w:hanging="420"/>
      </w:pPr>
      <w:rPr>
        <w:rFonts w:hint="default"/>
        <w:b w:val="0"/>
      </w:rPr>
    </w:lvl>
    <w:lvl w:ilvl="1">
      <w:start w:val="2"/>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1"/>
  </w:num>
  <w:num w:numId="2">
    <w:abstractNumId w:val="30"/>
  </w:num>
  <w:num w:numId="3">
    <w:abstractNumId w:val="11"/>
  </w:num>
  <w:num w:numId="4">
    <w:abstractNumId w:val="9"/>
  </w:num>
  <w:num w:numId="5">
    <w:abstractNumId w:val="24"/>
  </w:num>
  <w:num w:numId="6">
    <w:abstractNumId w:val="29"/>
  </w:num>
  <w:num w:numId="7">
    <w:abstractNumId w:val="7"/>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6"/>
  </w:num>
  <w:num w:numId="13">
    <w:abstractNumId w:val="21"/>
  </w:num>
  <w:num w:numId="14">
    <w:abstractNumId w:val="3"/>
    <w:lvlOverride w:ilvl="0">
      <w:lvl w:ilvl="0">
        <w:numFmt w:val="bullet"/>
        <w:lvlText w:val=""/>
        <w:lvlJc w:val="left"/>
        <w:pPr>
          <w:tabs>
            <w:tab w:val="left" w:pos="360"/>
          </w:tabs>
          <w:ind w:left="360" w:hanging="360"/>
        </w:pPr>
        <w:rPr>
          <w:rFonts w:ascii="Wingdings" w:hAnsi="Wingdings" w:hint="default"/>
          <w:sz w:val="20"/>
        </w:rPr>
      </w:lvl>
    </w:lvlOverride>
  </w:num>
  <w:num w:numId="15">
    <w:abstractNumId w:val="28"/>
  </w:num>
  <w:num w:numId="16">
    <w:abstractNumId w:val="5"/>
  </w:num>
  <w:num w:numId="17">
    <w:abstractNumId w:val="13"/>
  </w:num>
  <w:num w:numId="18">
    <w:abstractNumId w:val="25"/>
  </w:num>
  <w:num w:numId="19">
    <w:abstractNumId w:val="23"/>
  </w:num>
  <w:num w:numId="20">
    <w:abstractNumId w:val="31"/>
  </w:num>
  <w:num w:numId="21">
    <w:abstractNumId w:val="12"/>
  </w:num>
  <w:num w:numId="22">
    <w:abstractNumId w:val="10"/>
  </w:num>
  <w:num w:numId="23">
    <w:abstractNumId w:val="22"/>
  </w:num>
  <w:num w:numId="24">
    <w:abstractNumId w:val="33"/>
  </w:num>
  <w:num w:numId="25">
    <w:abstractNumId w:val="16"/>
  </w:num>
  <w:num w:numId="26">
    <w:abstractNumId w:val="26"/>
  </w:num>
  <w:num w:numId="27">
    <w:abstractNumId w:val="4"/>
  </w:num>
  <w:num w:numId="28">
    <w:abstractNumId w:val="20"/>
  </w:num>
  <w:num w:numId="29">
    <w:abstractNumId w:val="19"/>
  </w:num>
  <w:num w:numId="30">
    <w:abstractNumId w:val="27"/>
  </w:num>
  <w:num w:numId="31">
    <w:abstractNumId w:val="15"/>
  </w:num>
  <w:num w:numId="32">
    <w:abstractNumId w:val="17"/>
  </w:num>
  <w:num w:numId="33">
    <w:abstractNumId w:val="18"/>
  </w:num>
  <w:num w:numId="34">
    <w:abstractNumId w:val="41"/>
    <w:lvlOverride w:ilvl="0">
      <w:lvl w:ilvl="0">
        <w:numFmt w:val="upperLetter"/>
        <w:lvlText w:val="%1."/>
        <w:lvlJc w:val="left"/>
      </w:lvl>
    </w:lvlOverride>
  </w:num>
  <w:num w:numId="35">
    <w:abstractNumId w:val="37"/>
  </w:num>
  <w:num w:numId="36">
    <w:abstractNumId w:val="34"/>
  </w:num>
  <w:num w:numId="37">
    <w:abstractNumId w:val="35"/>
  </w:num>
  <w:num w:numId="38">
    <w:abstractNumId w:val="40"/>
  </w:num>
  <w:num w:numId="39">
    <w:abstractNumId w:val="32"/>
  </w:num>
  <w:num w:numId="40">
    <w:abstractNumId w:val="42"/>
  </w:num>
  <w:num w:numId="41">
    <w:abstractNumId w:val="38"/>
  </w:num>
  <w:num w:numId="42">
    <w:abstractNumId w:val="36"/>
  </w:num>
  <w:num w:numId="43">
    <w:abstractNumId w:val="39"/>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0MDI3NDUxMTU1sTRV0lEKTi0uzszPAykwrgUAY/zm2SwAAAA="/>
  </w:docVars>
  <w:rsids>
    <w:rsidRoot w:val="006564AA"/>
    <w:rsid w:val="00020EAB"/>
    <w:rsid w:val="00023D5E"/>
    <w:rsid w:val="00037F74"/>
    <w:rsid w:val="0007796F"/>
    <w:rsid w:val="000B0D89"/>
    <w:rsid w:val="000B164E"/>
    <w:rsid w:val="00102BB9"/>
    <w:rsid w:val="00123C62"/>
    <w:rsid w:val="00132FFA"/>
    <w:rsid w:val="00146BCC"/>
    <w:rsid w:val="001472CA"/>
    <w:rsid w:val="0016144F"/>
    <w:rsid w:val="0016650E"/>
    <w:rsid w:val="00170D94"/>
    <w:rsid w:val="00190FA8"/>
    <w:rsid w:val="00194F5C"/>
    <w:rsid w:val="00196AA0"/>
    <w:rsid w:val="001B1EE2"/>
    <w:rsid w:val="001E1C4B"/>
    <w:rsid w:val="001E1FCE"/>
    <w:rsid w:val="001E3C0F"/>
    <w:rsid w:val="001F4CA0"/>
    <w:rsid w:val="001F5B0C"/>
    <w:rsid w:val="00230A26"/>
    <w:rsid w:val="0023702F"/>
    <w:rsid w:val="00253A0A"/>
    <w:rsid w:val="00280AEE"/>
    <w:rsid w:val="002D3AA0"/>
    <w:rsid w:val="002D551C"/>
    <w:rsid w:val="002E1659"/>
    <w:rsid w:val="002E452F"/>
    <w:rsid w:val="002E54C0"/>
    <w:rsid w:val="002E6035"/>
    <w:rsid w:val="002F015C"/>
    <w:rsid w:val="0030603B"/>
    <w:rsid w:val="00325766"/>
    <w:rsid w:val="003379AA"/>
    <w:rsid w:val="00350D12"/>
    <w:rsid w:val="00356D25"/>
    <w:rsid w:val="003861C4"/>
    <w:rsid w:val="003D7BE8"/>
    <w:rsid w:val="00441282"/>
    <w:rsid w:val="0045498B"/>
    <w:rsid w:val="0046272B"/>
    <w:rsid w:val="0046476E"/>
    <w:rsid w:val="00475C60"/>
    <w:rsid w:val="004909B4"/>
    <w:rsid w:val="004B6245"/>
    <w:rsid w:val="004B707E"/>
    <w:rsid w:val="00506BAC"/>
    <w:rsid w:val="00517681"/>
    <w:rsid w:val="005353B5"/>
    <w:rsid w:val="00536C8B"/>
    <w:rsid w:val="00563BE9"/>
    <w:rsid w:val="0057185D"/>
    <w:rsid w:val="00581E69"/>
    <w:rsid w:val="005A2A84"/>
    <w:rsid w:val="00610EB1"/>
    <w:rsid w:val="00620477"/>
    <w:rsid w:val="00622677"/>
    <w:rsid w:val="00652C9B"/>
    <w:rsid w:val="00653218"/>
    <w:rsid w:val="006564AA"/>
    <w:rsid w:val="00664FC5"/>
    <w:rsid w:val="006E42EE"/>
    <w:rsid w:val="006F0CE1"/>
    <w:rsid w:val="006F196C"/>
    <w:rsid w:val="006F71B7"/>
    <w:rsid w:val="00717696"/>
    <w:rsid w:val="00741E15"/>
    <w:rsid w:val="007424DF"/>
    <w:rsid w:val="0074288A"/>
    <w:rsid w:val="00777C7B"/>
    <w:rsid w:val="00797714"/>
    <w:rsid w:val="007B166B"/>
    <w:rsid w:val="007D16A3"/>
    <w:rsid w:val="007D65AF"/>
    <w:rsid w:val="007E7FC2"/>
    <w:rsid w:val="007F38D2"/>
    <w:rsid w:val="007F6CD2"/>
    <w:rsid w:val="00837273"/>
    <w:rsid w:val="00876A28"/>
    <w:rsid w:val="008B1140"/>
    <w:rsid w:val="008B158C"/>
    <w:rsid w:val="008D0D01"/>
    <w:rsid w:val="008D7CBB"/>
    <w:rsid w:val="00933D01"/>
    <w:rsid w:val="00952C16"/>
    <w:rsid w:val="009A7E6C"/>
    <w:rsid w:val="009B3E0B"/>
    <w:rsid w:val="009F28FB"/>
    <w:rsid w:val="00A039A6"/>
    <w:rsid w:val="00A06B44"/>
    <w:rsid w:val="00A3668D"/>
    <w:rsid w:val="00AC6C85"/>
    <w:rsid w:val="00AC6D36"/>
    <w:rsid w:val="00AD5FE8"/>
    <w:rsid w:val="00AE166B"/>
    <w:rsid w:val="00B17911"/>
    <w:rsid w:val="00B52F20"/>
    <w:rsid w:val="00B558C8"/>
    <w:rsid w:val="00B834D0"/>
    <w:rsid w:val="00B84C7A"/>
    <w:rsid w:val="00BC35F7"/>
    <w:rsid w:val="00BD1808"/>
    <w:rsid w:val="00BD6C72"/>
    <w:rsid w:val="00BD6CF2"/>
    <w:rsid w:val="00C512ED"/>
    <w:rsid w:val="00C72A10"/>
    <w:rsid w:val="00C9166B"/>
    <w:rsid w:val="00C92FEC"/>
    <w:rsid w:val="00CC7439"/>
    <w:rsid w:val="00CE6604"/>
    <w:rsid w:val="00D2014D"/>
    <w:rsid w:val="00D5146F"/>
    <w:rsid w:val="00D5331F"/>
    <w:rsid w:val="00D65F93"/>
    <w:rsid w:val="00D701C5"/>
    <w:rsid w:val="00D7547B"/>
    <w:rsid w:val="00D9657C"/>
    <w:rsid w:val="00DA148D"/>
    <w:rsid w:val="00DC1D4D"/>
    <w:rsid w:val="00DD1D73"/>
    <w:rsid w:val="00DE2618"/>
    <w:rsid w:val="00E24529"/>
    <w:rsid w:val="00E25A03"/>
    <w:rsid w:val="00E26266"/>
    <w:rsid w:val="00E83BBD"/>
    <w:rsid w:val="00EC0417"/>
    <w:rsid w:val="00EC1B9F"/>
    <w:rsid w:val="00EC4FC9"/>
    <w:rsid w:val="00F108DF"/>
    <w:rsid w:val="00F13F25"/>
    <w:rsid w:val="00F34861"/>
    <w:rsid w:val="00F435A4"/>
    <w:rsid w:val="00F52169"/>
    <w:rsid w:val="00F63865"/>
    <w:rsid w:val="00F85057"/>
    <w:rsid w:val="00F97043"/>
    <w:rsid w:val="00FB2F4E"/>
    <w:rsid w:val="00FE09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F48EC4"/>
  <w15:docId w15:val="{8EAAA698-1A5C-46AA-9095-0B4BD93E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sz w:val="18"/>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SimSun" w:hAnsi="Times New Roman"/>
      <w:sz w:val="24"/>
    </w:rPr>
  </w:style>
  <w:style w:type="paragraph" w:styleId="Heading1">
    <w:name w:val="heading 1"/>
    <w:basedOn w:val="Title"/>
    <w:next w:val="Title"/>
    <w:link w:val="Heading1Char"/>
    <w:autoRedefine/>
    <w:uiPriority w:val="9"/>
    <w:qFormat/>
    <w:rsid w:val="003D7BE8"/>
    <w:pPr>
      <w:keepNext/>
      <w:keepLines/>
      <w:pBdr>
        <w:bottom w:val="single" w:sz="8" w:space="1" w:color="auto"/>
      </w:pBdr>
      <w:spacing w:before="320"/>
      <w:jc w:val="both"/>
      <w:outlineLvl w:val="0"/>
    </w:pPr>
    <w:rPr>
      <w:rFonts w:ascii="Times New Roman" w:hAnsi="Times New Roman" w:cs="Times New Roman"/>
      <w:color w:val="000000"/>
      <w:sz w:val="32"/>
      <w:szCs w:val="32"/>
    </w:rPr>
  </w:style>
  <w:style w:type="paragraph" w:styleId="Heading2">
    <w:name w:val="heading 2"/>
    <w:basedOn w:val="Normal"/>
    <w:next w:val="Normal"/>
    <w:link w:val="Heading2Char"/>
    <w:autoRedefine/>
    <w:uiPriority w:val="9"/>
    <w:unhideWhenUsed/>
    <w:qFormat/>
    <w:rsid w:val="00F34861"/>
    <w:pPr>
      <w:keepNext/>
      <w:keepLines/>
      <w:spacing w:before="80"/>
      <w:outlineLvl w:val="1"/>
    </w:pPr>
    <w:rPr>
      <w:b/>
      <w:color w:val="404040"/>
      <w:sz w:val="28"/>
      <w:szCs w:val="28"/>
      <w:u w:val="single"/>
    </w:rPr>
  </w:style>
  <w:style w:type="paragraph" w:styleId="Heading3">
    <w:name w:val="heading 3"/>
    <w:basedOn w:val="Title"/>
    <w:next w:val="Title"/>
    <w:link w:val="Heading3Char"/>
    <w:uiPriority w:val="9"/>
    <w:unhideWhenUsed/>
    <w:qFormat/>
    <w:pPr>
      <w:numPr>
        <w:numId w:val="1"/>
      </w:numPr>
      <w:spacing w:line="360" w:lineRule="auto"/>
      <w:ind w:left="426"/>
      <w:jc w:val="both"/>
      <w:outlineLvl w:val="2"/>
    </w:pPr>
    <w:rPr>
      <w:rFonts w:ascii="Times New Roman" w:hAnsi="Times New Roman" w:cs="Times New Roman"/>
      <w:b/>
      <w:bCs/>
      <w:color w:val="auto"/>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Cambria" w:hAnsi="Cambria"/>
      <w:sz w:val="22"/>
      <w:szCs w:val="22"/>
    </w:rPr>
  </w:style>
  <w:style w:type="paragraph" w:styleId="Heading5">
    <w:name w:val="heading 5"/>
    <w:basedOn w:val="Normal"/>
    <w:next w:val="Normal"/>
    <w:link w:val="Heading5Char"/>
    <w:uiPriority w:val="9"/>
    <w:semiHidden/>
    <w:unhideWhenUsed/>
    <w:qFormat/>
    <w:pPr>
      <w:keepNext/>
      <w:keepLines/>
      <w:spacing w:before="40"/>
      <w:outlineLvl w:val="4"/>
    </w:pPr>
    <w:rPr>
      <w:rFonts w:ascii="Cambria" w:hAnsi="Cambria"/>
      <w:color w:val="1F497D"/>
      <w:sz w:val="22"/>
      <w:szCs w:val="22"/>
    </w:rPr>
  </w:style>
  <w:style w:type="paragraph" w:styleId="Heading6">
    <w:name w:val="heading 6"/>
    <w:basedOn w:val="Normal"/>
    <w:next w:val="Normal"/>
    <w:link w:val="Heading6Char"/>
    <w:uiPriority w:val="9"/>
    <w:semiHidden/>
    <w:unhideWhenUsed/>
    <w:qFormat/>
    <w:pPr>
      <w:keepNext/>
      <w:keepLines/>
      <w:spacing w:before="40"/>
      <w:outlineLvl w:val="5"/>
    </w:pPr>
    <w:rPr>
      <w:rFonts w:ascii="Cambria" w:hAnsi="Cambria"/>
      <w:i/>
      <w:iCs/>
      <w:color w:val="1F497D"/>
      <w:sz w:val="21"/>
      <w:szCs w:val="21"/>
    </w:rPr>
  </w:style>
  <w:style w:type="paragraph" w:styleId="Heading7">
    <w:name w:val="heading 7"/>
    <w:basedOn w:val="Normal"/>
    <w:next w:val="Normal"/>
    <w:link w:val="Heading7Char"/>
    <w:uiPriority w:val="9"/>
    <w:qFormat/>
    <w:pPr>
      <w:keepNext/>
      <w:keepLines/>
      <w:spacing w:before="40"/>
      <w:outlineLvl w:val="6"/>
    </w:pPr>
    <w:rPr>
      <w:rFonts w:ascii="Cambria" w:hAnsi="Cambria"/>
      <w:i/>
      <w:iCs/>
      <w:color w:val="244061"/>
      <w:sz w:val="21"/>
      <w:szCs w:val="21"/>
    </w:rPr>
  </w:style>
  <w:style w:type="paragraph" w:styleId="Heading8">
    <w:name w:val="heading 8"/>
    <w:basedOn w:val="Normal"/>
    <w:next w:val="Normal"/>
    <w:link w:val="Heading8Char"/>
    <w:uiPriority w:val="9"/>
    <w:qFormat/>
    <w:pPr>
      <w:keepNext/>
      <w:keepLines/>
      <w:spacing w:before="40"/>
      <w:outlineLvl w:val="7"/>
    </w:pPr>
    <w:rPr>
      <w:rFonts w:ascii="Cambria" w:hAnsi="Cambria"/>
      <w:b/>
      <w:bCs/>
      <w:color w:val="1F497D"/>
    </w:rPr>
  </w:style>
  <w:style w:type="paragraph" w:styleId="Heading9">
    <w:name w:val="heading 9"/>
    <w:basedOn w:val="Normal"/>
    <w:next w:val="Normal"/>
    <w:link w:val="Heading9Char"/>
    <w:uiPriority w:val="9"/>
    <w:qFormat/>
    <w:pPr>
      <w:keepNext/>
      <w:keepLines/>
      <w:spacing w:before="40"/>
      <w:outlineLvl w:val="8"/>
    </w:pPr>
    <w:rPr>
      <w:rFonts w:ascii="Cambria" w:hAnsi="Cambria"/>
      <w:b/>
      <w:bCs/>
      <w:i/>
      <w:iCs/>
      <w:color w:val="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BE8"/>
    <w:rPr>
      <w:rFonts w:ascii="Times New Roman" w:eastAsia="SimSun" w:hAnsi="Times New Roman" w:cs="Times New Roman"/>
      <w:color w:val="000000"/>
      <w:spacing w:val="-10"/>
      <w:sz w:val="32"/>
      <w:szCs w:val="32"/>
    </w:rPr>
  </w:style>
  <w:style w:type="paragraph" w:styleId="NoSpacing">
    <w:name w:val="No Spacing"/>
    <w:link w:val="NoSpacingChar"/>
    <w:uiPriority w:val="1"/>
    <w:qFormat/>
  </w:style>
  <w:style w:type="paragraph" w:styleId="ListParagraph">
    <w:name w:val="List Paragraph"/>
    <w:basedOn w:val="Normal"/>
    <w:uiPriority w:val="34"/>
    <w:qFormat/>
    <w:pPr>
      <w:ind w:left="720"/>
      <w:contextualSpacing/>
    </w:pPr>
    <w:rPr>
      <w:szCs w:val="18"/>
    </w:rPr>
  </w:style>
  <w:style w:type="character" w:customStyle="1" w:styleId="Heading2Char">
    <w:name w:val="Heading 2 Char"/>
    <w:basedOn w:val="DefaultParagraphFont"/>
    <w:link w:val="Heading2"/>
    <w:uiPriority w:val="9"/>
    <w:rsid w:val="00F34861"/>
    <w:rPr>
      <w:rFonts w:ascii="Times New Roman" w:eastAsia="SimSun" w:hAnsi="Times New Roman"/>
      <w:b/>
      <w:color w:val="404040"/>
      <w:sz w:val="28"/>
      <w:szCs w:val="28"/>
      <w:u w:val="single"/>
    </w:rPr>
  </w:style>
  <w:style w:type="character" w:customStyle="1" w:styleId="Heading3Char">
    <w:name w:val="Heading 3 Char"/>
    <w:basedOn w:val="DefaultParagraphFont"/>
    <w:link w:val="Heading3"/>
    <w:uiPriority w:val="9"/>
    <w:rPr>
      <w:rFonts w:ascii="Times New Roman" w:eastAsia="SimSun" w:hAnsi="Times New Roman" w:cs="Times New Roman"/>
      <w:b/>
      <w:bCs/>
      <w:spacing w:val="-10"/>
      <w:sz w:val="24"/>
      <w:szCs w:val="24"/>
    </w:rPr>
  </w:style>
  <w:style w:type="character" w:customStyle="1" w:styleId="Heading4Char">
    <w:name w:val="Heading 4 Char"/>
    <w:basedOn w:val="DefaultParagraphFont"/>
    <w:link w:val="Heading4"/>
    <w:uiPriority w:val="9"/>
    <w:rPr>
      <w:rFonts w:ascii="Cambria" w:eastAsia="SimSun" w:hAnsi="Cambria" w:cs="Mangal"/>
      <w:sz w:val="22"/>
      <w:szCs w:val="22"/>
    </w:rPr>
  </w:style>
  <w:style w:type="character" w:customStyle="1" w:styleId="Heading5Char">
    <w:name w:val="Heading 5 Char"/>
    <w:basedOn w:val="DefaultParagraphFont"/>
    <w:link w:val="Heading5"/>
    <w:uiPriority w:val="9"/>
    <w:rPr>
      <w:rFonts w:ascii="Cambria" w:eastAsia="SimSun" w:hAnsi="Cambria" w:cs="Mangal"/>
      <w:color w:val="1F497D"/>
      <w:sz w:val="22"/>
      <w:szCs w:val="22"/>
    </w:rPr>
  </w:style>
  <w:style w:type="character" w:customStyle="1" w:styleId="Heading6Char">
    <w:name w:val="Heading 6 Char"/>
    <w:basedOn w:val="DefaultParagraphFont"/>
    <w:link w:val="Heading6"/>
    <w:uiPriority w:val="9"/>
    <w:rPr>
      <w:rFonts w:ascii="Cambria" w:eastAsia="SimSun" w:hAnsi="Cambria" w:cs="Mangal"/>
      <w:i/>
      <w:iCs/>
      <w:color w:val="1F497D"/>
      <w:sz w:val="21"/>
      <w:szCs w:val="21"/>
    </w:rPr>
  </w:style>
  <w:style w:type="character" w:customStyle="1" w:styleId="Heading7Char">
    <w:name w:val="Heading 7 Char"/>
    <w:basedOn w:val="DefaultParagraphFont"/>
    <w:link w:val="Heading7"/>
    <w:uiPriority w:val="9"/>
    <w:rPr>
      <w:rFonts w:ascii="Cambria" w:eastAsia="SimSun" w:hAnsi="Cambria" w:cs="Mangal"/>
      <w:i/>
      <w:iCs/>
      <w:color w:val="244061"/>
      <w:sz w:val="21"/>
      <w:szCs w:val="21"/>
    </w:rPr>
  </w:style>
  <w:style w:type="character" w:customStyle="1" w:styleId="Heading8Char">
    <w:name w:val="Heading 8 Char"/>
    <w:basedOn w:val="DefaultParagraphFont"/>
    <w:link w:val="Heading8"/>
    <w:uiPriority w:val="9"/>
    <w:rPr>
      <w:rFonts w:ascii="Cambria" w:eastAsia="SimSun" w:hAnsi="Cambria" w:cs="Mangal"/>
      <w:b/>
      <w:bCs/>
      <w:color w:val="1F497D"/>
    </w:rPr>
  </w:style>
  <w:style w:type="character" w:customStyle="1" w:styleId="Heading9Char">
    <w:name w:val="Heading 9 Char"/>
    <w:basedOn w:val="DefaultParagraphFont"/>
    <w:link w:val="Heading9"/>
    <w:uiPriority w:val="9"/>
    <w:rPr>
      <w:rFonts w:ascii="Cambria" w:eastAsia="SimSun" w:hAnsi="Cambria" w:cs="Mangal"/>
      <w:b/>
      <w:bCs/>
      <w:i/>
      <w:iCs/>
      <w:color w:val="1F497D"/>
    </w:rPr>
  </w:style>
  <w:style w:type="paragraph" w:styleId="Caption">
    <w:name w:val="caption"/>
    <w:basedOn w:val="Normal"/>
    <w:next w:val="Normal"/>
    <w:uiPriority w:val="35"/>
    <w:qFormat/>
    <w:rPr>
      <w:b/>
      <w:bCs/>
      <w:smallCaps/>
      <w:color w:val="595959"/>
      <w:spacing w:val="6"/>
    </w:rPr>
  </w:style>
  <w:style w:type="paragraph" w:styleId="Title">
    <w:name w:val="Title"/>
    <w:basedOn w:val="Normal"/>
    <w:next w:val="Normal"/>
    <w:link w:val="TitleChar"/>
    <w:uiPriority w:val="10"/>
    <w:qFormat/>
    <w:pPr>
      <w:contextualSpacing/>
    </w:pPr>
    <w:rPr>
      <w:rFonts w:ascii="Cambria" w:hAnsi="Cambria"/>
      <w:color w:val="4F81BD"/>
      <w:spacing w:val="-10"/>
      <w:sz w:val="56"/>
      <w:szCs w:val="56"/>
    </w:rPr>
  </w:style>
  <w:style w:type="character" w:customStyle="1" w:styleId="TitleChar">
    <w:name w:val="Title Char"/>
    <w:basedOn w:val="DefaultParagraphFont"/>
    <w:link w:val="Title"/>
    <w:uiPriority w:val="10"/>
    <w:rPr>
      <w:rFonts w:ascii="Cambria" w:eastAsia="SimSun" w:hAnsi="Cambria" w:cs="Mangal"/>
      <w:color w:val="4F81BD"/>
      <w:spacing w:val="-10"/>
      <w:sz w:val="56"/>
      <w:szCs w:val="56"/>
    </w:rPr>
  </w:style>
  <w:style w:type="paragraph" w:styleId="Subtitle">
    <w:name w:val="Subtitle"/>
    <w:basedOn w:val="Normal"/>
    <w:next w:val="Normal"/>
    <w:link w:val="SubtitleChar"/>
    <w:uiPriority w:val="11"/>
    <w:qFormat/>
    <w:pPr>
      <w:numPr>
        <w:ilvl w:val="1"/>
      </w:numPr>
    </w:pPr>
    <w:rPr>
      <w:rFonts w:ascii="Cambria" w:hAnsi="Cambria"/>
      <w:szCs w:val="24"/>
    </w:rPr>
  </w:style>
  <w:style w:type="character" w:customStyle="1" w:styleId="SubtitleChar">
    <w:name w:val="Subtitle Char"/>
    <w:basedOn w:val="DefaultParagraphFont"/>
    <w:link w:val="Subtitle"/>
    <w:uiPriority w:val="11"/>
    <w:rPr>
      <w:rFonts w:ascii="Cambria" w:eastAsia="SimSun" w:hAnsi="Cambria" w:cs="Mangal"/>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spacing w:before="160"/>
      <w:ind w:left="720" w:right="720"/>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qFormat/>
    <w:pPr>
      <w:pBdr>
        <w:left w:val="single" w:sz="18" w:space="12" w:color="4F81BD"/>
      </w:pBdr>
      <w:spacing w:before="100" w:beforeAutospacing="1" w:line="300" w:lineRule="auto"/>
      <w:ind w:left="1224" w:right="1224"/>
    </w:pPr>
    <w:rPr>
      <w:rFonts w:ascii="Cambria" w:hAnsi="Cambria"/>
      <w:color w:val="4F81BD"/>
      <w:sz w:val="28"/>
      <w:szCs w:val="28"/>
    </w:rPr>
  </w:style>
  <w:style w:type="character" w:customStyle="1" w:styleId="IntenseQuoteChar">
    <w:name w:val="Intense Quote Char"/>
    <w:basedOn w:val="DefaultParagraphFont"/>
    <w:link w:val="IntenseQuote"/>
    <w:uiPriority w:val="30"/>
    <w:rPr>
      <w:rFonts w:ascii="Cambria" w:eastAsia="SimSun" w:hAnsi="Cambria" w:cs="Mangal"/>
      <w:color w:val="4F81BD"/>
      <w:sz w:val="28"/>
      <w:szCs w:val="28"/>
    </w:rPr>
  </w:style>
  <w:style w:type="character" w:styleId="SubtleEmphasis">
    <w:name w:val="Subtle Emphasis"/>
    <w:basedOn w:val="DefaultParagraphFont"/>
    <w:uiPriority w:val="19"/>
    <w:qFormat/>
    <w:rPr>
      <w:i/>
      <w:iCs/>
      <w:color w:val="404040"/>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u w:val="single" w:color="7F7F7F"/>
    </w:rPr>
  </w:style>
  <w:style w:type="character" w:styleId="IntenseReference">
    <w:name w:val="Intense Reference"/>
    <w:basedOn w:val="DefaultParagraphFont"/>
    <w:uiPriority w:val="32"/>
    <w:qFormat/>
    <w:rPr>
      <w:b/>
      <w:bCs/>
      <w:smallCaps/>
      <w:spacing w:val="5"/>
      <w:u w:val="single"/>
    </w:rPr>
  </w:style>
  <w:style w:type="character" w:styleId="BookTitle">
    <w:name w:val="Book Title"/>
    <w:basedOn w:val="DefaultParagraphFont"/>
    <w:uiPriority w:val="33"/>
    <w:qFormat/>
    <w:rPr>
      <w:b/>
      <w:bCs/>
      <w:smallCaps/>
    </w:rPr>
  </w:style>
  <w:style w:type="paragraph" w:styleId="TOCHeading">
    <w:name w:val="TOC Heading"/>
    <w:basedOn w:val="Heading1"/>
    <w:next w:val="Normal"/>
    <w:uiPriority w:val="39"/>
    <w:qFormat/>
    <w:pPr>
      <w:outlineLvl w:val="9"/>
    </w:pPr>
  </w:style>
  <w:style w:type="paragraph" w:customStyle="1" w:styleId="heading001">
    <w:name w:val="heading 001"/>
    <w:basedOn w:val="Heading8"/>
    <w:link w:val="heading001Char"/>
    <w:qFormat/>
    <w:rPr>
      <w:rFonts w:ascii="Times New Roman" w:hAnsi="Times New Roman"/>
      <w:b w:val="0"/>
    </w:rPr>
  </w:style>
  <w:style w:type="character" w:customStyle="1" w:styleId="heading001Char">
    <w:name w:val="heading 001 Char"/>
    <w:basedOn w:val="Heading8Char"/>
    <w:link w:val="heading001"/>
    <w:rPr>
      <w:rFonts w:ascii="Times New Roman" w:eastAsia="SimSun" w:hAnsi="Times New Roman" w:cs="Mangal"/>
      <w:b w:val="0"/>
      <w:bCs/>
      <w:color w:val="1F497D"/>
      <w:sz w:val="24"/>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TOC1">
    <w:name w:val="toc 1"/>
    <w:basedOn w:val="Normal"/>
    <w:next w:val="Normal"/>
    <w:uiPriority w:val="39"/>
    <w:pPr>
      <w:spacing w:after="100"/>
    </w:pPr>
    <w:rPr>
      <w:szCs w:val="18"/>
    </w:rPr>
  </w:style>
  <w:style w:type="paragraph" w:styleId="TOC2">
    <w:name w:val="toc 2"/>
    <w:basedOn w:val="Normal"/>
    <w:next w:val="Normal"/>
    <w:uiPriority w:val="39"/>
    <w:pPr>
      <w:spacing w:after="100"/>
      <w:ind w:left="200"/>
    </w:pPr>
    <w:rPr>
      <w:szCs w:val="18"/>
    </w:rPr>
  </w:style>
  <w:style w:type="paragraph" w:styleId="NormalWeb">
    <w:name w:val="Normal (Web)"/>
    <w:basedOn w:val="Normal"/>
    <w:uiPriority w:val="99"/>
    <w:pPr>
      <w:spacing w:before="100" w:beforeAutospacing="1" w:after="100" w:afterAutospacing="1"/>
    </w:pPr>
    <w:rPr>
      <w:rFonts w:eastAsia="Times New Roman" w:cs="Times New Roman"/>
      <w:szCs w:val="24"/>
      <w:lang w:val="en-US" w:bidi="ar-SA"/>
    </w:rPr>
  </w:style>
  <w:style w:type="table" w:styleId="TableGrid">
    <w:name w:val="Table Grid"/>
    <w:basedOn w:val="TableNormal"/>
    <w:uiPriority w:val="39"/>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style>
  <w:style w:type="character" w:customStyle="1" w:styleId="docssharedwiztogglelabeledlabeltext">
    <w:name w:val="docssharedwiztogglelabeledlabeltext"/>
    <w:basedOn w:val="DefaultParagraphFont"/>
  </w:style>
  <w:style w:type="paragraph" w:styleId="Header">
    <w:name w:val="header"/>
    <w:basedOn w:val="Normal"/>
    <w:link w:val="HeaderChar"/>
    <w:uiPriority w:val="99"/>
    <w:pPr>
      <w:tabs>
        <w:tab w:val="center" w:pos="4513"/>
        <w:tab w:val="right" w:pos="9026"/>
      </w:tabs>
    </w:pPr>
    <w:rPr>
      <w:szCs w:val="18"/>
    </w:rPr>
  </w:style>
  <w:style w:type="character" w:customStyle="1" w:styleId="HeaderChar">
    <w:name w:val="Header Char"/>
    <w:basedOn w:val="DefaultParagraphFont"/>
    <w:link w:val="Header"/>
    <w:uiPriority w:val="99"/>
    <w:rPr>
      <w:rFonts w:eastAsia="SimSun"/>
      <w:sz w:val="20"/>
      <w:szCs w:val="18"/>
    </w:rPr>
  </w:style>
  <w:style w:type="paragraph" w:styleId="Footer">
    <w:name w:val="footer"/>
    <w:basedOn w:val="Normal"/>
    <w:link w:val="FooterChar"/>
    <w:uiPriority w:val="99"/>
    <w:pPr>
      <w:tabs>
        <w:tab w:val="center" w:pos="4513"/>
        <w:tab w:val="right" w:pos="9026"/>
      </w:tabs>
    </w:pPr>
    <w:rPr>
      <w:szCs w:val="18"/>
    </w:rPr>
  </w:style>
  <w:style w:type="character" w:customStyle="1" w:styleId="FooterChar">
    <w:name w:val="Footer Char"/>
    <w:basedOn w:val="DefaultParagraphFont"/>
    <w:link w:val="Footer"/>
    <w:uiPriority w:val="99"/>
    <w:rPr>
      <w:rFonts w:eastAsia="SimSun"/>
      <w:sz w:val="20"/>
      <w:szCs w:val="18"/>
    </w:rPr>
  </w:style>
  <w:style w:type="paragraph" w:customStyle="1" w:styleId="zn-bodyparagraph">
    <w:name w:val="zn-body__paragraph"/>
    <w:basedOn w:val="Normal"/>
    <w:pPr>
      <w:spacing w:before="100" w:beforeAutospacing="1" w:after="100" w:afterAutospacing="1"/>
    </w:pPr>
    <w:rPr>
      <w:rFonts w:eastAsia="Times New Roman" w:cs="Times New Roman"/>
      <w:szCs w:val="24"/>
      <w:lang w:eastAsia="en-IN"/>
    </w:rPr>
  </w:style>
  <w:style w:type="paragraph" w:styleId="TOC3">
    <w:name w:val="toc 3"/>
    <w:basedOn w:val="Normal"/>
    <w:next w:val="Normal"/>
    <w:uiPriority w:val="39"/>
    <w:pPr>
      <w:spacing w:after="100"/>
      <w:ind w:left="400"/>
    </w:pPr>
    <w:rPr>
      <w:szCs w:val="18"/>
    </w:rPr>
  </w:style>
  <w:style w:type="paragraph" w:styleId="BalloonText">
    <w:name w:val="Balloon Text"/>
    <w:basedOn w:val="Normal"/>
    <w:link w:val="BalloonTextChar"/>
    <w:uiPriority w:val="99"/>
    <w:rPr>
      <w:rFonts w:ascii="Segoe UI" w:hAnsi="Segoe UI"/>
      <w:sz w:val="18"/>
      <w:szCs w:val="16"/>
    </w:rPr>
  </w:style>
  <w:style w:type="character" w:customStyle="1" w:styleId="BalloonTextChar">
    <w:name w:val="Balloon Text Char"/>
    <w:basedOn w:val="DefaultParagraphFont"/>
    <w:link w:val="BalloonText"/>
    <w:uiPriority w:val="99"/>
    <w:rPr>
      <w:rFonts w:ascii="Segoe UI" w:eastAsia="SimSun" w:hAnsi="Segoe UI" w:cs="Mangal"/>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7520">
      <w:bodyDiv w:val="1"/>
      <w:marLeft w:val="0"/>
      <w:marRight w:val="0"/>
      <w:marTop w:val="0"/>
      <w:marBottom w:val="0"/>
      <w:divBdr>
        <w:top w:val="none" w:sz="0" w:space="0" w:color="auto"/>
        <w:left w:val="none" w:sz="0" w:space="0" w:color="auto"/>
        <w:bottom w:val="none" w:sz="0" w:space="0" w:color="auto"/>
        <w:right w:val="none" w:sz="0" w:space="0" w:color="auto"/>
      </w:divBdr>
    </w:div>
    <w:div w:id="244996429">
      <w:bodyDiv w:val="1"/>
      <w:marLeft w:val="0"/>
      <w:marRight w:val="0"/>
      <w:marTop w:val="0"/>
      <w:marBottom w:val="0"/>
      <w:divBdr>
        <w:top w:val="none" w:sz="0" w:space="0" w:color="auto"/>
        <w:left w:val="none" w:sz="0" w:space="0" w:color="auto"/>
        <w:bottom w:val="none" w:sz="0" w:space="0" w:color="auto"/>
        <w:right w:val="none" w:sz="0" w:space="0" w:color="auto"/>
      </w:divBdr>
    </w:div>
    <w:div w:id="524364860">
      <w:bodyDiv w:val="1"/>
      <w:marLeft w:val="0"/>
      <w:marRight w:val="0"/>
      <w:marTop w:val="0"/>
      <w:marBottom w:val="0"/>
      <w:divBdr>
        <w:top w:val="none" w:sz="0" w:space="0" w:color="auto"/>
        <w:left w:val="none" w:sz="0" w:space="0" w:color="auto"/>
        <w:bottom w:val="none" w:sz="0" w:space="0" w:color="auto"/>
        <w:right w:val="none" w:sz="0" w:space="0" w:color="auto"/>
      </w:divBdr>
    </w:div>
    <w:div w:id="699747329">
      <w:bodyDiv w:val="1"/>
      <w:marLeft w:val="0"/>
      <w:marRight w:val="0"/>
      <w:marTop w:val="0"/>
      <w:marBottom w:val="0"/>
      <w:divBdr>
        <w:top w:val="none" w:sz="0" w:space="0" w:color="auto"/>
        <w:left w:val="none" w:sz="0" w:space="0" w:color="auto"/>
        <w:bottom w:val="none" w:sz="0" w:space="0" w:color="auto"/>
        <w:right w:val="none" w:sz="0" w:space="0" w:color="auto"/>
      </w:divBdr>
    </w:div>
    <w:div w:id="835729672">
      <w:bodyDiv w:val="1"/>
      <w:marLeft w:val="0"/>
      <w:marRight w:val="0"/>
      <w:marTop w:val="0"/>
      <w:marBottom w:val="0"/>
      <w:divBdr>
        <w:top w:val="none" w:sz="0" w:space="0" w:color="auto"/>
        <w:left w:val="none" w:sz="0" w:space="0" w:color="auto"/>
        <w:bottom w:val="none" w:sz="0" w:space="0" w:color="auto"/>
        <w:right w:val="none" w:sz="0" w:space="0" w:color="auto"/>
      </w:divBdr>
    </w:div>
    <w:div w:id="920412906">
      <w:bodyDiv w:val="1"/>
      <w:marLeft w:val="0"/>
      <w:marRight w:val="0"/>
      <w:marTop w:val="0"/>
      <w:marBottom w:val="0"/>
      <w:divBdr>
        <w:top w:val="none" w:sz="0" w:space="0" w:color="auto"/>
        <w:left w:val="none" w:sz="0" w:space="0" w:color="auto"/>
        <w:bottom w:val="none" w:sz="0" w:space="0" w:color="auto"/>
        <w:right w:val="none" w:sz="0" w:space="0" w:color="auto"/>
      </w:divBdr>
    </w:div>
    <w:div w:id="1902010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chart" Target="charts/chart4.xml"/><Relationship Id="rId39" Type="http://schemas.openxmlformats.org/officeDocument/2006/relationships/chart" Target="charts/chart12.xml"/><Relationship Id="rId21" Type="http://schemas.openxmlformats.org/officeDocument/2006/relationships/diagramData" Target="diagrams/data3.xml"/><Relationship Id="rId34" Type="http://schemas.openxmlformats.org/officeDocument/2006/relationships/chart" Target="charts/chart7.xml"/><Relationship Id="rId42" Type="http://schemas.openxmlformats.org/officeDocument/2006/relationships/chart" Target="charts/chart15.xml"/><Relationship Id="rId47" Type="http://schemas.openxmlformats.org/officeDocument/2006/relationships/chart" Target="charts/chart20.xml"/><Relationship Id="rId50" Type="http://schemas.openxmlformats.org/officeDocument/2006/relationships/chart" Target="charts/chart23.xm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chart" Target="charts/chart19.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chart" Target="charts/chart14.xm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openxmlformats.org/officeDocument/2006/relationships/chart" Target="charts/chart10.xml"/><Relationship Id="rId40" Type="http://schemas.openxmlformats.org/officeDocument/2006/relationships/chart" Target="charts/chart13.xml"/><Relationship Id="rId45" Type="http://schemas.openxmlformats.org/officeDocument/2006/relationships/chart" Target="charts/chart18.xm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chart" Target="charts/chart9.xml"/><Relationship Id="rId49" Type="http://schemas.openxmlformats.org/officeDocument/2006/relationships/chart" Target="charts/chart22.xml"/><Relationship Id="rId57" Type="http://schemas.openxmlformats.org/officeDocument/2006/relationships/header" Target="header3.xml"/><Relationship Id="rId10" Type="http://schemas.openxmlformats.org/officeDocument/2006/relationships/chart" Target="charts/chart3.xml"/><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chart" Target="charts/chart17.xml"/><Relationship Id="rId52" Type="http://schemas.openxmlformats.org/officeDocument/2006/relationships/chart" Target="charts/chart25.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chart" Target="charts/chart5.xml"/><Relationship Id="rId30" Type="http://schemas.openxmlformats.org/officeDocument/2006/relationships/diagramQuickStyle" Target="diagrams/quickStyle4.xml"/><Relationship Id="rId35" Type="http://schemas.openxmlformats.org/officeDocument/2006/relationships/chart" Target="charts/chart8.xml"/><Relationship Id="rId43" Type="http://schemas.openxmlformats.org/officeDocument/2006/relationships/chart" Target="charts/chart16.xml"/><Relationship Id="rId48" Type="http://schemas.openxmlformats.org/officeDocument/2006/relationships/chart" Target="charts/chart21.xml"/><Relationship Id="rId56" Type="http://schemas.openxmlformats.org/officeDocument/2006/relationships/footer" Target="footer2.xml"/><Relationship Id="rId8" Type="http://schemas.openxmlformats.org/officeDocument/2006/relationships/chart" Target="charts/chart1.xml"/><Relationship Id="rId51" Type="http://schemas.openxmlformats.org/officeDocument/2006/relationships/chart" Target="charts/chart24.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C:/Users/kartik/Desktop/ioc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C:/Users/kartik/Desktop/ioc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20.xml"/><Relationship Id="rId1" Type="http://schemas.microsoft.com/office/2011/relationships/chartStyle" Target="style20.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21.xml"/><Relationship Id="rId1" Type="http://schemas.microsoft.com/office/2011/relationships/chartStyle" Target="style21.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22.xml"/><Relationship Id="rId1" Type="http://schemas.microsoft.com/office/2011/relationships/chartStyle" Target="style22.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3.xml"/><Relationship Id="rId1" Type="http://schemas.microsoft.com/office/2011/relationships/chartStyle" Target="style23.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tx>
            <c:strRef>
              <c:f>Sheet1!$B$1</c:f>
              <c:strCache>
                <c:ptCount val="1"/>
                <c:pt idx="0">
                  <c:v>Importers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D08-4BA7-A7F7-F7C379FD5CF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D08-4BA7-A7F7-F7C379FD5CF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D08-4BA7-A7F7-F7C379FD5CF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D08-4BA7-A7F7-F7C379FD5CF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D08-4BA7-A7F7-F7C379FD5CF7}"/>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4D08-4BA7-A7F7-F7C379FD5CF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US</c:v>
                </c:pt>
                <c:pt idx="1">
                  <c:v>India</c:v>
                </c:pt>
                <c:pt idx="2">
                  <c:v>Japan</c:v>
                </c:pt>
                <c:pt idx="3">
                  <c:v>South Korea</c:v>
                </c:pt>
                <c:pt idx="4">
                  <c:v>China</c:v>
                </c:pt>
                <c:pt idx="5">
                  <c:v>Others</c:v>
                </c:pt>
              </c:strCache>
            </c:strRef>
          </c:cat>
          <c:val>
            <c:numRef>
              <c:f>Sheet1!$B$2:$B$7</c:f>
              <c:numCache>
                <c:formatCode>0%</c:formatCode>
                <c:ptCount val="6"/>
                <c:pt idx="0">
                  <c:v>0.14000000000000001</c:v>
                </c:pt>
                <c:pt idx="1">
                  <c:v>0.1</c:v>
                </c:pt>
                <c:pt idx="2">
                  <c:v>7.0000000000000007E-2</c:v>
                </c:pt>
                <c:pt idx="3">
                  <c:v>7.0000000000000007E-2</c:v>
                </c:pt>
                <c:pt idx="4">
                  <c:v>0.2</c:v>
                </c:pt>
                <c:pt idx="5">
                  <c:v>0.42</c:v>
                </c:pt>
              </c:numCache>
            </c:numRef>
          </c:val>
          <c:extLst>
            <c:ext xmlns:c16="http://schemas.microsoft.com/office/drawing/2014/chart" uri="{C3380CC4-5D6E-409C-BE32-E72D297353CC}">
              <c16:uniqueId val="{0000000C-4D08-4BA7-A7F7-F7C379FD5CF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t>Financial Snapshot </a:t>
            </a:r>
          </a:p>
        </c:rich>
      </c:tx>
      <c:overlay val="0"/>
      <c:spPr>
        <a:noFill/>
        <a:ln>
          <a:noFill/>
        </a:ln>
        <a:effectLst/>
      </c:spPr>
      <c:txPr>
        <a:bodyPr rot="0" spcFirstLastPara="1" vertOverflow="ellipsis" vert="horz" wrap="square" anchor="ctr" anchorCtr="1"/>
        <a:lstStyle/>
        <a:p>
          <a:pPr algn="ctr" rtl="0">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5497109782098353"/>
          <c:y val="5.5262031067868783E-2"/>
          <c:w val="0.81814718174890899"/>
          <c:h val="0.77213764064990364"/>
        </c:manualLayout>
      </c:layout>
      <c:barChart>
        <c:barDir val="col"/>
        <c:grouping val="clustered"/>
        <c:varyColors val="0"/>
        <c:ser>
          <c:idx val="0"/>
          <c:order val="0"/>
          <c:tx>
            <c:strRef>
              <c:f>Sheet1!$B$1</c:f>
              <c:strCache>
                <c:ptCount val="1"/>
                <c:pt idx="0">
                  <c:v>Revenue</c:v>
                </c:pt>
              </c:strCache>
            </c:strRef>
          </c:tx>
          <c:spPr>
            <a:solidFill>
              <a:schemeClr val="accent1"/>
            </a:solidFill>
            <a:ln>
              <a:noFill/>
            </a:ln>
            <a:effectLst/>
          </c:spPr>
          <c:invertIfNegative val="0"/>
          <c:dLbls>
            <c:dLbl>
              <c:idx val="1"/>
              <c:layout>
                <c:manualLayout>
                  <c:x val="0"/>
                  <c:y val="0.1052470565362336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4C-45E2-9B64-0E0DE698750B}"/>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Sheet1!$B$2:$B$4</c:f>
              <c:numCache>
                <c:formatCode>General</c:formatCode>
                <c:ptCount val="3"/>
                <c:pt idx="0">
                  <c:v>63766.43</c:v>
                </c:pt>
                <c:pt idx="1">
                  <c:v>85561.8</c:v>
                </c:pt>
                <c:pt idx="2">
                  <c:v>98712.9</c:v>
                </c:pt>
              </c:numCache>
            </c:numRef>
          </c:val>
          <c:extLst>
            <c:ext xmlns:c16="http://schemas.microsoft.com/office/drawing/2014/chart" uri="{C3380CC4-5D6E-409C-BE32-E72D297353CC}">
              <c16:uniqueId val="{00000000-33B0-410A-A681-0CC73AC86658}"/>
            </c:ext>
          </c:extLst>
        </c:ser>
        <c:ser>
          <c:idx val="1"/>
          <c:order val="1"/>
          <c:tx>
            <c:strRef>
              <c:f>Sheet1!$C$1</c:f>
              <c:strCache>
                <c:ptCount val="1"/>
                <c:pt idx="0">
                  <c:v>PAT</c:v>
                </c:pt>
              </c:strCache>
            </c:strRef>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1-33B0-410A-A681-0CC73AC86658}"/>
                </c:ext>
              </c:extLst>
            </c:dLbl>
            <c:dLbl>
              <c:idx val="1"/>
              <c:layout>
                <c:manualLayout>
                  <c:x val="-0.17706576728499152"/>
                  <c:y val="1.7450183036330984E-2"/>
                </c:manualLayout>
              </c:layout>
              <c:tx>
                <c:rich>
                  <a:bodyPr/>
                  <a:lstStyle/>
                  <a:p>
                    <a:r>
                      <a:rPr lang="en-US"/>
                      <a:t>37%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33B0-410A-A681-0CC73AC86658}"/>
                </c:ext>
              </c:extLst>
            </c:dLbl>
            <c:dLbl>
              <c:idx val="2"/>
              <c:layout>
                <c:manualLayout>
                  <c:x val="-0.16863406408094445"/>
                  <c:y val="1.483716673573688E-2"/>
                </c:manualLayout>
              </c:layout>
              <c:tx>
                <c:rich>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r>
                      <a:rPr lang="en-US" sz="1000"/>
                      <a:t>35.3%</a:t>
                    </a:r>
                  </a:p>
                </c:rich>
              </c:tx>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33B0-410A-A681-0CC73AC86658}"/>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2016-17</c:v>
                </c:pt>
                <c:pt idx="1">
                  <c:v>2017-18</c:v>
                </c:pt>
                <c:pt idx="2">
                  <c:v>2018-19</c:v>
                </c:pt>
              </c:strCache>
            </c:strRef>
          </c:cat>
          <c:val>
            <c:numRef>
              <c:f>Sheet1!$C$2:$C$4</c:f>
              <c:numCache>
                <c:formatCode>General</c:formatCode>
                <c:ptCount val="3"/>
                <c:pt idx="0">
                  <c:v>1121.04</c:v>
                </c:pt>
                <c:pt idx="1">
                  <c:v>5320</c:v>
                </c:pt>
                <c:pt idx="2">
                  <c:v>3442</c:v>
                </c:pt>
              </c:numCache>
            </c:numRef>
          </c:val>
          <c:extLst>
            <c:ext xmlns:c16="http://schemas.microsoft.com/office/drawing/2014/chart" uri="{C3380CC4-5D6E-409C-BE32-E72D297353CC}">
              <c16:uniqueId val="{00000004-33B0-410A-A681-0CC73AC86658}"/>
            </c:ext>
          </c:extLst>
        </c:ser>
        <c:dLbls>
          <c:dLblPos val="inEnd"/>
          <c:showLegendKey val="0"/>
          <c:showVal val="1"/>
          <c:showCatName val="0"/>
          <c:showSerName val="0"/>
          <c:showPercent val="0"/>
          <c:showBubbleSize val="0"/>
        </c:dLbls>
        <c:gapWidth val="219"/>
        <c:overlap val="-27"/>
        <c:axId val="279596592"/>
        <c:axId val="255828968"/>
      </c:barChart>
      <c:lineChart>
        <c:grouping val="standard"/>
        <c:varyColors val="0"/>
        <c:ser>
          <c:idx val="2"/>
          <c:order val="2"/>
          <c:tx>
            <c:strRef>
              <c:f>Sheet1!$D$1</c:f>
              <c:strCache>
                <c:ptCount val="1"/>
                <c:pt idx="0">
                  <c:v>Growth(Revenue)</c:v>
                </c:pt>
              </c:strCache>
            </c:strRef>
          </c:tx>
          <c:spPr>
            <a:ln w="28575" cap="rnd">
              <a:solidFill>
                <a:schemeClr val="accent3"/>
              </a:solidFill>
              <a:round/>
            </a:ln>
            <a:effectLst/>
          </c:spPr>
          <c:marker>
            <c:symbol val="none"/>
          </c:marker>
          <c:dLbls>
            <c:dLbl>
              <c:idx val="0"/>
              <c:layout>
                <c:manualLayout>
                  <c:x val="1.6863406408094434E-2"/>
                  <c:y val="-7.1271929824561459E-2"/>
                </c:manualLayout>
              </c:layout>
              <c:tx>
                <c:rich>
                  <a:bodyPr/>
                  <a:lstStyle/>
                  <a:p>
                    <a:r>
                      <a:rPr lang="en-US"/>
                      <a:t>34.18%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33B0-410A-A681-0CC73AC86658}"/>
                </c:ext>
              </c:extLst>
            </c:dLbl>
            <c:dLbl>
              <c:idx val="1"/>
              <c:layout>
                <c:manualLayout>
                  <c:x val="5.3400786958965711E-2"/>
                  <c:y val="-6.0307017543859649E-2"/>
                </c:manualLayout>
              </c:layout>
              <c:tx>
                <c:rich>
                  <a:bodyPr/>
                  <a:lstStyle/>
                  <a:p>
                    <a:r>
                      <a:rPr lang="en-US"/>
                      <a:t>15.37%</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33B0-410A-A681-0CC73AC86658}"/>
                </c:ext>
              </c:extLst>
            </c:dLbl>
            <c:dLbl>
              <c:idx val="2"/>
              <c:delete val="1"/>
              <c:extLst>
                <c:ext xmlns:c15="http://schemas.microsoft.com/office/drawing/2012/chart" uri="{CE6537A1-D6FC-4f65-9D91-7224C49458BB}"/>
                <c:ext xmlns:c16="http://schemas.microsoft.com/office/drawing/2014/chart" uri="{C3380CC4-5D6E-409C-BE32-E72D297353CC}">
                  <c16:uniqueId val="{00000007-33B0-410A-A681-0CC73AC86658}"/>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2016-17</c:v>
                </c:pt>
                <c:pt idx="1">
                  <c:v>2017-18</c:v>
                </c:pt>
                <c:pt idx="2">
                  <c:v>2018-19</c:v>
                </c:pt>
              </c:strCache>
            </c:strRef>
          </c:cat>
          <c:val>
            <c:numRef>
              <c:f>Sheet1!$D$2:$D$4</c:f>
              <c:numCache>
                <c:formatCode>General</c:formatCode>
                <c:ptCount val="3"/>
                <c:pt idx="0">
                  <c:v>63766.43</c:v>
                </c:pt>
                <c:pt idx="1">
                  <c:v>85561.8</c:v>
                </c:pt>
                <c:pt idx="2">
                  <c:v>98712.9</c:v>
                </c:pt>
              </c:numCache>
            </c:numRef>
          </c:val>
          <c:smooth val="0"/>
          <c:extLst>
            <c:ext xmlns:c16="http://schemas.microsoft.com/office/drawing/2014/chart" uri="{C3380CC4-5D6E-409C-BE32-E72D297353CC}">
              <c16:uniqueId val="{00000008-33B0-410A-A681-0CC73AC86658}"/>
            </c:ext>
          </c:extLst>
        </c:ser>
        <c:ser>
          <c:idx val="3"/>
          <c:order val="3"/>
          <c:tx>
            <c:strRef>
              <c:f>Sheet1!$E$1</c:f>
              <c:strCache>
                <c:ptCount val="1"/>
                <c:pt idx="0">
                  <c:v>Growth(PAT)</c:v>
                </c:pt>
              </c:strCache>
            </c:strRef>
          </c:tx>
          <c:spPr>
            <a:ln w="28575" cap="rnd">
              <a:solidFill>
                <a:schemeClr val="accent4"/>
              </a:solidFill>
              <a:round/>
            </a:ln>
            <a:effectLst/>
          </c:spPr>
          <c:marker>
            <c:symbol val="none"/>
          </c:marker>
          <c:dLbls>
            <c:dLbl>
              <c:idx val="0"/>
              <c:layout>
                <c:manualLayout>
                  <c:x val="-9.7751710654936461E-3"/>
                  <c:y val="-4.3572984749455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4C-45E2-9B64-0E0DE698750B}"/>
                </c:ext>
              </c:extLst>
            </c:dLbl>
            <c:dLbl>
              <c:idx val="1"/>
              <c:layout>
                <c:manualLayout>
                  <c:x val="0"/>
                  <c:y val="-7.262164124909356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4C-45E2-9B64-0E0DE698750B}"/>
                </c:ext>
              </c:extLst>
            </c:dLbl>
            <c:dLbl>
              <c:idx val="2"/>
              <c:layout>
                <c:manualLayout>
                  <c:x val="2.4437927663734115E-3"/>
                  <c:y val="1.08932461873637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4C-45E2-9B64-0E0DE698750B}"/>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Sheet1!$E$2:$E$4</c:f>
              <c:numCache>
                <c:formatCode>General</c:formatCode>
                <c:ptCount val="3"/>
                <c:pt idx="0">
                  <c:v>1121.04</c:v>
                </c:pt>
                <c:pt idx="1">
                  <c:v>5320</c:v>
                </c:pt>
                <c:pt idx="2">
                  <c:v>3442</c:v>
                </c:pt>
              </c:numCache>
            </c:numRef>
          </c:val>
          <c:smooth val="0"/>
          <c:extLst>
            <c:ext xmlns:c16="http://schemas.microsoft.com/office/drawing/2014/chart" uri="{C3380CC4-5D6E-409C-BE32-E72D297353CC}">
              <c16:uniqueId val="{00000009-33B0-410A-A681-0CC73AC86658}"/>
            </c:ext>
          </c:extLst>
        </c:ser>
        <c:dLbls>
          <c:showLegendKey val="0"/>
          <c:showVal val="1"/>
          <c:showCatName val="0"/>
          <c:showSerName val="0"/>
          <c:showPercent val="0"/>
          <c:showBubbleSize val="0"/>
        </c:dLbls>
        <c:marker val="1"/>
        <c:smooth val="0"/>
        <c:axId val="279596592"/>
        <c:axId val="255828968"/>
      </c:lineChart>
      <c:catAx>
        <c:axId val="27959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Years</a:t>
                </a:r>
              </a:p>
            </c:rich>
          </c:tx>
          <c:layout>
            <c:manualLayout>
              <c:xMode val="edge"/>
              <c:yMode val="edge"/>
              <c:x val="0.4735814456477398"/>
              <c:y val="0.890998061516820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5828968"/>
        <c:crosses val="autoZero"/>
        <c:auto val="1"/>
        <c:lblAlgn val="ctr"/>
        <c:lblOffset val="100"/>
        <c:noMultiLvlLbl val="0"/>
      </c:catAx>
      <c:valAx>
        <c:axId val="255828968"/>
        <c:scaling>
          <c:orientation val="minMax"/>
          <c:max val="10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income(in Rs Crores)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79596592"/>
        <c:crosses val="autoZero"/>
        <c:crossBetween val="between"/>
        <c:majorUnit val="5000"/>
      </c:valAx>
      <c:spPr>
        <a:noFill/>
        <a:ln>
          <a:noFill/>
        </a:ln>
        <a:effectLst/>
      </c:spPr>
    </c:plotArea>
    <c:legend>
      <c:legendPos val="b"/>
      <c:layout>
        <c:manualLayout>
          <c:xMode val="edge"/>
          <c:yMode val="edge"/>
          <c:x val="2.8572748054587007E-2"/>
          <c:y val="0.95292602313599672"/>
          <c:w val="0.9452981042325721"/>
          <c:h val="4.3442894801548497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IN" sz="1400"/>
              <a:t>Shareholding of 2018-19 </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tx>
            <c:strRef>
              <c:f>Sheet1!$B$1</c:f>
              <c:strCache>
                <c:ptCount val="1"/>
                <c:pt idx="0">
                  <c:v>Shareholding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1A7-49E8-A4DD-1C7BC75106E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1A7-49E8-A4DD-1C7BC75106E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1A7-49E8-A4DD-1C7BC75106E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1A7-49E8-A4DD-1C7BC75106E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1A7-49E8-A4DD-1C7BC75106E2}"/>
              </c:ext>
            </c:extLst>
          </c:dPt>
          <c:dLbls>
            <c:dLbl>
              <c:idx val="0"/>
              <c:tx>
                <c:rich>
                  <a:bodyPr/>
                  <a:lstStyle/>
                  <a:p>
                    <a:r>
                      <a:rPr lang="en-US"/>
                      <a:t>62.79%</a:t>
                    </a:r>
                  </a:p>
                </c:rich>
              </c:tx>
              <c:dLblPos val="ctr"/>
              <c:showLegendKey val="0"/>
              <c:showVal val="1"/>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41A7-49E8-A4DD-1C7BC75106E2}"/>
                </c:ext>
              </c:extLst>
            </c:dLbl>
            <c:dLbl>
              <c:idx val="1"/>
              <c:tx>
                <c:rich>
                  <a:bodyPr/>
                  <a:lstStyle/>
                  <a:p>
                    <a:fld id="{A68EC465-A3C9-412B-AE35-726FBFC59996}" type="VALUE">
                      <a:rPr lang="en-US"/>
                      <a:pPr/>
                      <a:t>[VALUE]</a:t>
                    </a:fld>
                    <a:endParaRPr lang="en-IN"/>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1A7-49E8-A4DD-1C7BC75106E2}"/>
                </c:ext>
              </c:extLst>
            </c:dLbl>
            <c:dLbl>
              <c:idx val="2"/>
              <c:tx>
                <c:rich>
                  <a:bodyPr/>
                  <a:lstStyle/>
                  <a:p>
                    <a:fld id="{9226CDD5-47E3-44F9-BFFE-2607B5B0A00B}" type="VALUE">
                      <a:rPr lang="en-US"/>
                      <a:pPr/>
                      <a:t>[VALUE]</a:t>
                    </a:fld>
                    <a:endParaRPr lang="en-IN"/>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1A7-49E8-A4DD-1C7BC75106E2}"/>
                </c:ext>
              </c:extLst>
            </c:dLbl>
            <c:dLbl>
              <c:idx val="3"/>
              <c:layout>
                <c:manualLayout>
                  <c:x val="8.4865754485607306E-2"/>
                  <c:y val="0.19878044905403769"/>
                </c:manualLayout>
              </c:layout>
              <c:tx>
                <c:rich>
                  <a:bodyPr/>
                  <a:lstStyle/>
                  <a:p>
                    <a:fld id="{D56DFBA4-CB9A-4FBB-93C3-6F790E41A7E4}" type="VALUE">
                      <a:rPr lang="en-US"/>
                      <a:pPr/>
                      <a:t>[VALUE]</a:t>
                    </a:fld>
                    <a:endParaRPr lang="en-IN"/>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41A7-49E8-A4DD-1C7BC75106E2}"/>
                </c:ext>
              </c:extLst>
            </c:dLbl>
            <c:dLbl>
              <c:idx val="4"/>
              <c:layout>
                <c:manualLayout>
                  <c:x val="-6.7135665418871825E-3"/>
                  <c:y val="0.12152358073884828"/>
                </c:manualLayout>
              </c:layout>
              <c:tx>
                <c:rich>
                  <a:bodyPr/>
                  <a:lstStyle/>
                  <a:p>
                    <a:fld id="{889322D2-3A4A-4C7D-BA17-B5714216D0D9}" type="VALUE">
                      <a:rPr lang="en-US"/>
                      <a:pPr/>
                      <a:t>[VALUE]</a:t>
                    </a:fld>
                    <a:endParaRPr lang="en-IN"/>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1A7-49E8-A4DD-1C7BC75106E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Promoters</c:v>
                </c:pt>
                <c:pt idx="1">
                  <c:v>Financial Institution</c:v>
                </c:pt>
                <c:pt idx="2">
                  <c:v>Others</c:v>
                </c:pt>
                <c:pt idx="3">
                  <c:v>Foreign Institution</c:v>
                </c:pt>
                <c:pt idx="4">
                  <c:v>General Public</c:v>
                </c:pt>
              </c:strCache>
            </c:strRef>
          </c:cat>
          <c:val>
            <c:numRef>
              <c:f>Sheet1!$B$2:$B$6</c:f>
              <c:numCache>
                <c:formatCode>0.00%</c:formatCode>
                <c:ptCount val="5"/>
                <c:pt idx="0">
                  <c:v>0.62780000000000002</c:v>
                </c:pt>
                <c:pt idx="1">
                  <c:v>0.11020000000000001</c:v>
                </c:pt>
                <c:pt idx="2">
                  <c:v>0.15670000000000001</c:v>
                </c:pt>
                <c:pt idx="3">
                  <c:v>8.6499999999999994E-2</c:v>
                </c:pt>
                <c:pt idx="4">
                  <c:v>1.8800000000000001E-2</c:v>
                </c:pt>
              </c:numCache>
            </c:numRef>
          </c:val>
          <c:extLst>
            <c:ext xmlns:c16="http://schemas.microsoft.com/office/drawing/2014/chart" uri="{C3380CC4-5D6E-409C-BE32-E72D297353CC}">
              <c16:uniqueId val="{0000000A-41A7-49E8-A4DD-1C7BC75106E2}"/>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Natural Gas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Sheet1!$B$2:$B$4</c:f>
              <c:numCache>
                <c:formatCode>General</c:formatCode>
                <c:ptCount val="3"/>
                <c:pt idx="0">
                  <c:v>142440.4</c:v>
                </c:pt>
                <c:pt idx="1">
                  <c:v>139565.82</c:v>
                </c:pt>
                <c:pt idx="2">
                  <c:v>190131.38</c:v>
                </c:pt>
              </c:numCache>
            </c:numRef>
          </c:val>
          <c:extLst>
            <c:ext xmlns:c16="http://schemas.microsoft.com/office/drawing/2014/chart" uri="{C3380CC4-5D6E-409C-BE32-E72D297353CC}">
              <c16:uniqueId val="{00000000-DB6D-4DCA-B983-15B6FA59F2FC}"/>
            </c:ext>
          </c:extLst>
        </c:ser>
        <c:ser>
          <c:idx val="1"/>
          <c:order val="1"/>
          <c:tx>
            <c:strRef>
              <c:f>Sheet1!$C$1</c:f>
              <c:strCache>
                <c:ptCount val="1"/>
                <c:pt idx="0">
                  <c:v>Crude Oil</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Sheet1!$C$2:$C$4</c:f>
              <c:numCache>
                <c:formatCode>General</c:formatCode>
                <c:ptCount val="3"/>
                <c:pt idx="0">
                  <c:v>565745.17000000004</c:v>
                </c:pt>
                <c:pt idx="1">
                  <c:v>622959.72</c:v>
                </c:pt>
                <c:pt idx="2">
                  <c:v>800033.5</c:v>
                </c:pt>
              </c:numCache>
            </c:numRef>
          </c:val>
          <c:extLst>
            <c:ext xmlns:c16="http://schemas.microsoft.com/office/drawing/2014/chart" uri="{C3380CC4-5D6E-409C-BE32-E72D297353CC}">
              <c16:uniqueId val="{00000001-DB6D-4DCA-B983-15B6FA59F2FC}"/>
            </c:ext>
          </c:extLst>
        </c:ser>
        <c:ser>
          <c:idx val="2"/>
          <c:order val="2"/>
          <c:tx>
            <c:strRef>
              <c:f>Sheet1!$D$1</c:f>
              <c:strCache>
                <c:ptCount val="1"/>
                <c:pt idx="0">
                  <c:v>L.P.G.</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Sheet1!$D$2:$D$4</c:f>
              <c:numCache>
                <c:formatCode>General</c:formatCode>
                <c:ptCount val="3"/>
                <c:pt idx="0">
                  <c:v>37275.69</c:v>
                </c:pt>
                <c:pt idx="1">
                  <c:v>40352.370000000003</c:v>
                </c:pt>
                <c:pt idx="2">
                  <c:v>434900</c:v>
                </c:pt>
              </c:numCache>
            </c:numRef>
          </c:val>
          <c:extLst>
            <c:ext xmlns:c16="http://schemas.microsoft.com/office/drawing/2014/chart" uri="{C3380CC4-5D6E-409C-BE32-E72D297353CC}">
              <c16:uniqueId val="{00000002-DB6D-4DCA-B983-15B6FA59F2FC}"/>
            </c:ext>
          </c:extLst>
        </c:ser>
        <c:dLbls>
          <c:dLblPos val="ctr"/>
          <c:showLegendKey val="0"/>
          <c:showVal val="1"/>
          <c:showCatName val="0"/>
          <c:showSerName val="0"/>
          <c:showPercent val="0"/>
          <c:showBubbleSize val="0"/>
        </c:dLbls>
        <c:gapWidth val="219"/>
        <c:overlap val="100"/>
        <c:axId val="596123832"/>
        <c:axId val="596121912"/>
        <c:extLst>
          <c:ext xmlns:c15="http://schemas.microsoft.com/office/drawing/2012/chart" uri="{02D57815-91ED-43cb-92C2-25804820EDAC}">
            <c15:filteredBarSeries>
              <c15:ser>
                <c:idx val="3"/>
                <c:order val="3"/>
                <c:tx>
                  <c:strRef>
                    <c:extLst>
                      <c:ext uri="{02D57815-91ED-43cb-92C2-25804820EDAC}">
                        <c15:formulaRef>
                          <c15:sqref>Sheet1!$E$1</c15:sqref>
                        </c15:formulaRef>
                      </c:ext>
                    </c:extLst>
                    <c:strCache>
                      <c:ptCount val="1"/>
                      <c:pt idx="0">
                        <c:v>Others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round/>
                          </a:ln>
                          <a:effectLst/>
                        </c:spPr>
                      </c15:leaderLines>
                    </c:ext>
                  </c:extLst>
                </c:dLbls>
                <c:cat>
                  <c:strRef>
                    <c:extLst>
                      <c:ext uri="{02D57815-91ED-43cb-92C2-25804820EDAC}">
                        <c15:formulaRef>
                          <c15:sqref>Sheet1!$A$2:$A$4</c15:sqref>
                        </c15:formulaRef>
                      </c:ext>
                    </c:extLst>
                    <c:strCache>
                      <c:ptCount val="3"/>
                      <c:pt idx="0">
                        <c:v>2016-17</c:v>
                      </c:pt>
                      <c:pt idx="1">
                        <c:v>2017-18</c:v>
                      </c:pt>
                      <c:pt idx="2">
                        <c:v>2018-19</c:v>
                      </c:pt>
                    </c:strCache>
                  </c:strRef>
                </c:cat>
                <c:val>
                  <c:numRef>
                    <c:extLst>
                      <c:ext uri="{02D57815-91ED-43cb-92C2-25804820EDAC}">
                        <c15:formulaRef>
                          <c15:sqref>Sheet1!$E$2:$E$4</c15:sqref>
                        </c15:formulaRef>
                      </c:ext>
                    </c:extLst>
                    <c:numCache>
                      <c:formatCode>General</c:formatCode>
                      <c:ptCount val="3"/>
                      <c:pt idx="0">
                        <c:v>53870.38</c:v>
                      </c:pt>
                      <c:pt idx="1">
                        <c:v>88490.31</c:v>
                      </c:pt>
                      <c:pt idx="2">
                        <c:v>67930.490000000005</c:v>
                      </c:pt>
                    </c:numCache>
                  </c:numRef>
                </c:val>
                <c:extLst>
                  <c:ext xmlns:c16="http://schemas.microsoft.com/office/drawing/2014/chart" uri="{C3380CC4-5D6E-409C-BE32-E72D297353CC}">
                    <c16:uniqueId val="{00000003-DB6D-4DCA-B983-15B6FA59F2F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Pipeline transportation</c:v>
                      </c:pt>
                    </c:strCache>
                  </c:strRef>
                </c:tx>
                <c:spPr>
                  <a:solidFill>
                    <a:schemeClr val="accent5"/>
                  </a:solidFill>
                  <a:ln>
                    <a:noFill/>
                  </a:ln>
                  <a:effectLst/>
                </c:spPr>
                <c:invertIfNegative val="0"/>
                <c:dLbls>
                  <c:dLbl>
                    <c:idx val="0"/>
                    <c:layout>
                      <c:manualLayout>
                        <c:x val="0"/>
                        <c:y val="-3.5714285714285789E-2"/>
                      </c:manualLayout>
                    </c:layout>
                    <c:dLblPos val="ct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0-F74E-4E13-8888-6CA8430A7C3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Sheet1!$A$2:$A$4</c15:sqref>
                        </c15:formulaRef>
                      </c:ext>
                    </c:extLst>
                    <c:strCache>
                      <c:ptCount val="3"/>
                      <c:pt idx="0">
                        <c:v>2016-17</c:v>
                      </c:pt>
                      <c:pt idx="1">
                        <c:v>2017-18</c:v>
                      </c:pt>
                      <c:pt idx="2">
                        <c:v>2018-19</c:v>
                      </c:pt>
                    </c:strCache>
                  </c:strRef>
                </c:cat>
                <c:val>
                  <c:numRef>
                    <c:extLst xmlns:c15="http://schemas.microsoft.com/office/drawing/2012/chart">
                      <c:ext xmlns:c15="http://schemas.microsoft.com/office/drawing/2012/chart" uri="{02D57815-91ED-43cb-92C2-25804820EDAC}">
                        <c15:formulaRef>
                          <c15:sqref>Sheet1!$F$2:$F$4</c15:sqref>
                        </c15:formulaRef>
                      </c:ext>
                    </c:extLst>
                    <c:numCache>
                      <c:formatCode>General</c:formatCode>
                      <c:ptCount val="3"/>
                      <c:pt idx="0">
                        <c:v>590.07000000000005</c:v>
                      </c:pt>
                      <c:pt idx="1">
                        <c:v>487.13</c:v>
                      </c:pt>
                      <c:pt idx="2">
                        <c:v>447.6</c:v>
                      </c:pt>
                    </c:numCache>
                  </c:numRef>
                </c:val>
                <c:extLst xmlns:c15="http://schemas.microsoft.com/office/drawing/2012/chart">
                  <c:ext xmlns:c16="http://schemas.microsoft.com/office/drawing/2014/chart" uri="{C3380CC4-5D6E-409C-BE32-E72D297353CC}">
                    <c16:uniqueId val="{00000004-DB6D-4DCA-B983-15B6FA59F2FC}"/>
                  </c:ext>
                </c:extLst>
              </c15:ser>
            </c15:filteredBarSeries>
          </c:ext>
        </c:extLst>
      </c:barChart>
      <c:lineChart>
        <c:grouping val="standard"/>
        <c:varyColors val="0"/>
        <c:ser>
          <c:idx val="5"/>
          <c:order val="5"/>
          <c:tx>
            <c:strRef>
              <c:f>Sheet1!$G$1</c:f>
              <c:strCache>
                <c:ptCount val="1"/>
                <c:pt idx="0">
                  <c:v>Growth(Crude)</c:v>
                </c:pt>
              </c:strCache>
            </c:strRef>
          </c:tx>
          <c:spPr>
            <a:ln w="28575" cap="rnd">
              <a:solidFill>
                <a:schemeClr val="accent6"/>
              </a:solidFill>
              <a:round/>
            </a:ln>
            <a:effectLst/>
          </c:spPr>
          <c:marker>
            <c:symbol val="none"/>
          </c:marker>
          <c:dLbls>
            <c:dLbl>
              <c:idx val="0"/>
              <c:layout>
                <c:manualLayout>
                  <c:x val="8.1307779235928843E-2"/>
                  <c:y val="-2.3809523809523881E-2"/>
                </c:manualLayout>
              </c:layout>
              <c:tx>
                <c:rich>
                  <a:bodyPr/>
                  <a:lstStyle/>
                  <a:p>
                    <a:r>
                      <a:rPr lang="en-US"/>
                      <a:t>10.11%</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B6D-4DCA-B983-15B6FA59F2FC}"/>
                </c:ext>
              </c:extLst>
            </c:dLbl>
            <c:dLbl>
              <c:idx val="1"/>
              <c:layout>
                <c:manualLayout>
                  <c:x val="7.2048519976669417E-2"/>
                  <c:y val="-4.7619047619047616E-2"/>
                </c:manualLayout>
              </c:layout>
              <c:tx>
                <c:rich>
                  <a:bodyPr/>
                  <a:lstStyle/>
                  <a:p>
                    <a:r>
                      <a:rPr lang="en-US"/>
                      <a:t>28.42%</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DB6D-4DCA-B983-15B6FA59F2FC}"/>
                </c:ext>
              </c:extLst>
            </c:dLbl>
            <c:dLbl>
              <c:idx val="2"/>
              <c:delete val="1"/>
              <c:extLst>
                <c:ext xmlns:c15="http://schemas.microsoft.com/office/drawing/2012/chart" uri="{CE6537A1-D6FC-4f65-9D91-7224C49458BB}"/>
                <c:ext xmlns:c16="http://schemas.microsoft.com/office/drawing/2014/chart" uri="{C3380CC4-5D6E-409C-BE32-E72D297353CC}">
                  <c16:uniqueId val="{00000007-DB6D-4DCA-B983-15B6FA59F2FC}"/>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2016-17</c:v>
                </c:pt>
                <c:pt idx="1">
                  <c:v>2017-18</c:v>
                </c:pt>
                <c:pt idx="2">
                  <c:v>2018-19</c:v>
                </c:pt>
              </c:strCache>
            </c:strRef>
          </c:cat>
          <c:val>
            <c:numRef>
              <c:f>Sheet1!$G$2:$G$4</c:f>
              <c:numCache>
                <c:formatCode>General</c:formatCode>
                <c:ptCount val="3"/>
                <c:pt idx="0">
                  <c:v>565745.17000000004</c:v>
                </c:pt>
                <c:pt idx="1">
                  <c:v>622959.72</c:v>
                </c:pt>
                <c:pt idx="2">
                  <c:v>800033.5</c:v>
                </c:pt>
              </c:numCache>
            </c:numRef>
          </c:val>
          <c:smooth val="0"/>
          <c:extLst>
            <c:ext xmlns:c16="http://schemas.microsoft.com/office/drawing/2014/chart" uri="{C3380CC4-5D6E-409C-BE32-E72D297353CC}">
              <c16:uniqueId val="{00000008-DB6D-4DCA-B983-15B6FA59F2FC}"/>
            </c:ext>
          </c:extLst>
        </c:ser>
        <c:ser>
          <c:idx val="6"/>
          <c:order val="6"/>
          <c:tx>
            <c:strRef>
              <c:f>Sheet1!$H$1</c:f>
              <c:strCache>
                <c:ptCount val="1"/>
                <c:pt idx="0">
                  <c:v>Growth (NG)</c:v>
                </c:pt>
              </c:strCache>
            </c:strRef>
          </c:tx>
          <c:spPr>
            <a:ln w="28575" cap="rnd">
              <a:solidFill>
                <a:schemeClr val="accent1">
                  <a:lumMod val="60000"/>
                </a:schemeClr>
              </a:solidFill>
              <a:round/>
            </a:ln>
            <a:effectLst/>
          </c:spPr>
          <c:marker>
            <c:symbol val="none"/>
          </c:marker>
          <c:dLbls>
            <c:dLbl>
              <c:idx val="0"/>
              <c:layout>
                <c:manualLayout>
                  <c:x val="7.2696668124817732E-2"/>
                  <c:y val="-2.7777777777777849E-2"/>
                </c:manualLayout>
              </c:layout>
              <c:tx>
                <c:rich>
                  <a:bodyPr/>
                  <a:lstStyle/>
                  <a:p>
                    <a:r>
                      <a:rPr lang="en-US"/>
                      <a:t>-2.01%</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DB6D-4DCA-B983-15B6FA59F2FC}"/>
                </c:ext>
              </c:extLst>
            </c:dLbl>
            <c:dLbl>
              <c:idx val="1"/>
              <c:layout>
                <c:manualLayout>
                  <c:x val="7.4363334791484312E-2"/>
                  <c:y val="-3.1746031746031744E-2"/>
                </c:manualLayout>
              </c:layout>
              <c:tx>
                <c:rich>
                  <a:bodyPr/>
                  <a:lstStyle/>
                  <a:p>
                    <a:r>
                      <a:rPr lang="en-US"/>
                      <a:t>36.23%</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DB6D-4DCA-B983-15B6FA59F2FC}"/>
                </c:ext>
              </c:extLst>
            </c:dLbl>
            <c:dLbl>
              <c:idx val="2"/>
              <c:delete val="1"/>
              <c:extLst>
                <c:ext xmlns:c15="http://schemas.microsoft.com/office/drawing/2012/chart" uri="{CE6537A1-D6FC-4f65-9D91-7224C49458BB}"/>
                <c:ext xmlns:c16="http://schemas.microsoft.com/office/drawing/2014/chart" uri="{C3380CC4-5D6E-409C-BE32-E72D297353CC}">
                  <c16:uniqueId val="{0000000B-DB6D-4DCA-B983-15B6FA59F2FC}"/>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2016-17</c:v>
                </c:pt>
                <c:pt idx="1">
                  <c:v>2017-18</c:v>
                </c:pt>
                <c:pt idx="2">
                  <c:v>2018-19</c:v>
                </c:pt>
              </c:strCache>
            </c:strRef>
          </c:cat>
          <c:val>
            <c:numRef>
              <c:f>Sheet1!$H$2:$H$4</c:f>
              <c:numCache>
                <c:formatCode>General</c:formatCode>
                <c:ptCount val="3"/>
                <c:pt idx="0">
                  <c:v>142440.4</c:v>
                </c:pt>
                <c:pt idx="1">
                  <c:v>139565.82</c:v>
                </c:pt>
                <c:pt idx="2">
                  <c:v>190131.38</c:v>
                </c:pt>
              </c:numCache>
            </c:numRef>
          </c:val>
          <c:smooth val="0"/>
          <c:extLst>
            <c:ext xmlns:c16="http://schemas.microsoft.com/office/drawing/2014/chart" uri="{C3380CC4-5D6E-409C-BE32-E72D297353CC}">
              <c16:uniqueId val="{0000000C-DB6D-4DCA-B983-15B6FA59F2FC}"/>
            </c:ext>
          </c:extLst>
        </c:ser>
        <c:dLbls>
          <c:dLblPos val="ctr"/>
          <c:showLegendKey val="0"/>
          <c:showVal val="1"/>
          <c:showCatName val="0"/>
          <c:showSerName val="0"/>
          <c:showPercent val="0"/>
          <c:showBubbleSize val="0"/>
        </c:dLbls>
        <c:marker val="1"/>
        <c:smooth val="0"/>
        <c:axId val="596123832"/>
        <c:axId val="596121912"/>
      </c:lineChart>
      <c:catAx>
        <c:axId val="59612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96121912"/>
        <c:crosses val="autoZero"/>
        <c:auto val="1"/>
        <c:lblAlgn val="ctr"/>
        <c:lblOffset val="100"/>
        <c:noMultiLvlLbl val="0"/>
      </c:catAx>
      <c:valAx>
        <c:axId val="5961219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Revenue(in Rs Crores)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9612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Shareholding of 2018-19</a:t>
            </a:r>
          </a:p>
        </c:rich>
      </c:tx>
      <c:layout>
        <c:manualLayout>
          <c:xMode val="edge"/>
          <c:yMode val="edge"/>
          <c:x val="7.229717667346576E-2"/>
          <c:y val="2.356731162373547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8.9031454280950051E-2"/>
          <c:y val="0.17434185362508078"/>
          <c:w val="0.83640887146704346"/>
          <c:h val="0.49271356783919595"/>
        </c:manualLayout>
      </c:layout>
      <c:ofPieChart>
        <c:ofPieType val="pie"/>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124-4079-927C-EDCF3C4A7F07}"/>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C124-4079-927C-EDCF3C4A7F07}"/>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C124-4079-927C-EDCF3C4A7F07}"/>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124-4079-927C-EDCF3C4A7F07}"/>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C124-4079-927C-EDCF3C4A7F07}"/>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C124-4079-927C-EDCF3C4A7F07}"/>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D-C124-4079-927C-EDCF3C4A7F07}"/>
              </c:ext>
            </c:extLst>
          </c:dPt>
          <c:dLbls>
            <c:dLbl>
              <c:idx val="0"/>
              <c:dLblPos val="outEnd"/>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124-4079-927C-EDCF3C4A7F07}"/>
                </c:ext>
              </c:extLst>
            </c:dLbl>
            <c:dLbl>
              <c:idx val="1"/>
              <c:layout>
                <c:manualLayout>
                  <c:x val="0.120598166907863"/>
                  <c:y val="1.6750418760468934E-2"/>
                </c:manualLayout>
              </c:layout>
              <c:dLblPos val="bestFi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124-4079-927C-EDCF3C4A7F07}"/>
                </c:ext>
              </c:extLst>
            </c:dLbl>
            <c:dLbl>
              <c:idx val="2"/>
              <c:dLblPos val="outEnd"/>
              <c:showLegendKey val="1"/>
              <c:showVal val="0"/>
              <c:showCatName val="1"/>
              <c:showSerName val="0"/>
              <c:showPercent val="1"/>
              <c:showBubbleSize val="0"/>
              <c:extLst>
                <c:ext xmlns:c15="http://schemas.microsoft.com/office/drawing/2012/chart" uri="{CE6537A1-D6FC-4f65-9D91-7224C49458BB}">
                  <c15:layout>
                    <c:manualLayout>
                      <c:w val="0.16540636834288622"/>
                      <c:h val="0.21984924623115579"/>
                    </c:manualLayout>
                  </c15:layout>
                </c:ext>
                <c:ext xmlns:c16="http://schemas.microsoft.com/office/drawing/2014/chart" uri="{C3380CC4-5D6E-409C-BE32-E72D297353CC}">
                  <c16:uniqueId val="{00000005-C124-4079-927C-EDCF3C4A7F07}"/>
                </c:ext>
              </c:extLst>
            </c:dLbl>
            <c:dLbl>
              <c:idx val="3"/>
              <c:layout>
                <c:manualLayout>
                  <c:x val="0"/>
                  <c:y val="-0.1172529313232831"/>
                </c:manualLayout>
              </c:layout>
              <c:dLblPos val="bestFi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124-4079-927C-EDCF3C4A7F07}"/>
                </c:ext>
              </c:extLst>
            </c:dLbl>
            <c:dLbl>
              <c:idx val="4"/>
              <c:layout>
                <c:manualLayout>
                  <c:x val="0.10371442354076219"/>
                  <c:y val="-4.3340389612102515E-2"/>
                </c:manualLayout>
              </c:layout>
              <c:dLblPos val="bestFi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124-4079-927C-EDCF3C4A7F07}"/>
                </c:ext>
              </c:extLst>
            </c:dLbl>
            <c:dLbl>
              <c:idx val="5"/>
              <c:dLblPos val="outEnd"/>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C124-4079-927C-EDCF3C4A7F07}"/>
                </c:ext>
              </c:extLst>
            </c:dLbl>
            <c:dLbl>
              <c:idx val="6"/>
              <c:layout>
                <c:manualLayout>
                  <c:x val="9.6478533526290402E-3"/>
                  <c:y val="-7.9564489112227813E-2"/>
                </c:manualLayout>
              </c:layout>
              <c:dLblPos val="bestFi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124-4079-927C-EDCF3C4A7F07}"/>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round/>
                </a:ln>
                <a:effectLst/>
              </c:spPr>
            </c:leaderLines>
            <c:extLst>
              <c:ext xmlns:c15="http://schemas.microsoft.com/office/drawing/2012/chart" uri="{CE6537A1-D6FC-4f65-9D91-7224C49458BB}"/>
            </c:extLst>
          </c:dLbls>
          <c:cat>
            <c:strRef>
              <c:f>'share holding pattern'!$A$15:$A$20</c:f>
              <c:strCache>
                <c:ptCount val="6"/>
                <c:pt idx="0">
                  <c:v>Central Government</c:v>
                </c:pt>
                <c:pt idx="1">
                  <c:v>Mutual funds</c:v>
                </c:pt>
                <c:pt idx="2">
                  <c:v>Foriegn portfolio investotrs</c:v>
                </c:pt>
                <c:pt idx="3">
                  <c:v>Insurance companies</c:v>
                </c:pt>
                <c:pt idx="4">
                  <c:v>Individual shareholding</c:v>
                </c:pt>
                <c:pt idx="5">
                  <c:v>others</c:v>
                </c:pt>
              </c:strCache>
            </c:strRef>
          </c:cat>
          <c:val>
            <c:numRef>
              <c:f>'share holding pattern'!$B$15:$B$20</c:f>
              <c:numCache>
                <c:formatCode>General</c:formatCode>
                <c:ptCount val="6"/>
                <c:pt idx="0">
                  <c:v>4858933178</c:v>
                </c:pt>
                <c:pt idx="1">
                  <c:v>608916099</c:v>
                </c:pt>
                <c:pt idx="2">
                  <c:v>709090234</c:v>
                </c:pt>
                <c:pt idx="3">
                  <c:v>670270385</c:v>
                </c:pt>
                <c:pt idx="4">
                  <c:v>291083638</c:v>
                </c:pt>
                <c:pt idx="5">
                  <c:v>2541598020</c:v>
                </c:pt>
              </c:numCache>
            </c:numRef>
          </c:val>
          <c:extLst>
            <c:ext xmlns:c16="http://schemas.microsoft.com/office/drawing/2014/chart" uri="{C3380CC4-5D6E-409C-BE32-E72D297353CC}">
              <c16:uniqueId val="{0000000E-C124-4079-927C-EDCF3C4A7F07}"/>
            </c:ext>
          </c:extLst>
        </c:ser>
        <c:dLbls>
          <c:dLblPos val="outEnd"/>
          <c:showLegendKey val="0"/>
          <c:showVal val="1"/>
          <c:showCatName val="0"/>
          <c:showSerName val="0"/>
          <c:showPercent val="0"/>
          <c:showBubbleSize val="0"/>
          <c:showLeaderLines val="1"/>
        </c:dLbls>
        <c:gapWidth val="100"/>
        <c:splitType val="percent"/>
        <c:splitPos val="27"/>
        <c:secondPieSize val="75"/>
        <c:serLines>
          <c:spPr>
            <a:ln w="9525">
              <a:solidFill>
                <a:schemeClr val="tx1">
                  <a:lumMod val="35000"/>
                  <a:lumOff val="65000"/>
                </a:schemeClr>
              </a:solidFill>
              <a:round/>
            </a:ln>
            <a:effectLst/>
          </c:spPr>
        </c:serLines>
      </c:ofPieChart>
      <c:spPr>
        <a:noFill/>
        <a:ln>
          <a:noFill/>
        </a:ln>
        <a:effectLst/>
      </c:spPr>
    </c:plotArea>
    <c:legend>
      <c:legendPos val="b"/>
      <c:layout>
        <c:manualLayout>
          <c:xMode val="edge"/>
          <c:yMode val="edge"/>
          <c:x val="9.4917024662799943E-2"/>
          <c:y val="0.76786227726559309"/>
          <c:w val="0.86081718077570257"/>
          <c:h val="0.165789940593090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Financial Snapshot</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Revenue form Operations (Gross)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2014-15</c:v>
                </c:pt>
                <c:pt idx="1">
                  <c:v>2015-16</c:v>
                </c:pt>
                <c:pt idx="2">
                  <c:v>2016-17</c:v>
                </c:pt>
                <c:pt idx="3">
                  <c:v>2017-18</c:v>
                </c:pt>
                <c:pt idx="4">
                  <c:v>2018-19</c:v>
                </c:pt>
              </c:strCache>
            </c:strRef>
          </c:cat>
          <c:val>
            <c:numRef>
              <c:f>Sheet1!$B$2:$B$6</c:f>
              <c:numCache>
                <c:formatCode>#,##0.00</c:formatCode>
                <c:ptCount val="5"/>
                <c:pt idx="0">
                  <c:v>486038.69</c:v>
                </c:pt>
                <c:pt idx="1">
                  <c:v>421737.38</c:v>
                </c:pt>
                <c:pt idx="2">
                  <c:v>453794.73</c:v>
                </c:pt>
                <c:pt idx="3">
                  <c:v>515541.89</c:v>
                </c:pt>
                <c:pt idx="4">
                  <c:v>617242.84</c:v>
                </c:pt>
              </c:numCache>
            </c:numRef>
          </c:val>
          <c:extLst>
            <c:ext xmlns:c16="http://schemas.microsoft.com/office/drawing/2014/chart" uri="{C3380CC4-5D6E-409C-BE32-E72D297353CC}">
              <c16:uniqueId val="{00000000-1CDB-4C24-8F8A-C7E1016CD8C4}"/>
            </c:ext>
          </c:extLst>
        </c:ser>
        <c:dLbls>
          <c:showLegendKey val="0"/>
          <c:showVal val="1"/>
          <c:showCatName val="0"/>
          <c:showSerName val="0"/>
          <c:showPercent val="0"/>
          <c:showBubbleSize val="0"/>
        </c:dLbls>
        <c:gapWidth val="219"/>
        <c:overlap val="-27"/>
        <c:axId val="740635440"/>
        <c:axId val="740629456"/>
      </c:barChart>
      <c:lineChart>
        <c:grouping val="standard"/>
        <c:varyColors val="0"/>
        <c:ser>
          <c:idx val="1"/>
          <c:order val="1"/>
          <c:tx>
            <c:strRef>
              <c:f>Sheet1!$C$1</c:f>
              <c:strCache>
                <c:ptCount val="1"/>
                <c:pt idx="0">
                  <c:v>%Change in Revenue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2014-15</c:v>
                </c:pt>
                <c:pt idx="1">
                  <c:v>2015-16</c:v>
                </c:pt>
                <c:pt idx="2">
                  <c:v>2016-17</c:v>
                </c:pt>
                <c:pt idx="3">
                  <c:v>2017-18</c:v>
                </c:pt>
                <c:pt idx="4">
                  <c:v>2018-19</c:v>
                </c:pt>
              </c:strCache>
            </c:strRef>
          </c:cat>
          <c:val>
            <c:numRef>
              <c:f>Sheet1!$C$2:$C$6</c:f>
              <c:numCache>
                <c:formatCode>0.00</c:formatCode>
                <c:ptCount val="5"/>
                <c:pt idx="0">
                  <c:v>-5.9820321592455601</c:v>
                </c:pt>
                <c:pt idx="1">
                  <c:v>-13.2296690207934</c:v>
                </c:pt>
                <c:pt idx="2">
                  <c:v>7.6012588687300999</c:v>
                </c:pt>
                <c:pt idx="3">
                  <c:v>13.6068481888276</c:v>
                </c:pt>
                <c:pt idx="4">
                  <c:v>19.7270002637419</c:v>
                </c:pt>
              </c:numCache>
            </c:numRef>
          </c:val>
          <c:smooth val="0"/>
          <c:extLst>
            <c:ext xmlns:c16="http://schemas.microsoft.com/office/drawing/2014/chart" uri="{C3380CC4-5D6E-409C-BE32-E72D297353CC}">
              <c16:uniqueId val="{00000001-1CDB-4C24-8F8A-C7E1016CD8C4}"/>
            </c:ext>
          </c:extLst>
        </c:ser>
        <c:ser>
          <c:idx val="2"/>
          <c:order val="2"/>
          <c:tx>
            <c:strRef>
              <c:f>Sheet1!$D$1</c:f>
              <c:strCache>
                <c:ptCount val="1"/>
                <c:pt idx="0">
                  <c:v>Profit as a % of sales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2014-15</c:v>
                </c:pt>
                <c:pt idx="1">
                  <c:v>2015-16</c:v>
                </c:pt>
                <c:pt idx="2">
                  <c:v>2016-17</c:v>
                </c:pt>
                <c:pt idx="3">
                  <c:v>2017-18</c:v>
                </c:pt>
                <c:pt idx="4">
                  <c:v>2018-19</c:v>
                </c:pt>
              </c:strCache>
            </c:strRef>
          </c:cat>
          <c:val>
            <c:numRef>
              <c:f>Sheet1!$D$2:$D$6</c:f>
              <c:numCache>
                <c:formatCode>0.00</c:formatCode>
                <c:ptCount val="5"/>
                <c:pt idx="0">
                  <c:v>1.00234407264985</c:v>
                </c:pt>
                <c:pt idx="1">
                  <c:v>2.7518831743109899</c:v>
                </c:pt>
                <c:pt idx="2">
                  <c:v>4.4922073026277802</c:v>
                </c:pt>
                <c:pt idx="3">
                  <c:v>4.3888480138830204</c:v>
                </c:pt>
                <c:pt idx="4">
                  <c:v>2.79855008119657</c:v>
                </c:pt>
              </c:numCache>
            </c:numRef>
          </c:val>
          <c:smooth val="0"/>
          <c:extLst>
            <c:ext xmlns:c16="http://schemas.microsoft.com/office/drawing/2014/chart" uri="{C3380CC4-5D6E-409C-BE32-E72D297353CC}">
              <c16:uniqueId val="{00000002-1CDB-4C24-8F8A-C7E1016CD8C4}"/>
            </c:ext>
          </c:extLst>
        </c:ser>
        <c:dLbls>
          <c:showLegendKey val="0"/>
          <c:showVal val="1"/>
          <c:showCatName val="0"/>
          <c:showSerName val="0"/>
          <c:showPercent val="0"/>
          <c:showBubbleSize val="0"/>
        </c:dLbls>
        <c:marker val="1"/>
        <c:smooth val="0"/>
        <c:axId val="740641424"/>
        <c:axId val="740631088"/>
      </c:lineChart>
      <c:catAx>
        <c:axId val="74063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0629456"/>
        <c:crosses val="autoZero"/>
        <c:auto val="1"/>
        <c:lblAlgn val="ctr"/>
        <c:lblOffset val="100"/>
        <c:noMultiLvlLbl val="0"/>
      </c:catAx>
      <c:valAx>
        <c:axId val="7406294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Rs in crore</a:t>
                </a:r>
              </a:p>
            </c:rich>
          </c:tx>
          <c:layout>
            <c:manualLayout>
              <c:xMode val="edge"/>
              <c:yMode val="edge"/>
              <c:x val="1.7283950617283949E-2"/>
              <c:y val="0.307032944411360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0635440"/>
        <c:crosses val="autoZero"/>
        <c:crossBetween val="between"/>
      </c:valAx>
      <c:valAx>
        <c:axId val="7406310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0641424"/>
        <c:crosses val="max"/>
        <c:crossBetween val="between"/>
      </c:valAx>
      <c:catAx>
        <c:axId val="740641424"/>
        <c:scaling>
          <c:orientation val="minMax"/>
        </c:scaling>
        <c:delete val="1"/>
        <c:axPos val="b"/>
        <c:numFmt formatCode="General" sourceLinked="1"/>
        <c:majorTickMark val="out"/>
        <c:minorTickMark val="none"/>
        <c:tickLblPos val="nextTo"/>
        <c:crossAx val="740631088"/>
        <c:crosses val="autoZero"/>
        <c:auto val="1"/>
        <c:lblAlgn val="ctr"/>
        <c:lblOffset val="100"/>
        <c:noMultiLvlLbl val="0"/>
      </c:catAx>
      <c:spPr>
        <a:noFill/>
        <a:ln>
          <a:noFill/>
        </a:ln>
        <a:effectLst/>
      </c:spPr>
    </c:plotArea>
    <c:legend>
      <c:legendPos val="b"/>
      <c:layout>
        <c:manualLayout>
          <c:xMode val="edge"/>
          <c:yMode val="edge"/>
          <c:x val="0.05"/>
          <c:y val="0.82809281192792061"/>
          <c:w val="0.90740740740740744"/>
          <c:h val="0.129890381349390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400"/>
            </a:pPr>
            <a:r>
              <a:rPr lang="en-US" sz="1400"/>
              <a:t>Shareholding holding of </a:t>
            </a:r>
          </a:p>
          <a:p>
            <a:pPr>
              <a:defRPr sz="1400"/>
            </a:pPr>
            <a:r>
              <a:rPr lang="en-US" sz="1400"/>
              <a:t>2018-19 </a:t>
            </a:r>
          </a:p>
        </c:rich>
      </c:tx>
      <c:layout>
        <c:manualLayout>
          <c:xMode val="edge"/>
          <c:yMode val="edge"/>
          <c:x val="0.54063102119460504"/>
          <c:y val="1.583499729997865E-2"/>
        </c:manualLayout>
      </c:layout>
      <c:overlay val="0"/>
      <c:spPr>
        <a:noFill/>
        <a:ln>
          <a:noFill/>
        </a:ln>
        <a:effectLst/>
      </c:spPr>
    </c:title>
    <c:autoTitleDeleted val="0"/>
    <c:plotArea>
      <c:layout>
        <c:manualLayout>
          <c:layoutTarget val="inner"/>
          <c:xMode val="edge"/>
          <c:yMode val="edge"/>
          <c:x val="0.13348735053951588"/>
          <c:y val="4.3650793650793648E-2"/>
          <c:w val="0.56712962962962965"/>
          <c:h val="0.95634920634920639"/>
        </c:manualLayout>
      </c:layout>
      <c:pieChart>
        <c:varyColors val="1"/>
        <c:ser>
          <c:idx val="0"/>
          <c:order val="0"/>
          <c:tx>
            <c:strRef>
              <c:f>Sheet1!$B$1</c:f>
              <c:strCache>
                <c:ptCount val="1"/>
                <c:pt idx="0">
                  <c:v>Shareholding Pattern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778-445F-A7E5-F0DD58F9605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778-445F-A7E5-F0DD58F9605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778-445F-A7E5-F0DD58F9605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778-445F-A7E5-F0DD58F9605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778-445F-A7E5-F0DD58F96057}"/>
              </c:ext>
            </c:extLst>
          </c:dPt>
          <c:dLbls>
            <c:dLbl>
              <c:idx val="0"/>
              <c:tx>
                <c:rich>
                  <a:bodyPr rot="0" vert="horz"/>
                  <a:lstStyle/>
                  <a:p>
                    <a:pPr>
                      <a:defRPr>
                        <a:solidFill>
                          <a:schemeClr val="bg1"/>
                        </a:solidFill>
                      </a:defRPr>
                    </a:pPr>
                    <a:fld id="{AA774118-4C6A-46D4-8F3A-63EECC536494}" type="CATEGORYNAME">
                      <a:rPr lang="en-US">
                        <a:solidFill>
                          <a:schemeClr val="bg1"/>
                        </a:solidFill>
                      </a:rPr>
                      <a:pPr>
                        <a:defRPr>
                          <a:solidFill>
                            <a:schemeClr val="bg1"/>
                          </a:solidFill>
                        </a:defRPr>
                      </a:pPr>
                      <a:t>[CATEGORY NAME]</a:t>
                    </a:fld>
                    <a:r>
                      <a:rPr lang="en-US">
                        <a:solidFill>
                          <a:schemeClr val="bg1"/>
                        </a:solidFill>
                      </a:rPr>
                      <a:t>
</a:t>
                    </a:r>
                    <a:fld id="{FCA75052-0265-445A-8EE7-CF9F04677E8A}" type="VALUE">
                      <a:rPr lang="en-US">
                        <a:solidFill>
                          <a:schemeClr val="bg1"/>
                        </a:solidFill>
                      </a:rPr>
                      <a:pPr>
                        <a:defRPr>
                          <a:solidFill>
                            <a:schemeClr val="bg1"/>
                          </a:solidFill>
                        </a:defRPr>
                      </a:pPr>
                      <a:t>[VALUE]</a:t>
                    </a:fld>
                    <a:endParaRPr lang="en-US">
                      <a:solidFill>
                        <a:schemeClr val="bg1"/>
                      </a:solidFill>
                    </a:endParaRPr>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778-445F-A7E5-F0DD58F96057}"/>
                </c:ext>
              </c:extLst>
            </c:dLbl>
            <c:dLbl>
              <c:idx val="1"/>
              <c:tx>
                <c:rich>
                  <a:bodyPr rot="0" vert="horz"/>
                  <a:lstStyle/>
                  <a:p>
                    <a:pPr>
                      <a:defRPr>
                        <a:solidFill>
                          <a:schemeClr val="bg1"/>
                        </a:solidFill>
                      </a:defRPr>
                    </a:pPr>
                    <a:fld id="{F664B8B6-91D2-4F55-AAD6-5FAD8BCC0E29}" type="CATEGORYNAME">
                      <a:rPr lang="en-US">
                        <a:solidFill>
                          <a:schemeClr val="bg1"/>
                        </a:solidFill>
                      </a:rPr>
                      <a:pPr>
                        <a:defRPr>
                          <a:solidFill>
                            <a:schemeClr val="bg1"/>
                          </a:solidFill>
                        </a:defRPr>
                      </a:pPr>
                      <a:t>[CATEGORY NAME]</a:t>
                    </a:fld>
                    <a:r>
                      <a:rPr lang="en-US">
                        <a:solidFill>
                          <a:schemeClr val="bg1"/>
                        </a:solidFill>
                      </a:rPr>
                      <a:t>
13.93%</a:t>
                    </a:r>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778-445F-A7E5-F0DD58F96057}"/>
                </c:ext>
              </c:extLst>
            </c:dLbl>
            <c:dLbl>
              <c:idx val="2"/>
              <c:tx>
                <c:rich>
                  <a:bodyPr rot="0" vert="horz"/>
                  <a:lstStyle/>
                  <a:p>
                    <a:pPr>
                      <a:defRPr>
                        <a:solidFill>
                          <a:schemeClr val="bg1"/>
                        </a:solidFill>
                      </a:defRPr>
                    </a:pPr>
                    <a:fld id="{70588E0F-2DA5-4AFD-BDC4-5AABB42E63D3}" type="CATEGORYNAME">
                      <a:rPr lang="en-US">
                        <a:solidFill>
                          <a:schemeClr val="bg1"/>
                        </a:solidFill>
                      </a:rPr>
                      <a:pPr>
                        <a:defRPr>
                          <a:solidFill>
                            <a:schemeClr val="bg1"/>
                          </a:solidFill>
                        </a:defRPr>
                      </a:pPr>
                      <a:t>[CATEGORY NAME]</a:t>
                    </a:fld>
                    <a:r>
                      <a:rPr lang="en-US">
                        <a:solidFill>
                          <a:schemeClr val="bg1"/>
                        </a:solidFill>
                      </a:rPr>
                      <a:t>
19.16%</a:t>
                    </a:r>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778-445F-A7E5-F0DD58F96057}"/>
                </c:ext>
              </c:extLst>
            </c:dLbl>
            <c:dLbl>
              <c:idx val="3"/>
              <c:tx>
                <c:rich>
                  <a:bodyPr rot="0" vert="horz"/>
                  <a:lstStyle/>
                  <a:p>
                    <a:pPr>
                      <a:defRPr>
                        <a:solidFill>
                          <a:schemeClr val="bg1"/>
                        </a:solidFill>
                      </a:defRPr>
                    </a:pPr>
                    <a:fld id="{BB736096-659A-4F82-8EF5-9E14F0241FE9}" type="CATEGORYNAME">
                      <a:rPr lang="en-US">
                        <a:solidFill>
                          <a:schemeClr val="bg1"/>
                        </a:solidFill>
                      </a:rPr>
                      <a:pPr>
                        <a:defRPr>
                          <a:solidFill>
                            <a:schemeClr val="bg1"/>
                          </a:solidFill>
                        </a:defRPr>
                      </a:pPr>
                      <a:t>[CATEGORY NAME]</a:t>
                    </a:fld>
                    <a:r>
                      <a:rPr lang="en-US">
                        <a:solidFill>
                          <a:schemeClr val="bg1"/>
                        </a:solidFill>
                      </a:rPr>
                      <a:t>
6.87%</a:t>
                    </a:r>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778-445F-A7E5-F0DD58F96057}"/>
                </c:ext>
              </c:extLst>
            </c:dLbl>
            <c:dLbl>
              <c:idx val="4"/>
              <c:tx>
                <c:rich>
                  <a:bodyPr rot="0" vert="horz"/>
                  <a:lstStyle/>
                  <a:p>
                    <a:pPr>
                      <a:defRPr>
                        <a:solidFill>
                          <a:schemeClr val="bg1"/>
                        </a:solidFill>
                      </a:defRPr>
                    </a:pPr>
                    <a:fld id="{4E8B64D0-6C16-402F-BD1F-5F3F2E638337}" type="CATEGORYNAME">
                      <a:rPr lang="en-US">
                        <a:solidFill>
                          <a:schemeClr val="bg1"/>
                        </a:solidFill>
                      </a:rPr>
                      <a:pPr>
                        <a:defRPr>
                          <a:solidFill>
                            <a:schemeClr val="bg1"/>
                          </a:solidFill>
                        </a:defRPr>
                      </a:pPr>
                      <a:t>[CATEGORY NAME]</a:t>
                    </a:fld>
                    <a:r>
                      <a:rPr lang="en-US">
                        <a:solidFill>
                          <a:schemeClr val="bg1"/>
                        </a:solidFill>
                      </a:rPr>
                      <a:t>
8.92%</a:t>
                    </a:r>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E778-445F-A7E5-F0DD58F96057}"/>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Sheet1!$A$2:$A$7</c:f>
              <c:strCache>
                <c:ptCount val="6"/>
                <c:pt idx="0">
                  <c:v>Promoters</c:v>
                </c:pt>
                <c:pt idx="1">
                  <c:v>MF</c:v>
                </c:pt>
                <c:pt idx="2">
                  <c:v>FII</c:v>
                </c:pt>
                <c:pt idx="3">
                  <c:v>Other Institutions</c:v>
                </c:pt>
                <c:pt idx="4">
                  <c:v>Public</c:v>
                </c:pt>
                <c:pt idx="5">
                  <c:v>Others</c:v>
                </c:pt>
              </c:strCache>
            </c:strRef>
          </c:cat>
          <c:val>
            <c:numRef>
              <c:f>Sheet1!$B$2:$B$7</c:f>
              <c:numCache>
                <c:formatCode>0.00%</c:formatCode>
                <c:ptCount val="6"/>
                <c:pt idx="0">
                  <c:v>0.5111</c:v>
                </c:pt>
                <c:pt idx="1">
                  <c:v>0.13930000000000001</c:v>
                </c:pt>
                <c:pt idx="2">
                  <c:v>0.19159999999999999</c:v>
                </c:pt>
                <c:pt idx="3">
                  <c:v>6.8699999999999997E-2</c:v>
                </c:pt>
                <c:pt idx="4">
                  <c:v>8.9200000000000002E-2</c:v>
                </c:pt>
                <c:pt idx="5">
                  <c:v>1E-4</c:v>
                </c:pt>
              </c:numCache>
            </c:numRef>
          </c:val>
          <c:extLst>
            <c:ext xmlns:c16="http://schemas.microsoft.com/office/drawing/2014/chart" uri="{C3380CC4-5D6E-409C-BE32-E72D297353CC}">
              <c16:uniqueId val="{0000000A-E778-445F-A7E5-F0DD58F96057}"/>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solidFill>
          <a:schemeClr val="lt1">
            <a:lumMod val="95000"/>
            <a:alpha val="39000"/>
          </a:schemeClr>
        </a:solidFill>
        <a:ln>
          <a:noFill/>
        </a:ln>
        <a:effectLst/>
      </c:spPr>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400" b="1"/>
              <a:t>Operating Income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0928040244969381"/>
          <c:y val="0.14481158605174352"/>
          <c:w val="0.87683070866141732"/>
          <c:h val="0.66998656417947755"/>
        </c:manualLayout>
      </c:layout>
      <c:barChart>
        <c:barDir val="col"/>
        <c:grouping val="clustered"/>
        <c:varyColors val="0"/>
        <c:ser>
          <c:idx val="0"/>
          <c:order val="0"/>
          <c:tx>
            <c:strRef>
              <c:f>Sheet1!$B$1</c:f>
              <c:strCache>
                <c:ptCount val="1"/>
                <c:pt idx="0">
                  <c:v>Operating Income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0"/>
              <a:lstStyle/>
              <a:p>
                <a:pPr algn="just">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Sheet1!$B$2:$B$4</c:f>
              <c:numCache>
                <c:formatCode>General</c:formatCode>
                <c:ptCount val="3"/>
                <c:pt idx="0">
                  <c:v>215317.9</c:v>
                </c:pt>
                <c:pt idx="1">
                  <c:v>245934.81</c:v>
                </c:pt>
                <c:pt idx="2">
                  <c:v>298564.25</c:v>
                </c:pt>
              </c:numCache>
            </c:numRef>
          </c:val>
          <c:extLst>
            <c:ext xmlns:c16="http://schemas.microsoft.com/office/drawing/2014/chart" uri="{C3380CC4-5D6E-409C-BE32-E72D297353CC}">
              <c16:uniqueId val="{00000000-359E-421C-96D3-9FE31624048F}"/>
            </c:ext>
          </c:extLst>
        </c:ser>
        <c:dLbls>
          <c:dLblPos val="inEnd"/>
          <c:showLegendKey val="0"/>
          <c:showVal val="1"/>
          <c:showCatName val="0"/>
          <c:showSerName val="0"/>
          <c:showPercent val="0"/>
          <c:showBubbleSize val="0"/>
        </c:dLbls>
        <c:gapWidth val="219"/>
        <c:axId val="596143352"/>
        <c:axId val="596140152"/>
      </c:barChart>
      <c:lineChart>
        <c:grouping val="standard"/>
        <c:varyColors val="0"/>
        <c:ser>
          <c:idx val="1"/>
          <c:order val="1"/>
          <c:tx>
            <c:strRef>
              <c:f>Sheet1!$C$1</c:f>
              <c:strCache>
                <c:ptCount val="1"/>
                <c:pt idx="0">
                  <c:v>Growth</c:v>
                </c:pt>
              </c:strCache>
            </c:strRef>
          </c:tx>
          <c:spPr>
            <a:ln w="28575" cap="rnd">
              <a:solidFill>
                <a:schemeClr val="accent2"/>
              </a:solidFill>
              <a:round/>
            </a:ln>
            <a:effectLst/>
          </c:spPr>
          <c:marker>
            <c:symbol val="none"/>
          </c:marker>
          <c:dLbls>
            <c:dLbl>
              <c:idx val="0"/>
              <c:layout>
                <c:manualLayout>
                  <c:x val="7.6388888888888895E-2"/>
                  <c:y val="-5.1587301587301626E-2"/>
                </c:manualLayout>
              </c:layout>
              <c:tx>
                <c:rich>
                  <a:bodyPr/>
                  <a:lstStyle/>
                  <a:p>
                    <a:r>
                      <a:rPr lang="en-US"/>
                      <a:t>14.22%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359E-421C-96D3-9FE31624048F}"/>
                </c:ext>
              </c:extLst>
            </c:dLbl>
            <c:dLbl>
              <c:idx val="1"/>
              <c:layout>
                <c:manualLayout>
                  <c:x val="7.8703703703703706E-2"/>
                  <c:y val="-7.9365079365079361E-2"/>
                </c:manualLayout>
              </c:layout>
              <c:tx>
                <c:rich>
                  <a:bodyPr/>
                  <a:lstStyle/>
                  <a:p>
                    <a:r>
                      <a:rPr lang="en-US"/>
                      <a:t>21.39%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359E-421C-96D3-9FE31624048F}"/>
                </c:ext>
              </c:extLst>
            </c:dLbl>
            <c:dLbl>
              <c:idx val="2"/>
              <c:delete val="1"/>
              <c:extLst>
                <c:ext xmlns:c15="http://schemas.microsoft.com/office/drawing/2012/chart" uri="{CE6537A1-D6FC-4f65-9D91-7224C49458BB}"/>
                <c:ext xmlns:c16="http://schemas.microsoft.com/office/drawing/2014/chart" uri="{C3380CC4-5D6E-409C-BE32-E72D297353CC}">
                  <c16:uniqueId val="{00000003-359E-421C-96D3-9FE31624048F}"/>
                </c:ext>
              </c:extLst>
            </c:dLbl>
            <c:spPr>
              <a:noFill/>
              <a:ln>
                <a:noFill/>
              </a:ln>
              <a:effectLst/>
            </c:spPr>
            <c:txPr>
              <a:bodyPr rot="0" spcFirstLastPara="1" vertOverflow="ellipsis" vert="horz" wrap="square" anchor="ctr" anchorCtr="0"/>
              <a:lstStyle/>
              <a:p>
                <a:pPr algn="just">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2016-17</c:v>
                </c:pt>
                <c:pt idx="1">
                  <c:v>2017-18</c:v>
                </c:pt>
                <c:pt idx="2">
                  <c:v>2018-19</c:v>
                </c:pt>
              </c:strCache>
            </c:strRef>
          </c:cat>
          <c:val>
            <c:numRef>
              <c:f>Sheet1!$C$2:$C$4</c:f>
              <c:numCache>
                <c:formatCode>General</c:formatCode>
                <c:ptCount val="3"/>
                <c:pt idx="0">
                  <c:v>215317.9</c:v>
                </c:pt>
                <c:pt idx="1">
                  <c:v>245934.81</c:v>
                </c:pt>
                <c:pt idx="2">
                  <c:v>298564.25</c:v>
                </c:pt>
              </c:numCache>
            </c:numRef>
          </c:val>
          <c:smooth val="0"/>
          <c:extLst>
            <c:ext xmlns:c16="http://schemas.microsoft.com/office/drawing/2014/chart" uri="{C3380CC4-5D6E-409C-BE32-E72D297353CC}">
              <c16:uniqueId val="{00000004-359E-421C-96D3-9FE31624048F}"/>
            </c:ext>
          </c:extLst>
        </c:ser>
        <c:dLbls>
          <c:showLegendKey val="0"/>
          <c:showVal val="1"/>
          <c:showCatName val="0"/>
          <c:showSerName val="0"/>
          <c:showPercent val="0"/>
          <c:showBubbleSize val="0"/>
        </c:dLbls>
        <c:marker val="1"/>
        <c:smooth val="0"/>
        <c:axId val="596143352"/>
        <c:axId val="596140152"/>
      </c:lineChart>
      <c:catAx>
        <c:axId val="596143352"/>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96140152"/>
        <c:crosses val="autoZero"/>
        <c:auto val="1"/>
        <c:lblAlgn val="ctr"/>
        <c:lblOffset val="100"/>
        <c:noMultiLvlLbl val="0"/>
      </c:catAx>
      <c:valAx>
        <c:axId val="596140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9614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400" b="0"/>
              <a:t>Debt/Equity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789246452889041"/>
          <c:y val="0.15689509306260577"/>
          <c:w val="0.83419700254859452"/>
          <c:h val="0.64783231410794462"/>
        </c:manualLayout>
      </c:layout>
      <c:barChart>
        <c:barDir val="bar"/>
        <c:grouping val="clustered"/>
        <c:varyColors val="0"/>
        <c:ser>
          <c:idx val="0"/>
          <c:order val="0"/>
          <c:tx>
            <c:strRef>
              <c:f>Sheet1!$B$1</c:f>
              <c:strCache>
                <c:ptCount val="1"/>
                <c:pt idx="0">
                  <c:v>FY19</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Sheet1!$B$2:$B$6</c:f>
              <c:numCache>
                <c:formatCode>General</c:formatCode>
                <c:ptCount val="5"/>
                <c:pt idx="0">
                  <c:v>0.106</c:v>
                </c:pt>
                <c:pt idx="1">
                  <c:v>0.89</c:v>
                </c:pt>
                <c:pt idx="2">
                  <c:v>0.82</c:v>
                </c:pt>
                <c:pt idx="3">
                  <c:v>1.26</c:v>
                </c:pt>
                <c:pt idx="4">
                  <c:v>0.26200000000000001</c:v>
                </c:pt>
              </c:numCache>
            </c:numRef>
          </c:val>
          <c:extLst>
            <c:ext xmlns:c16="http://schemas.microsoft.com/office/drawing/2014/chart" uri="{C3380CC4-5D6E-409C-BE32-E72D297353CC}">
              <c16:uniqueId val="{00000000-D2E0-4B15-9465-0CC49943B98A}"/>
            </c:ext>
          </c:extLst>
        </c:ser>
        <c:ser>
          <c:idx val="1"/>
          <c:order val="1"/>
          <c:tx>
            <c:strRef>
              <c:f>Sheet1!$C$1</c:f>
              <c:strCache>
                <c:ptCount val="1"/>
                <c:pt idx="0">
                  <c:v>FY18</c:v>
                </c:pt>
              </c:strCache>
            </c:strRef>
          </c:tx>
          <c:spPr>
            <a:solidFill>
              <a:schemeClr val="accent1"/>
            </a:solidFill>
            <a:ln>
              <a:noFill/>
            </a:ln>
            <a:effectLst/>
          </c:spPr>
          <c:invertIfNegative val="0"/>
          <c:dLbls>
            <c:dLbl>
              <c:idx val="3"/>
              <c:layout>
                <c:manualLayout>
                  <c:x val="0"/>
                  <c:y val="3.877563779092383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2E0-4B15-9465-0CC49943B98A}"/>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Sheet1!$C$2:$C$6</c:f>
              <c:numCache>
                <c:formatCode>General</c:formatCode>
                <c:ptCount val="5"/>
                <c:pt idx="0">
                  <c:v>0.13200000000000001</c:v>
                </c:pt>
                <c:pt idx="1">
                  <c:v>0.82</c:v>
                </c:pt>
                <c:pt idx="2">
                  <c:v>0.55000000000000004</c:v>
                </c:pt>
                <c:pt idx="3">
                  <c:v>1.19</c:v>
                </c:pt>
                <c:pt idx="4">
                  <c:v>0.26400000000000001</c:v>
                </c:pt>
              </c:numCache>
            </c:numRef>
          </c:val>
          <c:extLst>
            <c:ext xmlns:c16="http://schemas.microsoft.com/office/drawing/2014/chart" uri="{C3380CC4-5D6E-409C-BE32-E72D297353CC}">
              <c16:uniqueId val="{00000002-D2E0-4B15-9465-0CC49943B98A}"/>
            </c:ext>
          </c:extLst>
        </c:ser>
        <c:ser>
          <c:idx val="2"/>
          <c:order val="2"/>
          <c:tx>
            <c:strRef>
              <c:f>Sheet1!$D$1</c:f>
              <c:strCache>
                <c:ptCount val="1"/>
                <c:pt idx="0">
                  <c:v>FY17</c:v>
                </c:pt>
              </c:strCache>
            </c:strRef>
          </c:tx>
          <c:spPr>
            <a:solidFill>
              <a:schemeClr val="accent1">
                <a:tint val="65000"/>
              </a:schemeClr>
            </a:solidFill>
            <a:ln>
              <a:noFill/>
            </a:ln>
            <a:effectLst/>
          </c:spPr>
          <c:invertIfNegative val="0"/>
          <c:dLbls>
            <c:dLbl>
              <c:idx val="2"/>
              <c:layout>
                <c:manualLayout>
                  <c:x val="-9.6618357487922701E-3"/>
                  <c:y val="-8.460236886632825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2E0-4B15-9465-0CC49943B98A}"/>
                </c:ext>
              </c:extLst>
            </c:dLbl>
            <c:dLbl>
              <c:idx val="3"/>
              <c:layout>
                <c:manualLayout>
                  <c:x val="-9.6618357487922701E-3"/>
                  <c:y val="-1.269035532994923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2E0-4B15-9465-0CC49943B98A}"/>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Sheet1!$D$2:$D$6</c:f>
              <c:numCache>
                <c:formatCode>General</c:formatCode>
                <c:ptCount val="5"/>
                <c:pt idx="0">
                  <c:v>0</c:v>
                </c:pt>
                <c:pt idx="1">
                  <c:v>0.84</c:v>
                </c:pt>
                <c:pt idx="2">
                  <c:v>0.57999999999999996</c:v>
                </c:pt>
                <c:pt idx="3">
                  <c:v>1.22</c:v>
                </c:pt>
                <c:pt idx="4">
                  <c:v>0.308</c:v>
                </c:pt>
              </c:numCache>
            </c:numRef>
          </c:val>
          <c:extLst>
            <c:ext xmlns:c16="http://schemas.microsoft.com/office/drawing/2014/chart" uri="{C3380CC4-5D6E-409C-BE32-E72D297353CC}">
              <c16:uniqueId val="{00000005-D2E0-4B15-9465-0CC49943B98A}"/>
            </c:ext>
          </c:extLst>
        </c:ser>
        <c:dLbls>
          <c:dLblPos val="outEnd"/>
          <c:showLegendKey val="0"/>
          <c:showVal val="1"/>
          <c:showCatName val="0"/>
          <c:showSerName val="0"/>
          <c:showPercent val="0"/>
          <c:showBubbleSize val="0"/>
        </c:dLbls>
        <c:gapWidth val="182"/>
        <c:axId val="-945303696"/>
        <c:axId val="-945302608"/>
      </c:barChart>
      <c:catAx>
        <c:axId val="-945303696"/>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lgn="just">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45302608"/>
        <c:crosses val="autoZero"/>
        <c:auto val="1"/>
        <c:lblAlgn val="ctr"/>
        <c:lblOffset val="100"/>
        <c:noMultiLvlLbl val="0"/>
      </c:catAx>
      <c:valAx>
        <c:axId val="-945302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4530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lgn="just">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0"/>
              <a:t>Cash Accruals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Sheet1!$B$1</c:f>
              <c:strCache>
                <c:ptCount val="1"/>
                <c:pt idx="0">
                  <c:v>FY19</c:v>
                </c:pt>
              </c:strCache>
            </c:strRef>
          </c:tx>
          <c:spPr>
            <a:solidFill>
              <a:schemeClr val="accent1">
                <a:shade val="65000"/>
              </a:schemeClr>
            </a:solidFill>
            <a:ln>
              <a:noFill/>
            </a:ln>
            <a:effectLst/>
          </c:spPr>
          <c:invertIfNegative val="0"/>
          <c:dLbls>
            <c:dLbl>
              <c:idx val="3"/>
              <c:layout>
                <c:manualLayout>
                  <c:x val="0"/>
                  <c:y val="1.259445843828715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57-49C7-8FEA-FB4D85592235}"/>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Sheet1!$B$2:$B$6</c:f>
              <c:numCache>
                <c:formatCode>General</c:formatCode>
                <c:ptCount val="5"/>
                <c:pt idx="0">
                  <c:v>0.93600000000000005</c:v>
                </c:pt>
                <c:pt idx="1">
                  <c:v>0.186</c:v>
                </c:pt>
                <c:pt idx="2">
                  <c:v>0.113</c:v>
                </c:pt>
                <c:pt idx="3">
                  <c:v>0.129</c:v>
                </c:pt>
                <c:pt idx="4">
                  <c:v>0.32900000000000001</c:v>
                </c:pt>
              </c:numCache>
            </c:numRef>
          </c:val>
          <c:extLst>
            <c:ext xmlns:c16="http://schemas.microsoft.com/office/drawing/2014/chart" uri="{C3380CC4-5D6E-409C-BE32-E72D297353CC}">
              <c16:uniqueId val="{00000001-4D57-49C7-8FEA-FB4D85592235}"/>
            </c:ext>
          </c:extLst>
        </c:ser>
        <c:ser>
          <c:idx val="1"/>
          <c:order val="1"/>
          <c:tx>
            <c:strRef>
              <c:f>Sheet1!$C$1</c:f>
              <c:strCache>
                <c:ptCount val="1"/>
                <c:pt idx="0">
                  <c:v>FY18</c:v>
                </c:pt>
              </c:strCache>
            </c:strRef>
          </c:tx>
          <c:spPr>
            <a:solidFill>
              <a:schemeClr val="accent1"/>
            </a:solidFill>
            <a:ln>
              <a:noFill/>
            </a:ln>
            <a:effectLst/>
          </c:spPr>
          <c:invertIfNegative val="0"/>
          <c:dLbls>
            <c:dLbl>
              <c:idx val="0"/>
              <c:layout>
                <c:manualLayout>
                  <c:x val="-2.4260067928190197E-3"/>
                  <c:y val="-2.09907640638119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57-49C7-8FEA-FB4D85592235}"/>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Sheet1!$C$2:$C$6</c:f>
              <c:numCache>
                <c:formatCode>General</c:formatCode>
                <c:ptCount val="5"/>
                <c:pt idx="0">
                  <c:v>0.51700000000000002</c:v>
                </c:pt>
                <c:pt idx="1">
                  <c:v>0.32600000000000001</c:v>
                </c:pt>
                <c:pt idx="2">
                  <c:v>0.24099999999999999</c:v>
                </c:pt>
                <c:pt idx="3">
                  <c:v>0.13300000000000001</c:v>
                </c:pt>
                <c:pt idx="4">
                  <c:v>0.42199999999999999</c:v>
                </c:pt>
              </c:numCache>
            </c:numRef>
          </c:val>
          <c:extLst>
            <c:ext xmlns:c16="http://schemas.microsoft.com/office/drawing/2014/chart" uri="{C3380CC4-5D6E-409C-BE32-E72D297353CC}">
              <c16:uniqueId val="{00000003-4D57-49C7-8FEA-FB4D85592235}"/>
            </c:ext>
          </c:extLst>
        </c:ser>
        <c:ser>
          <c:idx val="2"/>
          <c:order val="2"/>
          <c:tx>
            <c:strRef>
              <c:f>Sheet1!$D$1</c:f>
              <c:strCache>
                <c:ptCount val="1"/>
                <c:pt idx="0">
                  <c:v>FY17</c:v>
                </c:pt>
              </c:strCache>
            </c:strRef>
          </c:tx>
          <c:spPr>
            <a:solidFill>
              <a:schemeClr val="accent1">
                <a:tint val="65000"/>
              </a:schemeClr>
            </a:solidFill>
            <a:ln>
              <a:noFill/>
            </a:ln>
            <a:effectLst/>
          </c:spPr>
          <c:invertIfNegative val="0"/>
          <c:dLbls>
            <c:dLbl>
              <c:idx val="3"/>
              <c:layout>
                <c:manualLayout>
                  <c:x val="-7.2780203784570596E-3"/>
                  <c:y val="-1.259445843828711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D57-49C7-8FEA-FB4D85592235}"/>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Sheet1!$D$2:$D$6</c:f>
              <c:numCache>
                <c:formatCode>General</c:formatCode>
                <c:ptCount val="5"/>
                <c:pt idx="0">
                  <c:v>0</c:v>
                </c:pt>
                <c:pt idx="1">
                  <c:v>0.47499999999999998</c:v>
                </c:pt>
                <c:pt idx="2">
                  <c:v>0.193</c:v>
                </c:pt>
                <c:pt idx="3">
                  <c:v>0.13</c:v>
                </c:pt>
                <c:pt idx="4">
                  <c:v>0.218</c:v>
                </c:pt>
              </c:numCache>
            </c:numRef>
          </c:val>
          <c:extLst>
            <c:ext xmlns:c16="http://schemas.microsoft.com/office/drawing/2014/chart" uri="{C3380CC4-5D6E-409C-BE32-E72D297353CC}">
              <c16:uniqueId val="{00000005-4D57-49C7-8FEA-FB4D85592235}"/>
            </c:ext>
          </c:extLst>
        </c:ser>
        <c:dLbls>
          <c:dLblPos val="outEnd"/>
          <c:showLegendKey val="0"/>
          <c:showVal val="1"/>
          <c:showCatName val="0"/>
          <c:showSerName val="0"/>
          <c:showPercent val="0"/>
          <c:showBubbleSize val="0"/>
        </c:dLbls>
        <c:gapWidth val="182"/>
        <c:axId val="-945300976"/>
        <c:axId val="-1056170752"/>
      </c:barChart>
      <c:catAx>
        <c:axId val="-945300976"/>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6170752"/>
        <c:crosses val="autoZero"/>
        <c:auto val="1"/>
        <c:lblAlgn val="ctr"/>
        <c:lblOffset val="100"/>
        <c:noMultiLvlLbl val="0"/>
      </c:catAx>
      <c:valAx>
        <c:axId val="-1056170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45300976"/>
        <c:crosses val="autoZero"/>
        <c:crossBetween val="between"/>
      </c:valAx>
      <c:spPr>
        <a:noFill/>
        <a:ln>
          <a:noFill/>
        </a:ln>
        <a:effectLst/>
      </c:spPr>
    </c:plotArea>
    <c:legend>
      <c:legendPos val="b"/>
      <c:layout>
        <c:manualLayout>
          <c:xMode val="edge"/>
          <c:yMode val="edge"/>
          <c:x val="0.35699797896441982"/>
          <c:y val="0.90779104438141711"/>
          <c:w val="0.28600404207116031"/>
          <c:h val="7.121819155477102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600" b="0"/>
              <a:t>Interest Coverage Ratio</a:t>
            </a:r>
          </a:p>
        </c:rich>
      </c:tx>
      <c:layout>
        <c:manualLayout>
          <c:xMode val="edge"/>
          <c:yMode val="edge"/>
          <c:x val="0.34332170774848803"/>
          <c:y val="3.6483443408345556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Sheet1!$B$1</c:f>
              <c:strCache>
                <c:ptCount val="1"/>
                <c:pt idx="0">
                  <c:v>FY19</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Sheet1!$B$2:$B$6</c:f>
              <c:numCache>
                <c:formatCode>General</c:formatCode>
                <c:ptCount val="5"/>
                <c:pt idx="0">
                  <c:v>17.032</c:v>
                </c:pt>
                <c:pt idx="1">
                  <c:v>13.864000000000001</c:v>
                </c:pt>
                <c:pt idx="2">
                  <c:v>6.3040000000000003</c:v>
                </c:pt>
                <c:pt idx="3">
                  <c:v>1.2410000000000001</c:v>
                </c:pt>
                <c:pt idx="4" formatCode="0.000">
                  <c:v>10.308999999999999</c:v>
                </c:pt>
              </c:numCache>
            </c:numRef>
          </c:val>
          <c:extLst>
            <c:ext xmlns:c16="http://schemas.microsoft.com/office/drawing/2014/chart" uri="{C3380CC4-5D6E-409C-BE32-E72D297353CC}">
              <c16:uniqueId val="{00000000-215C-483B-9F23-01AF046FAD31}"/>
            </c:ext>
          </c:extLst>
        </c:ser>
        <c:ser>
          <c:idx val="1"/>
          <c:order val="1"/>
          <c:tx>
            <c:strRef>
              <c:f>Sheet1!$C$1</c:f>
              <c:strCache>
                <c:ptCount val="1"/>
                <c:pt idx="0">
                  <c:v>FY18</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Sheet1!$C$2:$C$6</c:f>
              <c:numCache>
                <c:formatCode>General</c:formatCode>
                <c:ptCount val="5"/>
                <c:pt idx="0">
                  <c:v>20.152999999999999</c:v>
                </c:pt>
                <c:pt idx="1">
                  <c:v>17.236999999999998</c:v>
                </c:pt>
                <c:pt idx="2">
                  <c:v>10.041</c:v>
                </c:pt>
                <c:pt idx="3">
                  <c:v>1.3420000000000001</c:v>
                </c:pt>
                <c:pt idx="4" formatCode="0.000">
                  <c:v>8.9250000000000007</c:v>
                </c:pt>
              </c:numCache>
            </c:numRef>
          </c:val>
          <c:extLst>
            <c:ext xmlns:c16="http://schemas.microsoft.com/office/drawing/2014/chart" uri="{C3380CC4-5D6E-409C-BE32-E72D297353CC}">
              <c16:uniqueId val="{00000001-215C-483B-9F23-01AF046FAD31}"/>
            </c:ext>
          </c:extLst>
        </c:ser>
        <c:ser>
          <c:idx val="2"/>
          <c:order val="2"/>
          <c:tx>
            <c:strRef>
              <c:f>Sheet1!$D$1</c:f>
              <c:strCache>
                <c:ptCount val="1"/>
                <c:pt idx="0">
                  <c:v>FY17</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Sheet1!$D$2:$D$6</c:f>
              <c:numCache>
                <c:formatCode>General</c:formatCode>
                <c:ptCount val="5"/>
                <c:pt idx="0">
                  <c:v>21.638999999999999</c:v>
                </c:pt>
                <c:pt idx="1">
                  <c:v>17.841000000000001</c:v>
                </c:pt>
                <c:pt idx="2">
                  <c:v>8.5120000000000005</c:v>
                </c:pt>
                <c:pt idx="3">
                  <c:v>1.29</c:v>
                </c:pt>
                <c:pt idx="4" formatCode="0.000">
                  <c:v>8.3140000000000001</c:v>
                </c:pt>
              </c:numCache>
            </c:numRef>
          </c:val>
          <c:extLst>
            <c:ext xmlns:c16="http://schemas.microsoft.com/office/drawing/2014/chart" uri="{C3380CC4-5D6E-409C-BE32-E72D297353CC}">
              <c16:uniqueId val="{00000002-215C-483B-9F23-01AF046FAD31}"/>
            </c:ext>
          </c:extLst>
        </c:ser>
        <c:dLbls>
          <c:dLblPos val="outEnd"/>
          <c:showLegendKey val="0"/>
          <c:showVal val="1"/>
          <c:showCatName val="0"/>
          <c:showSerName val="0"/>
          <c:showPercent val="0"/>
          <c:showBubbleSize val="0"/>
        </c:dLbls>
        <c:gapWidth val="182"/>
        <c:axId val="-1056168576"/>
        <c:axId val="-1056166400"/>
      </c:barChart>
      <c:catAx>
        <c:axId val="-1056168576"/>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6166400"/>
        <c:crosses val="autoZero"/>
        <c:auto val="1"/>
        <c:lblAlgn val="ctr"/>
        <c:lblOffset val="100"/>
        <c:noMultiLvlLbl val="0"/>
      </c:catAx>
      <c:valAx>
        <c:axId val="-1056166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616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IN"/>
              <a:t>Exporters</a:t>
            </a:r>
          </a:p>
        </c:rich>
      </c:tx>
      <c:layout>
        <c:manualLayout>
          <c:xMode val="edge"/>
          <c:yMode val="edge"/>
          <c:x val="0.40914850317623341"/>
          <c:y val="2.9069767441860465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7967396035294583"/>
          <c:y val="0.15817057434859749"/>
          <c:w val="0.47410653442189071"/>
          <c:h val="0.79061899734600216"/>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325-41D1-976C-DD94AD6E10F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325-41D1-976C-DD94AD6E10F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325-41D1-976C-DD94AD6E10F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325-41D1-976C-DD94AD6E10F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325-41D1-976C-DD94AD6E10F5}"/>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2325-41D1-976C-DD94AD6E10F5}"/>
              </c:ext>
            </c:extLst>
          </c:dPt>
          <c:dLbls>
            <c:dLbl>
              <c:idx val="3"/>
              <c:layout>
                <c:manualLayout>
                  <c:x val="-7.298497899030236E-2"/>
                  <c:y val="-0.1366571886847478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325-41D1-976C-DD94AD6E10F5}"/>
                </c:ext>
              </c:extLst>
            </c:dLbl>
            <c:dLbl>
              <c:idx val="4"/>
              <c:layout>
                <c:manualLayout>
                  <c:x val="-5.6797548547637577E-2"/>
                  <c:y val="-9.6764615316940306E-2"/>
                </c:manualLayout>
              </c:layout>
              <c:dLblPos val="bestFit"/>
              <c:showLegendKey val="0"/>
              <c:showVal val="0"/>
              <c:showCatName val="0"/>
              <c:showSerName val="0"/>
              <c:showPercent val="1"/>
              <c:showBubbleSize val="0"/>
              <c:extLst>
                <c:ext xmlns:c15="http://schemas.microsoft.com/office/drawing/2012/chart" uri="{CE6537A1-D6FC-4f65-9D91-7224C49458BB}">
                  <c15:layout>
                    <c:manualLayout>
                      <c:w val="6.1845975283240345E-2"/>
                      <c:h val="7.5075147729438851E-2"/>
                    </c:manualLayout>
                  </c15:layout>
                </c:ext>
                <c:ext xmlns:c16="http://schemas.microsoft.com/office/drawing/2014/chart" uri="{C3380CC4-5D6E-409C-BE32-E72D297353CC}">
                  <c16:uniqueId val="{00000009-2325-41D1-976C-DD94AD6E10F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Sheet1!$A$1:$A$6</c:f>
              <c:strCache>
                <c:ptCount val="6"/>
                <c:pt idx="0">
                  <c:v>Saudi Arabia</c:v>
                </c:pt>
                <c:pt idx="1">
                  <c:v>Russia</c:v>
                </c:pt>
                <c:pt idx="2">
                  <c:v>Iraq</c:v>
                </c:pt>
                <c:pt idx="3">
                  <c:v>Canada</c:v>
                </c:pt>
                <c:pt idx="4">
                  <c:v>UAE</c:v>
                </c:pt>
                <c:pt idx="5">
                  <c:v>Others</c:v>
                </c:pt>
              </c:strCache>
            </c:strRef>
          </c:cat>
          <c:val>
            <c:numRef>
              <c:f>Sheet1!$B$1:$B$6</c:f>
              <c:numCache>
                <c:formatCode>0%</c:formatCode>
                <c:ptCount val="6"/>
                <c:pt idx="0">
                  <c:v>0.16</c:v>
                </c:pt>
                <c:pt idx="1">
                  <c:v>0.12</c:v>
                </c:pt>
                <c:pt idx="2">
                  <c:v>0.08</c:v>
                </c:pt>
                <c:pt idx="3">
                  <c:v>0.06</c:v>
                </c:pt>
                <c:pt idx="4">
                  <c:v>0.05</c:v>
                </c:pt>
                <c:pt idx="5">
                  <c:v>0.53</c:v>
                </c:pt>
              </c:numCache>
            </c:numRef>
          </c:val>
          <c:extLst>
            <c:ext xmlns:c16="http://schemas.microsoft.com/office/drawing/2014/chart" uri="{C3380CC4-5D6E-409C-BE32-E72D297353CC}">
              <c16:uniqueId val="{0000000C-2325-41D1-976C-DD94AD6E10F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Return 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Sheet1!$B$1</c:f>
              <c:strCache>
                <c:ptCount val="1"/>
                <c:pt idx="0">
                  <c:v>FY19</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Sheet1!$B$2:$B$6</c:f>
              <c:numCache>
                <c:formatCode>0.000%</c:formatCode>
                <c:ptCount val="5"/>
                <c:pt idx="0">
                  <c:v>8.8389999999999996E-2</c:v>
                </c:pt>
                <c:pt idx="1">
                  <c:v>5.8099999999999999E-2</c:v>
                </c:pt>
                <c:pt idx="2">
                  <c:v>9.9030000000000007E-2</c:v>
                </c:pt>
                <c:pt idx="3">
                  <c:v>4.8999999999999998E-3</c:v>
                </c:pt>
                <c:pt idx="4">
                  <c:v>5.457E-2</c:v>
                </c:pt>
              </c:numCache>
            </c:numRef>
          </c:val>
          <c:extLst>
            <c:ext xmlns:c16="http://schemas.microsoft.com/office/drawing/2014/chart" uri="{C3380CC4-5D6E-409C-BE32-E72D297353CC}">
              <c16:uniqueId val="{00000000-9B75-4FC8-A6EC-5A4C7138E4D2}"/>
            </c:ext>
          </c:extLst>
        </c:ser>
        <c:ser>
          <c:idx val="1"/>
          <c:order val="1"/>
          <c:tx>
            <c:strRef>
              <c:f>Sheet1!$C$1</c:f>
              <c:strCache>
                <c:ptCount val="1"/>
                <c:pt idx="0">
                  <c:v>FY18</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Sheet1!$C$2:$C$6</c:f>
              <c:numCache>
                <c:formatCode>0.000%</c:formatCode>
                <c:ptCount val="5"/>
                <c:pt idx="0">
                  <c:v>6.8489999999999995E-2</c:v>
                </c:pt>
                <c:pt idx="1">
                  <c:v>7.3200000000000001E-2</c:v>
                </c:pt>
                <c:pt idx="2">
                  <c:v>0.14521999999999999</c:v>
                </c:pt>
                <c:pt idx="3">
                  <c:v>8.9200000000000008E-3</c:v>
                </c:pt>
                <c:pt idx="4">
                  <c:v>6.0589999999999998E-2</c:v>
                </c:pt>
              </c:numCache>
            </c:numRef>
          </c:val>
          <c:extLst>
            <c:ext xmlns:c16="http://schemas.microsoft.com/office/drawing/2014/chart" uri="{C3380CC4-5D6E-409C-BE32-E72D297353CC}">
              <c16:uniqueId val="{00000001-9B75-4FC8-A6EC-5A4C7138E4D2}"/>
            </c:ext>
          </c:extLst>
        </c:ser>
        <c:ser>
          <c:idx val="2"/>
          <c:order val="2"/>
          <c:tx>
            <c:strRef>
              <c:f>Sheet1!$D$1</c:f>
              <c:strCache>
                <c:ptCount val="1"/>
                <c:pt idx="0">
                  <c:v>FY17</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Sheet1!$D$2:$D$6</c:f>
              <c:numCache>
                <c:formatCode>0.000%</c:formatCode>
                <c:ptCount val="5"/>
                <c:pt idx="0">
                  <c:v>7.2400000000000006E-2</c:v>
                </c:pt>
                <c:pt idx="1">
                  <c:v>7.9100000000000004E-2</c:v>
                </c:pt>
                <c:pt idx="2">
                  <c:v>0.14471000000000001</c:v>
                </c:pt>
                <c:pt idx="3">
                  <c:v>6.9100000000000003E-3</c:v>
                </c:pt>
                <c:pt idx="4">
                  <c:v>3.4160000000000003E-2</c:v>
                </c:pt>
              </c:numCache>
            </c:numRef>
          </c:val>
          <c:extLst>
            <c:ext xmlns:c16="http://schemas.microsoft.com/office/drawing/2014/chart" uri="{C3380CC4-5D6E-409C-BE32-E72D297353CC}">
              <c16:uniqueId val="{00000002-9B75-4FC8-A6EC-5A4C7138E4D2}"/>
            </c:ext>
          </c:extLst>
        </c:ser>
        <c:dLbls>
          <c:dLblPos val="outEnd"/>
          <c:showLegendKey val="0"/>
          <c:showVal val="1"/>
          <c:showCatName val="0"/>
          <c:showSerName val="0"/>
          <c:showPercent val="0"/>
          <c:showBubbleSize val="0"/>
        </c:dLbls>
        <c:gapWidth val="182"/>
        <c:axId val="-1056179456"/>
        <c:axId val="-1029423712"/>
      </c:barChart>
      <c:catAx>
        <c:axId val="-1056179456"/>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29423712"/>
        <c:crosses val="autoZero"/>
        <c:auto val="1"/>
        <c:lblAlgn val="ctr"/>
        <c:lblOffset val="100"/>
        <c:noMultiLvlLbl val="0"/>
      </c:catAx>
      <c:valAx>
        <c:axId val="-102942371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617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ROE</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Sheet1!$B$1</c:f>
              <c:strCache>
                <c:ptCount val="1"/>
                <c:pt idx="0">
                  <c:v>FY19</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Sheet1!$B$2:$B$6</c:f>
              <c:numCache>
                <c:formatCode>0.000%</c:formatCode>
                <c:ptCount val="5"/>
                <c:pt idx="0">
                  <c:v>0.13161</c:v>
                </c:pt>
                <c:pt idx="1">
                  <c:v>0.21396999999999999</c:v>
                </c:pt>
                <c:pt idx="2">
                  <c:v>0.15107000000000001</c:v>
                </c:pt>
                <c:pt idx="3">
                  <c:v>1.8599999999999998E-2</c:v>
                </c:pt>
                <c:pt idx="4">
                  <c:v>9.3350000000000002E-2</c:v>
                </c:pt>
              </c:numCache>
            </c:numRef>
          </c:val>
          <c:extLst>
            <c:ext xmlns:c16="http://schemas.microsoft.com/office/drawing/2014/chart" uri="{C3380CC4-5D6E-409C-BE32-E72D297353CC}">
              <c16:uniqueId val="{00000000-557D-49BE-A306-CBA543B49802}"/>
            </c:ext>
          </c:extLst>
        </c:ser>
        <c:ser>
          <c:idx val="1"/>
          <c:order val="1"/>
          <c:tx>
            <c:strRef>
              <c:f>Sheet1!$C$1</c:f>
              <c:strCache>
                <c:ptCount val="1"/>
                <c:pt idx="0">
                  <c:v>FY18</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Sheet1!$C$2:$C$6</c:f>
              <c:numCache>
                <c:formatCode>0.000%</c:formatCode>
                <c:ptCount val="5"/>
                <c:pt idx="0">
                  <c:v>0.10314</c:v>
                </c:pt>
                <c:pt idx="1">
                  <c:v>0.26545000000000002</c:v>
                </c:pt>
                <c:pt idx="2">
                  <c:v>0.19500999999999999</c:v>
                </c:pt>
                <c:pt idx="3">
                  <c:v>3.4520000000000002E-2</c:v>
                </c:pt>
                <c:pt idx="4">
                  <c:v>9.5589999999999994E-2</c:v>
                </c:pt>
              </c:numCache>
            </c:numRef>
          </c:val>
          <c:extLst>
            <c:ext xmlns:c16="http://schemas.microsoft.com/office/drawing/2014/chart" uri="{C3380CC4-5D6E-409C-BE32-E72D297353CC}">
              <c16:uniqueId val="{00000001-557D-49BE-A306-CBA543B49802}"/>
            </c:ext>
          </c:extLst>
        </c:ser>
        <c:ser>
          <c:idx val="2"/>
          <c:order val="2"/>
          <c:tx>
            <c:strRef>
              <c:f>Sheet1!$D$1</c:f>
              <c:strCache>
                <c:ptCount val="1"/>
                <c:pt idx="0">
                  <c:v>FY17</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ONGC</c:v>
                </c:pt>
                <c:pt idx="1">
                  <c:v>HPCL</c:v>
                </c:pt>
                <c:pt idx="2">
                  <c:v>IOCL</c:v>
                </c:pt>
                <c:pt idx="3">
                  <c:v>Essar Oil</c:v>
                </c:pt>
                <c:pt idx="4">
                  <c:v>Oil India</c:v>
                </c:pt>
              </c:strCache>
            </c:strRef>
          </c:cat>
          <c:val>
            <c:numRef>
              <c:f>Sheet1!$D$2:$D$6</c:f>
              <c:numCache>
                <c:formatCode>0.000%</c:formatCode>
                <c:ptCount val="5"/>
                <c:pt idx="0">
                  <c:v>9.6479999999999996E-2</c:v>
                </c:pt>
                <c:pt idx="1">
                  <c:v>0.30514000000000002</c:v>
                </c:pt>
                <c:pt idx="2">
                  <c:v>0.19600999999999999</c:v>
                </c:pt>
                <c:pt idx="3">
                  <c:v>2.656E-2</c:v>
                </c:pt>
                <c:pt idx="4">
                  <c:v>5.3240000000000003E-2</c:v>
                </c:pt>
              </c:numCache>
            </c:numRef>
          </c:val>
          <c:extLst>
            <c:ext xmlns:c16="http://schemas.microsoft.com/office/drawing/2014/chart" uri="{C3380CC4-5D6E-409C-BE32-E72D297353CC}">
              <c16:uniqueId val="{00000002-557D-49BE-A306-CBA543B49802}"/>
            </c:ext>
          </c:extLst>
        </c:ser>
        <c:dLbls>
          <c:dLblPos val="outEnd"/>
          <c:showLegendKey val="0"/>
          <c:showVal val="1"/>
          <c:showCatName val="0"/>
          <c:showSerName val="0"/>
          <c:showPercent val="0"/>
          <c:showBubbleSize val="0"/>
        </c:dLbls>
        <c:gapWidth val="182"/>
        <c:axId val="-1029423168"/>
        <c:axId val="-1029421536"/>
      </c:barChart>
      <c:catAx>
        <c:axId val="-1029423168"/>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29421536"/>
        <c:crosses val="autoZero"/>
        <c:auto val="1"/>
        <c:lblAlgn val="ctr"/>
        <c:lblOffset val="100"/>
        <c:noMultiLvlLbl val="0"/>
      </c:catAx>
      <c:valAx>
        <c:axId val="-1029421536"/>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2942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tx>
            <c:strRef>
              <c:f>Sheet1!$B$1</c:f>
              <c:strCache>
                <c:ptCount val="1"/>
                <c:pt idx="0">
                  <c:v>59 Responses based on occupation in %</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3-7C78-4A1B-9E2C-C6985C97001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2-7C78-4A1B-9E2C-C6985C970015}"/>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4-7C78-4A1B-9E2C-C6985C970015}"/>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1-7C78-4A1B-9E2C-C6985C970015}"/>
              </c:ext>
            </c:extLst>
          </c:dPt>
          <c:dLbls>
            <c:dLbl>
              <c:idx val="1"/>
              <c:layout>
                <c:manualLayout>
                  <c:x val="-7.8613492142596587E-3"/>
                  <c:y val="4.7773573757825726E-2"/>
                </c:manualLayout>
              </c:layout>
              <c:tx>
                <c:rich>
                  <a:bodyPr rot="0" spcFirstLastPara="1" vertOverflow="ellipsis" vert="horz" wrap="square" anchor="ctr" anchorCtr="1"/>
                  <a:lstStyle/>
                  <a:p>
                    <a:pPr>
                      <a:defRPr sz="1000" b="0" i="0" u="none" strike="noStrike" kern="1200" baseline="0">
                        <a:ln>
                          <a:noFill/>
                        </a:ln>
                        <a:solidFill>
                          <a:sysClr val="windowText" lastClr="000000"/>
                        </a:solidFill>
                        <a:latin typeface="Times New Roman" panose="02020603050405020304" pitchFamily="18" charset="0"/>
                        <a:ea typeface="+mn-ea"/>
                        <a:cs typeface="Times New Roman" panose="02020603050405020304" pitchFamily="18" charset="0"/>
                      </a:defRPr>
                    </a:pPr>
                    <a:fld id="{D2806137-26D8-4FCF-829A-4CA959B7511B}" type="PERCENTAGE">
                      <a:rPr lang="en-US">
                        <a:solidFill>
                          <a:sysClr val="windowText" lastClr="000000"/>
                        </a:solidFill>
                      </a:rPr>
                      <a:pPr>
                        <a:defRPr>
                          <a:solidFill>
                            <a:sysClr val="windowText" lastClr="000000"/>
                          </a:solidFill>
                        </a:defRPr>
                      </a:pPr>
                      <a:t>[PERCENTAGE]</a:t>
                    </a:fld>
                    <a:endParaRPr lang="en-IN"/>
                  </a:p>
                </c:rich>
              </c:tx>
              <c:spPr>
                <a:noFill/>
                <a:ln>
                  <a:noFill/>
                </a:ln>
                <a:effectLst/>
              </c:spPr>
              <c:txPr>
                <a:bodyPr rot="0" spcFirstLastPara="1" vertOverflow="ellipsis" vert="horz" wrap="square" anchor="ctr" anchorCtr="1"/>
                <a:lstStyle/>
                <a:p>
                  <a:pPr>
                    <a:defRPr sz="1000" b="0" i="0" u="none" strike="noStrike" kern="1200" baseline="0">
                      <a:ln>
                        <a:noFill/>
                      </a:ln>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7C78-4A1B-9E2C-C6985C970015}"/>
                </c:ext>
              </c:extLst>
            </c:dLbl>
            <c:dLbl>
              <c:idx val="2"/>
              <c:layout>
                <c:manualLayout>
                  <c:x val="1.1808947141101034E-2"/>
                  <c:y val="1.329890581859084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7C78-4A1B-9E2C-C6985C970015}"/>
                </c:ext>
              </c:extLst>
            </c:dLbl>
            <c:dLbl>
              <c:idx val="3"/>
              <c:layout>
                <c:manualLayout>
                  <c:x val="5.1300281909205797E-2"/>
                  <c:y val="0.1336289817465998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C78-4A1B-9E2C-C6985C970015}"/>
                </c:ext>
              </c:extLst>
            </c:dLbl>
            <c:spPr>
              <a:noFill/>
              <a:ln>
                <a:noFill/>
              </a:ln>
              <a:effectLst/>
            </c:spPr>
            <c:txPr>
              <a:bodyPr rot="0" spcFirstLastPara="1" vertOverflow="ellipsis" vert="horz" wrap="square" anchor="ctr" anchorCtr="1"/>
              <a:lstStyle/>
              <a:p>
                <a:pPr>
                  <a:defRPr sz="10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0"/>
            <c:showCatName val="0"/>
            <c:showSerName val="0"/>
            <c:showPercent val="1"/>
            <c:showBubbleSize val="0"/>
            <c:showLeaderLines val="1"/>
            <c:leaderLines>
              <c:spPr>
                <a:ln w="9525">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Student</c:v>
                </c:pt>
                <c:pt idx="1">
                  <c:v>Employed</c:v>
                </c:pt>
                <c:pt idx="2">
                  <c:v>Self-employed</c:v>
                </c:pt>
                <c:pt idx="3">
                  <c:v>Others</c:v>
                </c:pt>
              </c:strCache>
            </c:strRef>
          </c:cat>
          <c:val>
            <c:numRef>
              <c:f>Sheet1!$B$2:$B$5</c:f>
              <c:numCache>
                <c:formatCode>0.00%</c:formatCode>
                <c:ptCount val="4"/>
                <c:pt idx="0">
                  <c:v>0.89900000000000002</c:v>
                </c:pt>
                <c:pt idx="1">
                  <c:v>5.0999999999999997E-2</c:v>
                </c:pt>
                <c:pt idx="2">
                  <c:v>3.4000000000000002E-2</c:v>
                </c:pt>
                <c:pt idx="3">
                  <c:v>1.7000000000000001E-2</c:v>
                </c:pt>
              </c:numCache>
            </c:numRef>
          </c:val>
          <c:extLst>
            <c:ext xmlns:c16="http://schemas.microsoft.com/office/drawing/2014/chart" uri="{C3380CC4-5D6E-409C-BE32-E72D297353CC}">
              <c16:uniqueId val="{00000000-7C78-4A1B-9E2C-C6985C97001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000">
          <a:ln>
            <a:noFill/>
          </a:ln>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26902929816699744"/>
          <c:y val="0.1297209723784527"/>
          <c:w val="0.49717196935748886"/>
          <c:h val="0.72800181227346583"/>
        </c:manualLayout>
      </c:layout>
      <c:pieChart>
        <c:varyColors val="1"/>
        <c:ser>
          <c:idx val="0"/>
          <c:order val="0"/>
          <c:tx>
            <c:strRef>
              <c:f>Sheet1!$B$1</c:f>
              <c:strCache>
                <c:ptCount val="1"/>
                <c:pt idx="0">
                  <c:v>59 Responses based on stream in %</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4-D3C8-437B-802F-85C34BF0DB8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D3C8-437B-802F-85C34BF0DB8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1-D3C8-437B-802F-85C34BF0DB80}"/>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2-D3C8-437B-802F-85C34BF0DB80}"/>
              </c:ext>
            </c:extLst>
          </c:dPt>
          <c:dLbls>
            <c:dLbl>
              <c:idx val="2"/>
              <c:layout>
                <c:manualLayout>
                  <c:x val="2.1034291445276656E-2"/>
                  <c:y val="4.088582677165352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3C8-437B-802F-85C34BF0DB80}"/>
                </c:ext>
              </c:extLst>
            </c:dLbl>
            <c:dLbl>
              <c:idx val="3"/>
              <c:layout>
                <c:manualLayout>
                  <c:x val="1.4181763864882744E-2"/>
                  <c:y val="3.006780402449693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3C8-437B-802F-85C34BF0DB80}"/>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Science</c:v>
                </c:pt>
                <c:pt idx="1">
                  <c:v>Commerce</c:v>
                </c:pt>
                <c:pt idx="2">
                  <c:v>Arts</c:v>
                </c:pt>
                <c:pt idx="3">
                  <c:v>Others</c:v>
                </c:pt>
              </c:strCache>
            </c:strRef>
          </c:cat>
          <c:val>
            <c:numRef>
              <c:f>Sheet1!$B$2:$B$5</c:f>
              <c:numCache>
                <c:formatCode>0.00%</c:formatCode>
                <c:ptCount val="4"/>
                <c:pt idx="0">
                  <c:v>6.8000000000000005E-2</c:v>
                </c:pt>
                <c:pt idx="1">
                  <c:v>0.86399999999999999</c:v>
                </c:pt>
                <c:pt idx="2">
                  <c:v>3.4000000000000002E-2</c:v>
                </c:pt>
                <c:pt idx="3">
                  <c:v>3.4000000000000002E-2</c:v>
                </c:pt>
              </c:numCache>
            </c:numRef>
          </c:val>
          <c:extLst>
            <c:ext xmlns:c16="http://schemas.microsoft.com/office/drawing/2014/chart" uri="{C3380CC4-5D6E-409C-BE32-E72D297353CC}">
              <c16:uniqueId val="{00000000-D3C8-437B-802F-85C34BF0DB8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tx>
            <c:strRef>
              <c:f>Sheet1!$B$1</c:f>
              <c:strCache>
                <c:ptCount val="1"/>
                <c:pt idx="0">
                  <c:v>59 Response based on qualification in %</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DD7C-434F-9374-6FD50B267ECB}"/>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DD7C-434F-9374-6FD50B267ECB}"/>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DD7C-434F-9374-6FD50B267ECB}"/>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DD7C-434F-9374-6FD50B267ECB}"/>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Under Graduate</c:v>
                </c:pt>
                <c:pt idx="1">
                  <c:v>Graduate</c:v>
                </c:pt>
                <c:pt idx="2">
                  <c:v>Post Graduate</c:v>
                </c:pt>
              </c:strCache>
            </c:strRef>
          </c:cat>
          <c:val>
            <c:numRef>
              <c:f>Sheet1!$B$2:$B$5</c:f>
              <c:numCache>
                <c:formatCode>0.00%</c:formatCode>
                <c:ptCount val="4"/>
                <c:pt idx="0">
                  <c:v>0.11899999999999999</c:v>
                </c:pt>
                <c:pt idx="1">
                  <c:v>0.47499999999999998</c:v>
                </c:pt>
                <c:pt idx="2">
                  <c:v>0.40699999999999997</c:v>
                </c:pt>
              </c:numCache>
            </c:numRef>
          </c:val>
          <c:extLst>
            <c:ext xmlns:c16="http://schemas.microsoft.com/office/drawing/2014/chart" uri="{C3380CC4-5D6E-409C-BE32-E72D297353CC}">
              <c16:uniqueId val="{00000000-26B1-4E99-B7F9-7DC4326FE7C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11024171495471277"/>
          <c:y val="0.90491699901148726"/>
          <c:w val="0.78756809988123466"/>
          <c:h val="7.343797934349115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just">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tx>
            <c:strRef>
              <c:f>Sheet1!$B$1</c:f>
              <c:strCache>
                <c:ptCount val="1"/>
                <c:pt idx="0">
                  <c:v>59 Responses based on age in %</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0-3081-42A1-8B53-693467CBA11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1-3081-42A1-8B53-693467CBA11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DDAF-4447-AAE2-3E23DB90185C}"/>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DDAF-4447-AAE2-3E23DB90185C}"/>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081-42A1-8B53-693467CBA110}"/>
                </c:ext>
              </c:extLst>
            </c:dLbl>
            <c:dLbl>
              <c:idx val="1"/>
              <c:layout>
                <c:manualLayout>
                  <c:x val="2.1790133376185121E-2"/>
                  <c:y val="0.1149105491340044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081-42A1-8B53-693467CBA110}"/>
                </c:ext>
              </c:extLst>
            </c:dLbl>
            <c:spPr>
              <a:noFill/>
              <a:ln>
                <a:noFill/>
              </a:ln>
              <a:effectLst/>
            </c:spPr>
            <c:txPr>
              <a:bodyPr rot="0" spcFirstLastPara="1" vertOverflow="ellipsis" vert="horz" wrap="square" anchor="ctr" anchorCtr="1"/>
              <a:lstStyle/>
              <a:p>
                <a:pPr algn="just">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4"/>
                <c:pt idx="0">
                  <c:v>18-25 Yr.</c:v>
                </c:pt>
                <c:pt idx="1">
                  <c:v>25-40 Yr.</c:v>
                </c:pt>
                <c:pt idx="2">
                  <c:v>40-60 Yr.</c:v>
                </c:pt>
                <c:pt idx="3">
                  <c:v>Above 60 Yr.</c:v>
                </c:pt>
              </c:strCache>
            </c:strRef>
          </c:cat>
          <c:val>
            <c:numRef>
              <c:f>Sheet1!$B$2:$B$5</c:f>
              <c:numCache>
                <c:formatCode>0.00%</c:formatCode>
                <c:ptCount val="4"/>
                <c:pt idx="0">
                  <c:v>0.96600000000000008</c:v>
                </c:pt>
                <c:pt idx="1">
                  <c:v>3.4000000000000002E-2</c:v>
                </c:pt>
                <c:pt idx="2">
                  <c:v>0</c:v>
                </c:pt>
                <c:pt idx="3">
                  <c:v>0</c:v>
                </c:pt>
              </c:numCache>
            </c:numRef>
          </c:val>
          <c:extLst>
            <c:ext xmlns:c16="http://schemas.microsoft.com/office/drawing/2014/chart" uri="{C3380CC4-5D6E-409C-BE32-E72D297353CC}">
              <c16:uniqueId val="{00000002-3081-42A1-8B53-693467CBA11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lgn="just">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Oil &amp; Gas Production &amp; Growth in India</a:t>
            </a:r>
          </a:p>
        </c:rich>
      </c:tx>
      <c:layout>
        <c:manualLayout>
          <c:xMode val="edge"/>
          <c:yMode val="edge"/>
          <c:x val="0.20244988565025862"/>
          <c:y val="2.2432343948549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tx>
            <c:strRef>
              <c:f>Sheet1!$B$1</c:f>
              <c:strCache>
                <c:ptCount val="1"/>
                <c:pt idx="0">
                  <c:v>Crude Oil Production in MMT</c:v>
                </c:pt>
              </c:strCache>
            </c:strRef>
          </c:tx>
          <c:spPr>
            <a:solidFill>
              <a:schemeClr val="accent2"/>
            </a:solidFill>
            <a:ln>
              <a:noFill/>
            </a:ln>
            <a:effectLst/>
          </c:spPr>
          <c:invertIfNegative val="0"/>
          <c:cat>
            <c:strRef>
              <c:f>Sheet1!$A$2:$A$11</c:f>
              <c:strCache>
                <c:ptCount val="10"/>
                <c:pt idx="0">
                  <c:v>2009-10</c:v>
                </c:pt>
                <c:pt idx="1">
                  <c:v>2010-11</c:v>
                </c:pt>
                <c:pt idx="2">
                  <c:v>2011-12</c:v>
                </c:pt>
                <c:pt idx="3">
                  <c:v>2012-13</c:v>
                </c:pt>
                <c:pt idx="4">
                  <c:v>2013-14</c:v>
                </c:pt>
                <c:pt idx="5">
                  <c:v>2014-15</c:v>
                </c:pt>
                <c:pt idx="6">
                  <c:v>2015-16</c:v>
                </c:pt>
                <c:pt idx="7">
                  <c:v>2016-17</c:v>
                </c:pt>
                <c:pt idx="8">
                  <c:v>2017-18</c:v>
                </c:pt>
                <c:pt idx="9">
                  <c:v>2018-19*</c:v>
                </c:pt>
              </c:strCache>
            </c:strRef>
          </c:cat>
          <c:val>
            <c:numRef>
              <c:f>Sheet1!$B$2:$B$12</c:f>
              <c:numCache>
                <c:formatCode>General</c:formatCode>
                <c:ptCount val="10"/>
                <c:pt idx="0">
                  <c:v>33.69</c:v>
                </c:pt>
                <c:pt idx="1">
                  <c:v>37.68</c:v>
                </c:pt>
                <c:pt idx="2">
                  <c:v>38.090000000000003</c:v>
                </c:pt>
                <c:pt idx="3">
                  <c:v>37.86</c:v>
                </c:pt>
                <c:pt idx="4">
                  <c:v>37.79</c:v>
                </c:pt>
                <c:pt idx="5">
                  <c:v>37.46</c:v>
                </c:pt>
                <c:pt idx="6">
                  <c:v>36.94</c:v>
                </c:pt>
                <c:pt idx="7">
                  <c:v>36.01</c:v>
                </c:pt>
                <c:pt idx="8">
                  <c:v>35.68</c:v>
                </c:pt>
                <c:pt idx="9">
                  <c:v>37.01</c:v>
                </c:pt>
              </c:numCache>
            </c:numRef>
          </c:val>
          <c:extLst>
            <c:ext xmlns:c16="http://schemas.microsoft.com/office/drawing/2014/chart" uri="{C3380CC4-5D6E-409C-BE32-E72D297353CC}">
              <c16:uniqueId val="{00000000-C835-45FC-9E82-695F89AD156F}"/>
            </c:ext>
          </c:extLst>
        </c:ser>
        <c:ser>
          <c:idx val="3"/>
          <c:order val="3"/>
          <c:tx>
            <c:strRef>
              <c:f>Sheet1!$D$1</c:f>
              <c:strCache>
                <c:ptCount val="1"/>
                <c:pt idx="0">
                  <c:v>Natural Gas Production</c:v>
                </c:pt>
              </c:strCache>
            </c:strRef>
          </c:tx>
          <c:spPr>
            <a:solidFill>
              <a:schemeClr val="accent4"/>
            </a:solidFill>
            <a:ln>
              <a:noFill/>
            </a:ln>
            <a:effectLst/>
          </c:spPr>
          <c:invertIfNegative val="0"/>
          <c:cat>
            <c:strRef>
              <c:f>Sheet1!$A$2:$A$11</c:f>
              <c:strCache>
                <c:ptCount val="10"/>
                <c:pt idx="0">
                  <c:v>2009-10</c:v>
                </c:pt>
                <c:pt idx="1">
                  <c:v>2010-11</c:v>
                </c:pt>
                <c:pt idx="2">
                  <c:v>2011-12</c:v>
                </c:pt>
                <c:pt idx="3">
                  <c:v>2012-13</c:v>
                </c:pt>
                <c:pt idx="4">
                  <c:v>2013-14</c:v>
                </c:pt>
                <c:pt idx="5">
                  <c:v>2014-15</c:v>
                </c:pt>
                <c:pt idx="6">
                  <c:v>2015-16</c:v>
                </c:pt>
                <c:pt idx="7">
                  <c:v>2016-17</c:v>
                </c:pt>
                <c:pt idx="8">
                  <c:v>2017-18</c:v>
                </c:pt>
                <c:pt idx="9">
                  <c:v>2018-19*</c:v>
                </c:pt>
              </c:strCache>
            </c:strRef>
          </c:cat>
          <c:val>
            <c:numRef>
              <c:f>Sheet1!$D$2:$D$12</c:f>
              <c:numCache>
                <c:formatCode>General</c:formatCode>
                <c:ptCount val="10"/>
                <c:pt idx="0">
                  <c:v>47.49</c:v>
                </c:pt>
                <c:pt idx="1">
                  <c:v>52.21</c:v>
                </c:pt>
                <c:pt idx="2">
                  <c:v>47.55</c:v>
                </c:pt>
                <c:pt idx="3">
                  <c:v>40.69</c:v>
                </c:pt>
                <c:pt idx="4">
                  <c:v>35.409999999999997</c:v>
                </c:pt>
                <c:pt idx="5">
                  <c:v>33.659999999999997</c:v>
                </c:pt>
                <c:pt idx="6">
                  <c:v>32.25</c:v>
                </c:pt>
                <c:pt idx="7">
                  <c:v>31.9</c:v>
                </c:pt>
                <c:pt idx="8">
                  <c:v>32.65</c:v>
                </c:pt>
                <c:pt idx="9">
                  <c:v>35.6</c:v>
                </c:pt>
              </c:numCache>
            </c:numRef>
          </c:val>
          <c:extLst>
            <c:ext xmlns:c16="http://schemas.microsoft.com/office/drawing/2014/chart" uri="{C3380CC4-5D6E-409C-BE32-E72D297353CC}">
              <c16:uniqueId val="{00000001-C835-45FC-9E82-695F89AD156F}"/>
            </c:ext>
          </c:extLst>
        </c:ser>
        <c:dLbls>
          <c:showLegendKey val="0"/>
          <c:showVal val="0"/>
          <c:showCatName val="0"/>
          <c:showSerName val="0"/>
          <c:showPercent val="0"/>
          <c:showBubbleSize val="0"/>
        </c:dLbls>
        <c:gapWidth val="219"/>
        <c:axId val="65311104"/>
        <c:axId val="65314176"/>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Year</c:v>
                      </c:pt>
                    </c:strCache>
                  </c:strRef>
                </c:tx>
                <c:spPr>
                  <a:solidFill>
                    <a:schemeClr val="accent1"/>
                  </a:solidFill>
                  <a:ln>
                    <a:noFill/>
                  </a:ln>
                  <a:effectLst/>
                </c:spPr>
                <c:invertIfNegative val="0"/>
                <c:cat>
                  <c:strRef>
                    <c:extLst>
                      <c:ext uri="{02D57815-91ED-43cb-92C2-25804820EDAC}">
                        <c15:formulaRef>
                          <c15:sqref>Sheet1!$A$2:$A$11</c15:sqref>
                        </c15:formulaRef>
                      </c:ext>
                    </c:extLst>
                    <c:strCache>
                      <c:ptCount val="10"/>
                      <c:pt idx="0">
                        <c:v>2009-10</c:v>
                      </c:pt>
                      <c:pt idx="1">
                        <c:v>2010-11</c:v>
                      </c:pt>
                      <c:pt idx="2">
                        <c:v>2011-12</c:v>
                      </c:pt>
                      <c:pt idx="3">
                        <c:v>2012-13</c:v>
                      </c:pt>
                      <c:pt idx="4">
                        <c:v>2013-14</c:v>
                      </c:pt>
                      <c:pt idx="5">
                        <c:v>2014-15</c:v>
                      </c:pt>
                      <c:pt idx="6">
                        <c:v>2015-16</c:v>
                      </c:pt>
                      <c:pt idx="7">
                        <c:v>2016-17</c:v>
                      </c:pt>
                      <c:pt idx="8">
                        <c:v>2017-18</c:v>
                      </c:pt>
                      <c:pt idx="9">
                        <c:v>2018-19*</c:v>
                      </c:pt>
                    </c:strCache>
                  </c:strRef>
                </c:cat>
                <c:val>
                  <c:numRef>
                    <c:extLst>
                      <c:ext uri="{02D57815-91ED-43cb-92C2-25804820EDAC}">
                        <c15:formulaRef>
                          <c15:sqref>Sheet1!$A$2:$A$12</c15:sqref>
                        </c15:formulaRef>
                      </c:ext>
                    </c:extLst>
                    <c:numCache>
                      <c:formatCode>General</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4-C835-45FC-9E82-695F89AD156F}"/>
                  </c:ext>
                </c:extLst>
              </c15:ser>
            </c15:filteredBarSeries>
          </c:ext>
        </c:extLst>
      </c:barChart>
      <c:lineChart>
        <c:grouping val="standard"/>
        <c:varyColors val="0"/>
        <c:ser>
          <c:idx val="2"/>
          <c:order val="2"/>
          <c:tx>
            <c:strRef>
              <c:f>Sheet1!$C$1</c:f>
              <c:strCache>
                <c:ptCount val="1"/>
                <c:pt idx="0">
                  <c:v>% Growth in Crude Oil Production in BCM</c:v>
                </c:pt>
              </c:strCache>
            </c:strRef>
          </c:tx>
          <c:spPr>
            <a:ln w="28575" cap="rnd">
              <a:solidFill>
                <a:schemeClr val="accent3"/>
              </a:solidFill>
              <a:round/>
            </a:ln>
            <a:effectLst/>
          </c:spPr>
          <c:marker>
            <c:symbol val="none"/>
          </c:marker>
          <c:cat>
            <c:strLit>
              <c:ptCount val="10"/>
              <c:pt idx="0">
                <c:v>1.00</c:v>
              </c:pt>
              <c:pt idx="1">
                <c:v>2.00</c:v>
              </c:pt>
              <c:pt idx="2">
                <c:v>3.00</c:v>
              </c:pt>
              <c:pt idx="3">
                <c:v>4.00</c:v>
              </c:pt>
              <c:pt idx="4">
                <c:v>5.00</c:v>
              </c:pt>
              <c:pt idx="5">
                <c:v>6.00</c:v>
              </c:pt>
              <c:pt idx="6">
                <c:v>7.00</c:v>
              </c:pt>
              <c:pt idx="7">
                <c:v>8.00</c:v>
              </c:pt>
              <c:pt idx="8">
                <c:v>9.00</c:v>
              </c:pt>
              <c:pt idx="9">
                <c:v>10.00</c:v>
              </c:pt>
            </c:strLit>
          </c:cat>
          <c:val>
            <c:numRef>
              <c:f>Sheet1!$C$2:$C$12</c:f>
              <c:numCache>
                <c:formatCode>0.00</c:formatCode>
                <c:ptCount val="10"/>
                <c:pt idx="0">
                  <c:v>-0.19</c:v>
                </c:pt>
                <c:pt idx="1">
                  <c:v>11.843276936776499</c:v>
                </c:pt>
                <c:pt idx="2">
                  <c:v>1.0881104033970399</c:v>
                </c:pt>
                <c:pt idx="3">
                  <c:v>-0.60383302704122799</c:v>
                </c:pt>
                <c:pt idx="4">
                  <c:v>-0.18489170628631901</c:v>
                </c:pt>
                <c:pt idx="5">
                  <c:v>-0.87324689071182404</c:v>
                </c:pt>
                <c:pt idx="6">
                  <c:v>-1.3881473571809999</c:v>
                </c:pt>
                <c:pt idx="7">
                  <c:v>-2.5175961017866801</c:v>
                </c:pt>
                <c:pt idx="8">
                  <c:v>-0.91641210774784099</c:v>
                </c:pt>
                <c:pt idx="9">
                  <c:v>3.7275784753363199</c:v>
                </c:pt>
              </c:numCache>
            </c:numRef>
          </c:val>
          <c:smooth val="0"/>
          <c:extLst>
            <c:ext xmlns:c16="http://schemas.microsoft.com/office/drawing/2014/chart" uri="{C3380CC4-5D6E-409C-BE32-E72D297353CC}">
              <c16:uniqueId val="{00000002-C835-45FC-9E82-695F89AD156F}"/>
            </c:ext>
          </c:extLst>
        </c:ser>
        <c:ser>
          <c:idx val="4"/>
          <c:order val="4"/>
          <c:tx>
            <c:strRef>
              <c:f>Sheet1!$E$1</c:f>
              <c:strCache>
                <c:ptCount val="1"/>
                <c:pt idx="0">
                  <c:v>% Growth in Natural Gas Production</c:v>
                </c:pt>
              </c:strCache>
            </c:strRef>
          </c:tx>
          <c:spPr>
            <a:ln w="28575" cap="rnd">
              <a:solidFill>
                <a:schemeClr val="accent5"/>
              </a:solidFill>
              <a:round/>
            </a:ln>
            <a:effectLst/>
          </c:spPr>
          <c:marker>
            <c:symbol val="none"/>
          </c:marker>
          <c:cat>
            <c:strLit>
              <c:ptCount val="10"/>
              <c:pt idx="0">
                <c:v>1</c:v>
              </c:pt>
              <c:pt idx="1">
                <c:v>2</c:v>
              </c:pt>
              <c:pt idx="2">
                <c:v>3</c:v>
              </c:pt>
              <c:pt idx="3">
                <c:v>4</c:v>
              </c:pt>
              <c:pt idx="4">
                <c:v>5</c:v>
              </c:pt>
              <c:pt idx="5">
                <c:v>6</c:v>
              </c:pt>
              <c:pt idx="6">
                <c:v>7</c:v>
              </c:pt>
              <c:pt idx="7">
                <c:v>8</c:v>
              </c:pt>
              <c:pt idx="8">
                <c:v>9</c:v>
              </c:pt>
              <c:pt idx="9">
                <c:v>10</c:v>
              </c:pt>
            </c:strLit>
          </c:cat>
          <c:val>
            <c:numRef>
              <c:f>Sheet1!$E$2:$E$12</c:f>
              <c:numCache>
                <c:formatCode>General</c:formatCode>
                <c:ptCount val="10"/>
                <c:pt idx="0">
                  <c:v>44.61</c:v>
                </c:pt>
                <c:pt idx="1">
                  <c:v>9.9389345125289701</c:v>
                </c:pt>
                <c:pt idx="2">
                  <c:v>-8.9254932005363194</c:v>
                </c:pt>
                <c:pt idx="3">
                  <c:v>-14.426919032597301</c:v>
                </c:pt>
                <c:pt idx="4">
                  <c:v>-12.976161218972701</c:v>
                </c:pt>
                <c:pt idx="5">
                  <c:v>-4.94210674950578</c:v>
                </c:pt>
                <c:pt idx="6">
                  <c:v>-4.1889483065953499</c:v>
                </c:pt>
                <c:pt idx="7">
                  <c:v>-1.08527131782946</c:v>
                </c:pt>
                <c:pt idx="8">
                  <c:v>2.3510971786833799</c:v>
                </c:pt>
                <c:pt idx="9">
                  <c:v>9.0352220520673896</c:v>
                </c:pt>
              </c:numCache>
            </c:numRef>
          </c:val>
          <c:smooth val="0"/>
          <c:extLst>
            <c:ext xmlns:c16="http://schemas.microsoft.com/office/drawing/2014/chart" uri="{C3380CC4-5D6E-409C-BE32-E72D297353CC}">
              <c16:uniqueId val="{00000003-C835-45FC-9E82-695F89AD156F}"/>
            </c:ext>
          </c:extLst>
        </c:ser>
        <c:dLbls>
          <c:showLegendKey val="0"/>
          <c:showVal val="0"/>
          <c:showCatName val="0"/>
          <c:showSerName val="0"/>
          <c:showPercent val="0"/>
          <c:showBubbleSize val="0"/>
        </c:dLbls>
        <c:marker val="1"/>
        <c:smooth val="0"/>
        <c:axId val="72041600"/>
        <c:axId val="65350656"/>
      </c:lineChart>
      <c:catAx>
        <c:axId val="6531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Year</a:t>
                </a:r>
              </a:p>
            </c:rich>
          </c:tx>
          <c:layout>
            <c:manualLayout>
              <c:xMode val="edge"/>
              <c:yMode val="edge"/>
              <c:x val="0.40047094807593497"/>
              <c:y val="0.660029227419127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5314176"/>
        <c:crosses val="autoZero"/>
        <c:auto val="1"/>
        <c:lblAlgn val="ctr"/>
        <c:lblOffset val="100"/>
        <c:noMultiLvlLbl val="0"/>
      </c:catAx>
      <c:valAx>
        <c:axId val="65314176"/>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Production of Crude Oil &amp; Natural Gas</a:t>
                </a:r>
              </a:p>
            </c:rich>
          </c:tx>
          <c:layout>
            <c:manualLayout>
              <c:xMode val="edge"/>
              <c:yMode val="edge"/>
              <c:x val="1.5151515151515152E-2"/>
              <c:y val="8.486286919831224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5311104"/>
        <c:crosses val="autoZero"/>
        <c:crossBetween val="between"/>
      </c:valAx>
      <c:valAx>
        <c:axId val="653506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 Growth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2041600"/>
        <c:crosses val="max"/>
        <c:crossBetween val="between"/>
      </c:valAx>
      <c:catAx>
        <c:axId val="72041600"/>
        <c:scaling>
          <c:orientation val="minMax"/>
        </c:scaling>
        <c:delete val="1"/>
        <c:axPos val="b"/>
        <c:numFmt formatCode="General" sourceLinked="1"/>
        <c:majorTickMark val="none"/>
        <c:minorTickMark val="none"/>
        <c:tickLblPos val="none"/>
        <c:crossAx val="65350656"/>
        <c:crosses val="autoZero"/>
        <c:auto val="1"/>
        <c:lblAlgn val="ctr"/>
        <c:lblOffset val="100"/>
        <c:noMultiLvlLbl val="0"/>
      </c:catAx>
      <c:spPr>
        <a:noFill/>
        <a:ln>
          <a:noFill/>
        </a:ln>
        <a:effectLst/>
      </c:spPr>
    </c:plotArea>
    <c:legend>
      <c:legendPos val="b"/>
      <c:layout>
        <c:manualLayout>
          <c:xMode val="edge"/>
          <c:yMode val="edge"/>
          <c:x val="3.5282651072124763E-2"/>
          <c:y val="0.76997456087219862"/>
          <c:w val="0.93314780279658027"/>
          <c:h val="0.204096827005535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t>Refinery  Throughput</a:t>
            </a:r>
          </a:p>
        </c:rich>
      </c:tx>
      <c:layout>
        <c:manualLayout>
          <c:xMode val="edge"/>
          <c:yMode val="edge"/>
          <c:x val="0.32313989385688024"/>
          <c:y val="3.12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9387843575208394"/>
          <c:y val="0.13357108892058966"/>
          <c:w val="0.73849243934274822"/>
          <c:h val="0.58395954785252413"/>
        </c:manualLayout>
      </c:layout>
      <c:barChart>
        <c:barDir val="col"/>
        <c:grouping val="stacked"/>
        <c:varyColors val="0"/>
        <c:ser>
          <c:idx val="0"/>
          <c:order val="0"/>
          <c:tx>
            <c:strRef>
              <c:f>Sheet1!$B$1</c:f>
              <c:strCache>
                <c:ptCount val="1"/>
                <c:pt idx="0">
                  <c:v>Indigeneous</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Sheet1!$B$2:$B$4</c:f>
              <c:numCache>
                <c:formatCode>0.00%</c:formatCode>
                <c:ptCount val="3"/>
                <c:pt idx="0">
                  <c:v>4.9700000000000001E-2</c:v>
                </c:pt>
                <c:pt idx="1">
                  <c:v>4.7399999999999998E-2</c:v>
                </c:pt>
                <c:pt idx="2" formatCode="0%">
                  <c:v>4.87E-2</c:v>
                </c:pt>
              </c:numCache>
            </c:numRef>
          </c:val>
          <c:extLst>
            <c:ext xmlns:c16="http://schemas.microsoft.com/office/drawing/2014/chart" uri="{C3380CC4-5D6E-409C-BE32-E72D297353CC}">
              <c16:uniqueId val="{00000000-BF5B-4AF0-8265-1293A175359B}"/>
            </c:ext>
          </c:extLst>
        </c:ser>
        <c:ser>
          <c:idx val="1"/>
          <c:order val="1"/>
          <c:tx>
            <c:strRef>
              <c:f>Sheet1!$C$1</c:f>
              <c:strCache>
                <c:ptCount val="1"/>
                <c:pt idx="0">
                  <c:v>Imported</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Sheet1!$C$2:$C$4</c:f>
              <c:numCache>
                <c:formatCode>0.00%</c:formatCode>
                <c:ptCount val="3"/>
                <c:pt idx="0">
                  <c:v>0.20419999999999999</c:v>
                </c:pt>
                <c:pt idx="1">
                  <c:v>0.23799999999999999</c:v>
                </c:pt>
                <c:pt idx="2">
                  <c:v>0.26140000000000002</c:v>
                </c:pt>
              </c:numCache>
            </c:numRef>
          </c:val>
          <c:extLst>
            <c:ext xmlns:c16="http://schemas.microsoft.com/office/drawing/2014/chart" uri="{C3380CC4-5D6E-409C-BE32-E72D297353CC}">
              <c16:uniqueId val="{00000001-BF5B-4AF0-8265-1293A175359B}"/>
            </c:ext>
          </c:extLst>
        </c:ser>
        <c:dLbls>
          <c:dLblPos val="ctr"/>
          <c:showLegendKey val="0"/>
          <c:showVal val="1"/>
          <c:showCatName val="0"/>
          <c:showSerName val="0"/>
          <c:showPercent val="0"/>
          <c:showBubbleSize val="0"/>
        </c:dLbls>
        <c:gapWidth val="150"/>
        <c:overlap val="100"/>
        <c:axId val="467009592"/>
        <c:axId val="467010232"/>
      </c:barChart>
      <c:catAx>
        <c:axId val="467009592"/>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Years</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67010232"/>
        <c:crosses val="autoZero"/>
        <c:auto val="1"/>
        <c:lblAlgn val="ctr"/>
        <c:lblOffset val="100"/>
        <c:noMultiLvlLbl val="0"/>
      </c:catAx>
      <c:valAx>
        <c:axId val="4670102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Indigeneous/Imported(Million Metric Tonnes)</a:t>
                </a:r>
              </a:p>
            </c:rich>
          </c:tx>
          <c:layout>
            <c:manualLayout>
              <c:xMode val="edge"/>
              <c:yMode val="edge"/>
              <c:x val="4.8810418521473359E-2"/>
              <c:y val="9.0775098425196862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67009592"/>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1"/>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16705111750898979"/>
          <c:y val="0.91446399278215218"/>
          <c:w val="0.66833792650918633"/>
          <c:h val="6.564899786956017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IN"/>
              <a:t> Crude Oil Import  </a:t>
            </a:r>
          </a:p>
        </c:rich>
      </c:tx>
      <c:layout>
        <c:manualLayout>
          <c:xMode val="edge"/>
          <c:yMode val="edge"/>
          <c:x val="1.8204382060938037E-2"/>
          <c:y val="3.6959665756066212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239-44EC-B632-31AFB42F188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239-44EC-B632-31AFB42F188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239-44EC-B632-31AFB42F188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239-44EC-B632-31AFB42F188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239-44EC-B632-31AFB42F188C}"/>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5239-44EC-B632-31AFB42F188C}"/>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5239-44EC-B632-31AFB42F188C}"/>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5239-44EC-B632-31AFB42F188C}"/>
              </c:ext>
            </c:extLst>
          </c:dPt>
          <c:dLbls>
            <c:spPr>
              <a:solidFill>
                <a:sysClr val="windowText" lastClr="000000">
                  <a:lumMod val="75000"/>
                  <a:lumOff val="25000"/>
                </a:sysClr>
              </a:solid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lgn="just">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0"/>
            <c:showCatName val="1"/>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'[Chart in Microsoft Word]Sheet1'!$A$1:$A$8</c:f>
              <c:strCache>
                <c:ptCount val="8"/>
                <c:pt idx="0">
                  <c:v>Middle East</c:v>
                </c:pt>
                <c:pt idx="1">
                  <c:v>Africa</c:v>
                </c:pt>
                <c:pt idx="2">
                  <c:v>Asia</c:v>
                </c:pt>
                <c:pt idx="3">
                  <c:v>South America</c:v>
                </c:pt>
                <c:pt idx="4">
                  <c:v>Eurasia</c:v>
                </c:pt>
                <c:pt idx="5">
                  <c:v>North America</c:v>
                </c:pt>
                <c:pt idx="6">
                  <c:v>Europe</c:v>
                </c:pt>
                <c:pt idx="7">
                  <c:v>Australia</c:v>
                </c:pt>
              </c:strCache>
            </c:strRef>
          </c:cat>
          <c:val>
            <c:numRef>
              <c:f>'[Chart in Microsoft Word]Sheet1'!$B$1:$B$8</c:f>
              <c:numCache>
                <c:formatCode>General</c:formatCode>
                <c:ptCount val="8"/>
                <c:pt idx="0">
                  <c:v>63.06</c:v>
                </c:pt>
                <c:pt idx="1">
                  <c:v>14.8</c:v>
                </c:pt>
                <c:pt idx="2">
                  <c:v>2</c:v>
                </c:pt>
                <c:pt idx="3">
                  <c:v>10</c:v>
                </c:pt>
                <c:pt idx="4">
                  <c:v>2.4</c:v>
                </c:pt>
                <c:pt idx="5">
                  <c:v>7.5</c:v>
                </c:pt>
                <c:pt idx="6">
                  <c:v>0.2</c:v>
                </c:pt>
                <c:pt idx="7">
                  <c:v>0.04</c:v>
                </c:pt>
              </c:numCache>
            </c:numRef>
          </c:val>
          <c:extLst>
            <c:ext xmlns:c16="http://schemas.microsoft.com/office/drawing/2014/chart" uri="{C3380CC4-5D6E-409C-BE32-E72D297353CC}">
              <c16:uniqueId val="{00000010-5239-44EC-B632-31AFB42F188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1"/>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IN" sz="1400"/>
              <a:t>Shareholding of 2018-19</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tx>
            <c:strRef>
              <c:f>Sheet1!$B$1</c:f>
              <c:strCache>
                <c:ptCount val="1"/>
                <c:pt idx="0">
                  <c:v>shareholding pattern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7E9-4737-A810-48A9C5C6938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7E9-4737-A810-48A9C5C6938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7E9-4737-A810-48A9C5C6938B}"/>
              </c:ext>
            </c:extLst>
          </c:dPt>
          <c:dLbls>
            <c:dLbl>
              <c:idx val="0"/>
              <c:tx>
                <c:rich>
                  <a:bodyPr/>
                  <a:lstStyle/>
                  <a:p>
                    <a:fld id="{1BB7B84E-D36B-46E6-A99A-286F05E2C562}" type="VALUE">
                      <a:rPr lang="en-US"/>
                      <a:pPr/>
                      <a:t>[VALUE]</a:t>
                    </a:fld>
                    <a:endParaRPr lang="en-IN"/>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7E9-4737-A810-48A9C5C6938B}"/>
                </c:ext>
              </c:extLst>
            </c:dLbl>
            <c:dLbl>
              <c:idx val="1"/>
              <c:tx>
                <c:rich>
                  <a:bodyPr/>
                  <a:lstStyle/>
                  <a:p>
                    <a:fld id="{6E1C9C72-ED2A-447D-98D7-A2D2ABBF9931}" type="VALUE">
                      <a:rPr lang="en-US"/>
                      <a:pPr/>
                      <a:t>[VALUE]</a:t>
                    </a:fld>
                    <a:endParaRPr lang="en-IN"/>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7E9-4737-A810-48A9C5C6938B}"/>
                </c:ext>
              </c:extLst>
            </c:dLbl>
            <c:dLbl>
              <c:idx val="2"/>
              <c:tx>
                <c:rich>
                  <a:bodyPr/>
                  <a:lstStyle/>
                  <a:p>
                    <a:fld id="{E574C21D-20B0-478D-AF0A-A7ED33F11D30}" type="VALUE">
                      <a:rPr lang="en-US"/>
                      <a:pPr/>
                      <a:t>[VALUE]</a:t>
                    </a:fld>
                    <a:endParaRPr lang="en-IN"/>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7E9-4737-A810-48A9C5C6938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Promoters</c:v>
                </c:pt>
                <c:pt idx="1">
                  <c:v>Public Shareholding</c:v>
                </c:pt>
                <c:pt idx="2">
                  <c:v>Institutions</c:v>
                </c:pt>
              </c:strCache>
            </c:strRef>
          </c:cat>
          <c:val>
            <c:numRef>
              <c:f>Sheet1!$B$2:$B$4</c:f>
              <c:numCache>
                <c:formatCode>0.00%</c:formatCode>
                <c:ptCount val="3"/>
                <c:pt idx="0">
                  <c:v>0.61609999999999998</c:v>
                </c:pt>
                <c:pt idx="1">
                  <c:v>0.2223</c:v>
                </c:pt>
                <c:pt idx="2">
                  <c:v>0.16159999999999999</c:v>
                </c:pt>
              </c:numCache>
            </c:numRef>
          </c:val>
          <c:extLst>
            <c:ext xmlns:c16="http://schemas.microsoft.com/office/drawing/2014/chart" uri="{C3380CC4-5D6E-409C-BE32-E72D297353CC}">
              <c16:uniqueId val="{00000006-07E9-4737-A810-48A9C5C6938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4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400">
                <a:solidFill>
                  <a:schemeClr val="tx1"/>
                </a:solidFill>
              </a:rPr>
              <a:t>Revenue(in Crores)</a:t>
            </a:r>
          </a:p>
        </c:rich>
      </c:tx>
      <c:layout>
        <c:manualLayout>
          <c:xMode val="edge"/>
          <c:yMode val="edge"/>
          <c:x val="0.34722268477769591"/>
          <c:y val="2.8067905160879966E-2"/>
        </c:manualLayout>
      </c:layout>
      <c:overlay val="0"/>
      <c:spPr>
        <a:noFill/>
        <a:ln>
          <a:noFill/>
        </a:ln>
        <a:effectLst/>
      </c:spPr>
      <c:txPr>
        <a:bodyPr rot="0" spcFirstLastPara="1" vertOverflow="ellipsis" vert="horz" wrap="square" anchor="ctr" anchorCtr="1"/>
        <a:lstStyle/>
        <a:p>
          <a:pPr algn="just">
            <a:defRPr sz="14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3964007704165185"/>
          <c:y val="7.8087814695808777E-2"/>
          <c:w val="0.74561562832168915"/>
          <c:h val="0.67876634535032898"/>
        </c:manualLayout>
      </c:layout>
      <c:barChart>
        <c:barDir val="col"/>
        <c:grouping val="stacked"/>
        <c:varyColors val="0"/>
        <c:ser>
          <c:idx val="0"/>
          <c:order val="0"/>
          <c:tx>
            <c:strRef>
              <c:f>Sheet1!$B$1</c:f>
              <c:strCache>
                <c:ptCount val="1"/>
                <c:pt idx="0">
                  <c:v>Crude Oil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2015-16</c:v>
                </c:pt>
                <c:pt idx="1">
                  <c:v>2016-17</c:v>
                </c:pt>
                <c:pt idx="2">
                  <c:v>2017-18</c:v>
                </c:pt>
              </c:strCache>
            </c:strRef>
          </c:cat>
          <c:val>
            <c:numRef>
              <c:f>Sheet1!$B$2:$B$4</c:f>
              <c:numCache>
                <c:formatCode>General</c:formatCode>
                <c:ptCount val="3"/>
                <c:pt idx="0">
                  <c:v>6794.74</c:v>
                </c:pt>
                <c:pt idx="1">
                  <c:v>7303.09</c:v>
                </c:pt>
                <c:pt idx="2">
                  <c:v>8467.01</c:v>
                </c:pt>
              </c:numCache>
            </c:numRef>
          </c:val>
          <c:extLst>
            <c:ext xmlns:c16="http://schemas.microsoft.com/office/drawing/2014/chart" uri="{C3380CC4-5D6E-409C-BE32-E72D297353CC}">
              <c16:uniqueId val="{00000000-BBBE-4465-A4AB-19E82CEE2E80}"/>
            </c:ext>
          </c:extLst>
        </c:ser>
        <c:ser>
          <c:idx val="1"/>
          <c:order val="1"/>
          <c:tx>
            <c:strRef>
              <c:f>Sheet1!$C$1</c:f>
              <c:strCache>
                <c:ptCount val="1"/>
                <c:pt idx="0">
                  <c:v>Natural gas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2015-16</c:v>
                </c:pt>
                <c:pt idx="1">
                  <c:v>2016-17</c:v>
                </c:pt>
                <c:pt idx="2">
                  <c:v>2017-18</c:v>
                </c:pt>
              </c:strCache>
            </c:strRef>
          </c:cat>
          <c:val>
            <c:numRef>
              <c:f>Sheet1!$C$2:$C$4</c:f>
              <c:numCache>
                <c:formatCode>General</c:formatCode>
                <c:ptCount val="3"/>
                <c:pt idx="0">
                  <c:v>1813.24</c:v>
                </c:pt>
                <c:pt idx="1">
                  <c:v>1334.81</c:v>
                </c:pt>
                <c:pt idx="2">
                  <c:v>1215.78</c:v>
                </c:pt>
              </c:numCache>
            </c:numRef>
          </c:val>
          <c:extLst>
            <c:ext xmlns:c16="http://schemas.microsoft.com/office/drawing/2014/chart" uri="{C3380CC4-5D6E-409C-BE32-E72D297353CC}">
              <c16:uniqueId val="{00000001-BBBE-4465-A4AB-19E82CEE2E80}"/>
            </c:ext>
          </c:extLst>
        </c:ser>
        <c:ser>
          <c:idx val="2"/>
          <c:order val="2"/>
          <c:tx>
            <c:strRef>
              <c:f>Sheet1!$D$1</c:f>
              <c:strCache>
                <c:ptCount val="1"/>
                <c:pt idx="0">
                  <c:v>L.P.G</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dLbl>
              <c:idx val="0"/>
              <c:layout>
                <c:manualLayout>
                  <c:x val="0"/>
                  <c:y val="-2.978088741692808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BBE-4465-A4AB-19E82CEE2E80}"/>
                </c:ext>
              </c:extLst>
            </c:dLbl>
            <c:dLbl>
              <c:idx val="1"/>
              <c:layout>
                <c:manualLayout>
                  <c:x val="-2.3946360153257584E-3"/>
                  <c:y val="-2.9895366218236172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BBE-4465-A4AB-19E82CEE2E80}"/>
                </c:ext>
              </c:extLst>
            </c:dLbl>
            <c:dLbl>
              <c:idx val="2"/>
              <c:layout>
                <c:manualLayout>
                  <c:x val="-8.7802306262206842E-17"/>
                  <c:y val="-2.2421524663677129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BBE-4465-A4AB-19E82CEE2E80}"/>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2015-16</c:v>
                </c:pt>
                <c:pt idx="1">
                  <c:v>2016-17</c:v>
                </c:pt>
                <c:pt idx="2">
                  <c:v>2017-18</c:v>
                </c:pt>
              </c:strCache>
            </c:strRef>
          </c:cat>
          <c:val>
            <c:numRef>
              <c:f>Sheet1!$D$2:$D$4</c:f>
              <c:numCache>
                <c:formatCode>General</c:formatCode>
                <c:ptCount val="3"/>
                <c:pt idx="0">
                  <c:v>129</c:v>
                </c:pt>
                <c:pt idx="1">
                  <c:v>103.34</c:v>
                </c:pt>
                <c:pt idx="2">
                  <c:v>120.88</c:v>
                </c:pt>
              </c:numCache>
            </c:numRef>
          </c:val>
          <c:extLst>
            <c:ext xmlns:c16="http://schemas.microsoft.com/office/drawing/2014/chart" uri="{C3380CC4-5D6E-409C-BE32-E72D297353CC}">
              <c16:uniqueId val="{00000002-BBBE-4465-A4AB-19E82CEE2E80}"/>
            </c:ext>
          </c:extLst>
        </c:ser>
        <c:dLbls>
          <c:showLegendKey val="0"/>
          <c:showVal val="0"/>
          <c:showCatName val="0"/>
          <c:showSerName val="0"/>
          <c:showPercent val="0"/>
          <c:showBubbleSize val="0"/>
        </c:dLbls>
        <c:gapWidth val="150"/>
        <c:overlap val="100"/>
        <c:axId val="509908432"/>
        <c:axId val="509906832"/>
        <c:extLst>
          <c:ext xmlns:c15="http://schemas.microsoft.com/office/drawing/2012/chart" uri="{02D57815-91ED-43cb-92C2-25804820EDAC}">
            <c15:filteredBarSeries>
              <c15:ser>
                <c:idx val="3"/>
                <c:order val="3"/>
                <c:tx>
                  <c:strRef>
                    <c:extLst>
                      <c:ext uri="{02D57815-91ED-43cb-92C2-25804820EDAC}">
                        <c15:formulaRef>
                          <c15:sqref>Sheet1!#REF!</c15:sqref>
                        </c15:formulaRef>
                      </c:ext>
                    </c:extLst>
                    <c:strCache>
                      <c:ptCount val="1"/>
                      <c:pt idx="0">
                        <c:v>#REF!</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Sheet1!$A$2:$A$4</c15:sqref>
                        </c15:formulaRef>
                      </c:ext>
                    </c:extLst>
                    <c:strCache>
                      <c:ptCount val="3"/>
                      <c:pt idx="0">
                        <c:v>2015-16</c:v>
                      </c:pt>
                      <c:pt idx="1">
                        <c:v>2016-17</c:v>
                      </c:pt>
                      <c:pt idx="2">
                        <c:v>2017-18</c:v>
                      </c:pt>
                    </c:strCache>
                  </c:strRef>
                </c:cat>
                <c:val>
                  <c:numRef>
                    <c:extLst>
                      <c:ext uri="{02D57815-91ED-43cb-92C2-25804820EDAC}">
                        <c15:formulaRef>
                          <c15:sqref>Sheet1!#REF!</c15:sqref>
                        </c15:formulaRef>
                      </c:ext>
                    </c:extLst>
                    <c:numCache>
                      <c:formatCode>General</c:formatCode>
                      <c:ptCount val="1"/>
                      <c:pt idx="0">
                        <c:v>1</c:v>
                      </c:pt>
                    </c:numCache>
                  </c:numRef>
                </c:val>
                <c:extLst>
                  <c:ext xmlns:c16="http://schemas.microsoft.com/office/drawing/2014/chart" uri="{C3380CC4-5D6E-409C-BE32-E72D297353CC}">
                    <c16:uniqueId val="{00000003-BBBE-4465-A4AB-19E82CEE2E80}"/>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Sheet1!#REF!</c15:sqref>
                        </c15:formulaRef>
                      </c:ext>
                    </c:extLst>
                    <c:strCache>
                      <c:ptCount val="1"/>
                      <c:pt idx="0">
                        <c:v>#REF!</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Sheet1!$A$2:$A$4</c15:sqref>
                        </c15:formulaRef>
                      </c:ext>
                    </c:extLst>
                    <c:strCache>
                      <c:ptCount val="3"/>
                      <c:pt idx="0">
                        <c:v>2015-16</c:v>
                      </c:pt>
                      <c:pt idx="1">
                        <c:v>2016-17</c:v>
                      </c:pt>
                      <c:pt idx="2">
                        <c:v>2017-18</c:v>
                      </c:pt>
                    </c:strCache>
                  </c:strRef>
                </c:cat>
                <c:val>
                  <c:numRef>
                    <c:extLst xmlns:c15="http://schemas.microsoft.com/office/drawing/2012/chart">
                      <c:ext xmlns:c15="http://schemas.microsoft.com/office/drawing/2012/chart" uri="{02D57815-91ED-43cb-92C2-25804820EDAC}">
                        <c15:formulaRef>
                          <c15:sqref>Sheet1!#REF!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04-BBBE-4465-A4AB-19E82CEE2E80}"/>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Sheet1!$A$2:$A$4</c15:sqref>
                        </c15:formulaRef>
                      </c:ext>
                    </c:extLst>
                    <c:strCache>
                      <c:ptCount val="3"/>
                      <c:pt idx="0">
                        <c:v>2015-16</c:v>
                      </c:pt>
                      <c:pt idx="1">
                        <c:v>2016-17</c:v>
                      </c:pt>
                      <c:pt idx="2">
                        <c:v>2017-18</c:v>
                      </c:pt>
                    </c:strCache>
                  </c:strRef>
                </c:cat>
                <c:val>
                  <c:numRef>
                    <c:extLst xmlns:c15="http://schemas.microsoft.com/office/drawing/2012/chart">
                      <c:ext xmlns:c15="http://schemas.microsoft.com/office/drawing/2012/chart" uri="{02D57815-91ED-43cb-92C2-25804820EDAC}">
                        <c15:formulaRef>
                          <c15:sqref>Sheet1!$G$2:$G$4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5-BBBE-4465-A4AB-19E82CEE2E80}"/>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strCache>
                  </c:strRef>
                </c:tx>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Sheet1!$A$2:$A$4</c15:sqref>
                        </c15:formulaRef>
                      </c:ext>
                    </c:extLst>
                    <c:strCache>
                      <c:ptCount val="3"/>
                      <c:pt idx="0">
                        <c:v>2015-16</c:v>
                      </c:pt>
                      <c:pt idx="1">
                        <c:v>2016-17</c:v>
                      </c:pt>
                      <c:pt idx="2">
                        <c:v>2017-18</c:v>
                      </c:pt>
                    </c:strCache>
                  </c:strRef>
                </c:cat>
                <c:val>
                  <c:numRef>
                    <c:extLst xmlns:c15="http://schemas.microsoft.com/office/drawing/2012/chart">
                      <c:ext xmlns:c15="http://schemas.microsoft.com/office/drawing/2012/chart" uri="{02D57815-91ED-43cb-92C2-25804820EDAC}">
                        <c15:formulaRef>
                          <c15:sqref>Sheet1!$H$2:$H$4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6-BBBE-4465-A4AB-19E82CEE2E80}"/>
                  </c:ext>
                </c:extLst>
              </c15:ser>
            </c15:filteredBarSeries>
          </c:ext>
        </c:extLst>
      </c:barChart>
      <c:catAx>
        <c:axId val="50990843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solidFill>
                      <a:schemeClr val="tx1"/>
                    </a:solidFill>
                  </a:rPr>
                  <a:t>Years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9906832"/>
        <c:crosses val="autoZero"/>
        <c:auto val="1"/>
        <c:lblAlgn val="ctr"/>
        <c:lblOffset val="100"/>
        <c:noMultiLvlLbl val="0"/>
      </c:catAx>
      <c:valAx>
        <c:axId val="509906832"/>
        <c:scaling>
          <c:orientation val="minMax"/>
          <c:max val="15000"/>
          <c:min val="150"/>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00">
                    <a:solidFill>
                      <a:schemeClr val="tx1"/>
                    </a:solidFill>
                  </a:rPr>
                  <a:t>Revenue (cr)</a:t>
                </a:r>
                <a:br>
                  <a:rPr lang="en-IN" sz="1000">
                    <a:solidFill>
                      <a:schemeClr val="tx1"/>
                    </a:solidFill>
                  </a:rPr>
                </a:br>
                <a:endParaRPr lang="en-IN" sz="1000">
                  <a:solidFill>
                    <a:schemeClr val="tx1"/>
                  </a:solidFill>
                </a:endParaRPr>
              </a:p>
            </c:rich>
          </c:tx>
          <c:layout>
            <c:manualLayout>
              <c:xMode val="edge"/>
              <c:yMode val="edge"/>
              <c:x val="8.0620703243193797E-3"/>
              <c:y val="0.3567346962795570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9908432"/>
        <c:crosses val="autoZero"/>
        <c:crossBetween val="between"/>
        <c:majorUnit val="1000"/>
        <c:minorUnit val="100"/>
      </c:valAx>
      <c:spPr>
        <a:noFill/>
        <a:ln>
          <a:noFill/>
        </a:ln>
        <a:effectLst/>
      </c:spPr>
    </c:plotArea>
    <c:legend>
      <c:legendPos val="b"/>
      <c:layout>
        <c:manualLayout>
          <c:xMode val="edge"/>
          <c:yMode val="edge"/>
          <c:x val="6.8286504401427028E-2"/>
          <c:y val="0.89376552146228361"/>
          <c:w val="0.8551067969952032"/>
          <c:h val="8.381295387403928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t>Shareholding of 2018-19</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tx>
            <c:strRef>
              <c:f>Sheet1!$B$1</c:f>
              <c:strCache>
                <c:ptCount val="1"/>
                <c:pt idx="0">
                  <c:v>Share holding ( In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6E2-447A-B36B-ED9E119CB14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6E2-447A-B36B-ED9E119CB14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6E2-447A-B36B-ED9E119CB14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6E2-447A-B36B-ED9E119CB14C}"/>
              </c:ext>
            </c:extLst>
          </c:dPt>
          <c:dLbls>
            <c:dLbl>
              <c:idx val="0"/>
              <c:tx>
                <c:rich>
                  <a:bodyPr/>
                  <a:lstStyle/>
                  <a:p>
                    <a:fld id="{1E5DCA04-B694-403D-9C57-733B918786ED}" type="VALUE">
                      <a:rPr lang="en-US"/>
                      <a:pPr/>
                      <a:t>[VALUE]</a:t>
                    </a:fld>
                    <a:r>
                      <a:rPr lang="en-US" baseline="0"/>
                      <a:t>%</a:t>
                    </a:r>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6E2-447A-B36B-ED9E119CB14C}"/>
                </c:ext>
              </c:extLst>
            </c:dLbl>
            <c:dLbl>
              <c:idx val="1"/>
              <c:tx>
                <c:rich>
                  <a:bodyPr/>
                  <a:lstStyle/>
                  <a:p>
                    <a:fld id="{DF426F90-BA6A-4E58-8C4E-60C8FCA850B0}" type="VALUE">
                      <a:rPr lang="en-US"/>
                      <a:pPr/>
                      <a:t>[VALUE]</a:t>
                    </a:fld>
                    <a:r>
                      <a:rPr lang="en-US" baseline="0"/>
                      <a:t>%</a:t>
                    </a:r>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6E2-447A-B36B-ED9E119CB14C}"/>
                </c:ext>
              </c:extLst>
            </c:dLbl>
            <c:dLbl>
              <c:idx val="2"/>
              <c:tx>
                <c:rich>
                  <a:bodyPr/>
                  <a:lstStyle/>
                  <a:p>
                    <a:fld id="{C1B0DAB0-CDBC-465D-80DC-F05609B18D6A}" type="VALUE">
                      <a:rPr lang="en-US"/>
                      <a:pPr/>
                      <a:t>[VALUE]</a:t>
                    </a:fld>
                    <a:r>
                      <a:rPr lang="en-US" baseline="0"/>
                      <a:t>%</a:t>
                    </a:r>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6E2-447A-B36B-ED9E119CB14C}"/>
                </c:ext>
              </c:extLst>
            </c:dLbl>
            <c:dLbl>
              <c:idx val="3"/>
              <c:layout>
                <c:manualLayout>
                  <c:x val="1.9528471984480149E-2"/>
                  <c:y val="0.1625476250952502"/>
                </c:manualLayout>
              </c:layout>
              <c:tx>
                <c:rich>
                  <a:bodyPr/>
                  <a:lstStyle/>
                  <a:p>
                    <a:fld id="{A05E7178-1F92-4E57-84D6-FE78B1E550BA}" type="VALUE">
                      <a:rPr lang="en-US"/>
                      <a:pPr/>
                      <a:t>[VALUE]</a:t>
                    </a:fld>
                    <a:r>
                      <a:rPr lang="en-US" baseline="0"/>
                      <a:t>%</a:t>
                    </a: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6E2-447A-B36B-ED9E119CB14C}"/>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Rosneft</c:v>
                </c:pt>
                <c:pt idx="1">
                  <c:v>Trafigura</c:v>
                </c:pt>
                <c:pt idx="2">
                  <c:v>UCP Investment Group</c:v>
                </c:pt>
                <c:pt idx="3">
                  <c:v>Others</c:v>
                </c:pt>
              </c:strCache>
            </c:strRef>
          </c:cat>
          <c:val>
            <c:numRef>
              <c:f>Sheet1!$B$2:$B$5</c:f>
              <c:numCache>
                <c:formatCode>General</c:formatCode>
                <c:ptCount val="4"/>
                <c:pt idx="0">
                  <c:v>49.13</c:v>
                </c:pt>
                <c:pt idx="1">
                  <c:v>24.07</c:v>
                </c:pt>
                <c:pt idx="2">
                  <c:v>24.07</c:v>
                </c:pt>
                <c:pt idx="3">
                  <c:v>2.73</c:v>
                </c:pt>
              </c:numCache>
            </c:numRef>
          </c:val>
          <c:extLst>
            <c:ext xmlns:c16="http://schemas.microsoft.com/office/drawing/2014/chart" uri="{C3380CC4-5D6E-409C-BE32-E72D297353CC}">
              <c16:uniqueId val="{00000008-16E2-447A-B36B-ED9E119CB14C}"/>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400"/>
              <a:t>Processed Crude </a:t>
            </a:r>
          </a:p>
        </c:rich>
      </c:tx>
      <c:layout>
        <c:manualLayout>
          <c:xMode val="edge"/>
          <c:yMode val="edge"/>
          <c:x val="0.42063091894214971"/>
          <c:y val="1.886375849903035E-2"/>
        </c:manualLayout>
      </c:layout>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3379420397894051"/>
          <c:y val="0.13791206523712837"/>
          <c:w val="0.80987066890307358"/>
          <c:h val="0.65067102461248949"/>
        </c:manualLayout>
      </c:layout>
      <c:barChart>
        <c:barDir val="col"/>
        <c:grouping val="clustered"/>
        <c:varyColors val="0"/>
        <c:ser>
          <c:idx val="0"/>
          <c:order val="0"/>
          <c:tx>
            <c:strRef>
              <c:f>Sheet1!$B$1</c:f>
              <c:strCache>
                <c:ptCount val="1"/>
                <c:pt idx="0">
                  <c:v>Processed Crude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Sheet1!$A$2:$A$4</c:f>
              <c:strCache>
                <c:ptCount val="3"/>
                <c:pt idx="0">
                  <c:v>2016-17</c:v>
                </c:pt>
                <c:pt idx="1">
                  <c:v>2017-18</c:v>
                </c:pt>
                <c:pt idx="2">
                  <c:v>2018-19</c:v>
                </c:pt>
              </c:strCache>
            </c:strRef>
          </c:cat>
          <c:val>
            <c:numRef>
              <c:f>Sheet1!$B$2:$B$4</c:f>
              <c:numCache>
                <c:formatCode>General</c:formatCode>
                <c:ptCount val="3"/>
                <c:pt idx="0">
                  <c:v>20.94</c:v>
                </c:pt>
                <c:pt idx="1">
                  <c:v>20.69</c:v>
                </c:pt>
                <c:pt idx="2">
                  <c:v>18.899999999999999</c:v>
                </c:pt>
              </c:numCache>
            </c:numRef>
          </c:val>
          <c:extLst>
            <c:ext xmlns:c16="http://schemas.microsoft.com/office/drawing/2014/chart" uri="{C3380CC4-5D6E-409C-BE32-E72D297353CC}">
              <c16:uniqueId val="{00000000-4799-492A-8761-2956071C2358}"/>
            </c:ext>
          </c:extLst>
        </c:ser>
        <c:dLbls>
          <c:showLegendKey val="0"/>
          <c:showVal val="1"/>
          <c:showCatName val="0"/>
          <c:showSerName val="0"/>
          <c:showPercent val="0"/>
          <c:showBubbleSize val="0"/>
        </c:dLbls>
        <c:gapWidth val="219"/>
        <c:overlap val="-27"/>
        <c:axId val="511281720"/>
        <c:axId val="511281080"/>
      </c:barChart>
      <c:lineChart>
        <c:grouping val="standard"/>
        <c:varyColors val="0"/>
        <c:ser>
          <c:idx val="1"/>
          <c:order val="1"/>
          <c:tx>
            <c:strRef>
              <c:f>Sheet1!$C$1</c:f>
              <c:strCache>
                <c:ptCount val="1"/>
                <c:pt idx="0">
                  <c:v>Growth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1-4799-492A-8761-2956071C2358}"/>
                </c:ext>
              </c:extLst>
            </c:dLbl>
            <c:dLbl>
              <c:idx val="1"/>
              <c:layout>
                <c:manualLayout>
                  <c:x val="-0.19992690058479537"/>
                  <c:y val="2.7075542548331902E-2"/>
                </c:manualLayout>
              </c:layout>
              <c:tx>
                <c:rich>
                  <a:bodyPr/>
                  <a:lstStyle/>
                  <a:p>
                    <a:r>
                      <a:rPr lang="en-US"/>
                      <a:t>-1.19%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4799-492A-8761-2956071C2358}"/>
                </c:ext>
              </c:extLst>
            </c:dLbl>
            <c:dLbl>
              <c:idx val="2"/>
              <c:layout>
                <c:manualLayout>
                  <c:x val="-0.16106237816764132"/>
                  <c:y val="-5.4813585987211554E-2"/>
                </c:manualLayout>
              </c:layout>
              <c:tx>
                <c:rich>
                  <a:bodyPr/>
                  <a:lstStyle/>
                  <a:p>
                    <a:r>
                      <a:rPr lang="en-US"/>
                      <a:t>-8.65%</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4799-492A-8761-2956071C2358}"/>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2016-17</c:v>
                </c:pt>
                <c:pt idx="1">
                  <c:v>2017-18</c:v>
                </c:pt>
                <c:pt idx="2">
                  <c:v>2018-19</c:v>
                </c:pt>
              </c:strCache>
            </c:strRef>
          </c:cat>
          <c:val>
            <c:numRef>
              <c:f>Sheet1!$C$2:$C$4</c:f>
              <c:numCache>
                <c:formatCode>General</c:formatCode>
                <c:ptCount val="3"/>
                <c:pt idx="0">
                  <c:v>20.94</c:v>
                </c:pt>
                <c:pt idx="1">
                  <c:v>20.69</c:v>
                </c:pt>
                <c:pt idx="2">
                  <c:v>18.899999999999999</c:v>
                </c:pt>
              </c:numCache>
            </c:numRef>
          </c:val>
          <c:smooth val="0"/>
          <c:extLst>
            <c:ext xmlns:c16="http://schemas.microsoft.com/office/drawing/2014/chart" uri="{C3380CC4-5D6E-409C-BE32-E72D297353CC}">
              <c16:uniqueId val="{00000004-4799-492A-8761-2956071C2358}"/>
            </c:ext>
          </c:extLst>
        </c:ser>
        <c:dLbls>
          <c:showLegendKey val="0"/>
          <c:showVal val="1"/>
          <c:showCatName val="0"/>
          <c:showSerName val="0"/>
          <c:showPercent val="0"/>
          <c:showBubbleSize val="0"/>
        </c:dLbls>
        <c:marker val="1"/>
        <c:smooth val="0"/>
        <c:axId val="511281720"/>
        <c:axId val="511281080"/>
      </c:lineChart>
      <c:catAx>
        <c:axId val="51128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a:t>Years</a:t>
                </a:r>
              </a:p>
            </c:rich>
          </c:tx>
          <c:layout>
            <c:manualLayout>
              <c:xMode val="edge"/>
              <c:yMode val="edge"/>
              <c:x val="0.48271618599450217"/>
              <c:y val="0.883119975569091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1281080"/>
        <c:crosses val="autoZero"/>
        <c:auto val="1"/>
        <c:lblAlgn val="ctr"/>
        <c:lblOffset val="100"/>
        <c:noMultiLvlLbl val="0"/>
      </c:catAx>
      <c:valAx>
        <c:axId val="511281080"/>
        <c:scaling>
          <c:orientation val="minMax"/>
          <c:max val="21"/>
          <c:min val="0"/>
        </c:scaling>
        <c:delete val="0"/>
        <c:axPos val="l"/>
        <c:title>
          <c:tx>
            <c:rich>
              <a:bodyPr rot="-5400000" spcFirstLastPara="1" vertOverflow="ellipsis" vert="horz" wrap="square" anchor="ctr" anchorCtr="1"/>
              <a:lstStyle/>
              <a:p>
                <a:pPr algn="ct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a:t>Production (MMT)</a:t>
                </a:r>
              </a:p>
            </c:rich>
          </c:tx>
          <c:layout>
            <c:manualLayout>
              <c:xMode val="edge"/>
              <c:yMode val="edge"/>
              <c:x val="3.2465186643336252E-2"/>
              <c:y val="0.33210629921259843"/>
            </c:manualLayout>
          </c:layout>
          <c:overlay val="0"/>
          <c:spPr>
            <a:noFill/>
            <a:ln>
              <a:noFill/>
            </a:ln>
            <a:effectLst/>
          </c:spPr>
          <c:txPr>
            <a:bodyPr rot="-5400000" spcFirstLastPara="1" vertOverflow="ellipsis" vert="horz" wrap="square" anchor="ctr" anchorCtr="1"/>
            <a:lstStyle/>
            <a:p>
              <a:pPr algn="ct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1281720"/>
        <c:crosses val="autoZero"/>
        <c:crossBetween val="between"/>
        <c:majorUnit val="4"/>
        <c:minorUnit val="0.5"/>
      </c:valAx>
      <c:spPr>
        <a:noFill/>
        <a:ln>
          <a:noFill/>
        </a:ln>
        <a:effectLst/>
      </c:spPr>
    </c:plotArea>
    <c:legend>
      <c:legendPos val="b"/>
      <c:layout>
        <c:manualLayout>
          <c:xMode val="edge"/>
          <c:yMode val="edge"/>
          <c:x val="0.15085762306027536"/>
          <c:y val="0.93078569824789603"/>
          <c:w val="0.72996097527282777"/>
          <c:h val="5.8285524044007775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4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withinLinear" id="14">
  <a:schemeClr val="accent1"/>
</cs:colorStyle>
</file>

<file path=word/charts/colors17.xml><?xml version="1.0" encoding="utf-8"?>
<cs:colorStyle xmlns:cs="http://schemas.microsoft.com/office/drawing/2012/chartStyle" xmlns:a="http://schemas.openxmlformats.org/drawingml/2006/main" meth="withinLinear" id="14">
  <a:schemeClr val="accent1"/>
</cs:colorStyle>
</file>

<file path=word/charts/colors18.xml><?xml version="1.0" encoding="utf-8"?>
<cs:colorStyle xmlns:cs="http://schemas.microsoft.com/office/drawing/2012/chartStyle" xmlns:a="http://schemas.openxmlformats.org/drawingml/2006/main" meth="withinLinear" id="14">
  <a:schemeClr val="accent1"/>
</cs:colorStyle>
</file>

<file path=word/charts/colors19.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withinLinear" id="14">
  <a:schemeClr val="accent1"/>
</cs:colorStyle>
</file>

<file path=word/charts/colors2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0">
              <a:schemeClr val="lt1">
                <a:lumMod val="75000"/>
                <a:alpha val="36000"/>
              </a:schemeClr>
            </a:gs>
            <a:gs pos="100000">
              <a:schemeClr val="dk1">
                <a:lumMod val="95000"/>
                <a:lumOff val="5000"/>
                <a:alpha val="42000"/>
              </a:schemeClr>
            </a:gs>
          </a:gsLst>
          <a:lin ang="5400000" scaled="0"/>
        </a:gradFill>
        <a:round/>
      </a:ln>
    </cs:spPr>
  </cs:gridlineMajor>
  <cs:gridlineMinor>
    <cs:lnRef idx="0"/>
    <cs:fillRef idx="0"/>
    <cs:effectRef idx="0"/>
    <cs:fontRef idx="minor">
      <a:schemeClr val="dk1"/>
    </cs:fontRef>
    <cs:spPr>
      <a:ln>
        <a:gradFill rotWithShape="1">
          <a:gsLst>
            <a:gs pos="0">
              <a:schemeClr val="lt1">
                <a:lumMod val="75000"/>
                <a:alpha val="36000"/>
              </a:schemeClr>
            </a:gs>
            <a:gs pos="100000">
              <a:schemeClr val="dk1">
                <a:lumMod val="95000"/>
                <a:lumOff val="5000"/>
                <a:alpha val="42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0">
              <a:schemeClr val="lt1">
                <a:lumMod val="75000"/>
                <a:alpha val="36000"/>
              </a:schemeClr>
            </a:gs>
            <a:gs pos="100000">
              <a:schemeClr val="dk1">
                <a:lumMod val="95000"/>
                <a:lumOff val="5000"/>
                <a:alpha val="42000"/>
              </a:schemeClr>
            </a:gs>
          </a:gsLst>
          <a:lin ang="5400000" scaled="0"/>
        </a:gradFill>
        <a:round/>
      </a:ln>
    </cs:spPr>
  </cs:gridlineMajor>
  <cs:gridlineMinor>
    <cs:lnRef idx="0"/>
    <cs:fillRef idx="0"/>
    <cs:effectRef idx="0"/>
    <cs:fontRef idx="minor">
      <a:schemeClr val="dk1"/>
    </cs:fontRef>
    <cs:spPr>
      <a:ln>
        <a:gradFill rotWithShape="1">
          <a:gsLst>
            <a:gs pos="0">
              <a:schemeClr val="lt1">
                <a:lumMod val="75000"/>
                <a:alpha val="36000"/>
              </a:schemeClr>
            </a:gs>
            <a:gs pos="100000">
              <a:schemeClr val="dk1">
                <a:lumMod val="95000"/>
                <a:lumOff val="5000"/>
                <a:alpha val="42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a:solidFill>
          <a:schemeClr val="tx1">
            <a:lumMod val="15000"/>
            <a:lumOff val="85000"/>
          </a:schemeClr>
        </a:solidFill>
        <a:round/>
      </a:ln>
    </cs:spPr>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0">
              <a:schemeClr val="lt1">
                <a:lumMod val="75000"/>
                <a:alpha val="36000"/>
              </a:schemeClr>
            </a:gs>
            <a:gs pos="100000">
              <a:schemeClr val="dk1">
                <a:lumMod val="95000"/>
                <a:lumOff val="5000"/>
                <a:alpha val="42000"/>
              </a:schemeClr>
            </a:gs>
          </a:gsLst>
          <a:lin ang="5400000" scaled="0"/>
        </a:gradFill>
        <a:round/>
      </a:ln>
    </cs:spPr>
  </cs:gridlineMajor>
  <cs:gridlineMinor>
    <cs:lnRef idx="0"/>
    <cs:fillRef idx="0"/>
    <cs:effectRef idx="0"/>
    <cs:fontRef idx="minor">
      <a:schemeClr val="dk1"/>
    </cs:fontRef>
    <cs:spPr>
      <a:ln>
        <a:gradFill rotWithShape="1">
          <a:gsLst>
            <a:gs pos="0">
              <a:schemeClr val="lt1">
                <a:lumMod val="75000"/>
                <a:alpha val="36000"/>
              </a:schemeClr>
            </a:gs>
            <a:gs pos="100000">
              <a:schemeClr val="dk1">
                <a:lumMod val="95000"/>
                <a:lumOff val="5000"/>
                <a:alpha val="42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0">
              <a:schemeClr val="lt1">
                <a:lumMod val="75000"/>
                <a:alpha val="36000"/>
              </a:schemeClr>
            </a:gs>
            <a:gs pos="100000">
              <a:schemeClr val="dk1">
                <a:lumMod val="95000"/>
                <a:lumOff val="5000"/>
                <a:alpha val="42000"/>
              </a:schemeClr>
            </a:gs>
          </a:gsLst>
          <a:lin ang="5400000" scaled="0"/>
        </a:gradFill>
        <a:round/>
      </a:ln>
    </cs:spPr>
  </cs:gridlineMajor>
  <cs:gridlineMinor>
    <cs:lnRef idx="0"/>
    <cs:fillRef idx="0"/>
    <cs:effectRef idx="0"/>
    <cs:fontRef idx="minor">
      <a:schemeClr val="dk1"/>
    </cs:fontRef>
    <cs:spPr>
      <a:ln>
        <a:gradFill rotWithShape="1">
          <a:gsLst>
            <a:gs pos="0">
              <a:schemeClr val="lt1">
                <a:lumMod val="75000"/>
                <a:alpha val="36000"/>
              </a:schemeClr>
            </a:gs>
            <a:gs pos="100000">
              <a:schemeClr val="dk1">
                <a:lumMod val="95000"/>
                <a:lumOff val="5000"/>
                <a:alpha val="42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0">
              <a:schemeClr val="lt1">
                <a:lumMod val="75000"/>
                <a:alpha val="36000"/>
              </a:schemeClr>
            </a:gs>
            <a:gs pos="100000">
              <a:schemeClr val="dk1">
                <a:lumMod val="95000"/>
                <a:lumOff val="5000"/>
                <a:alpha val="42000"/>
              </a:schemeClr>
            </a:gs>
          </a:gsLst>
          <a:lin ang="5400000" scaled="0"/>
        </a:gradFill>
        <a:round/>
      </a:ln>
    </cs:spPr>
  </cs:gridlineMajor>
  <cs:gridlineMinor>
    <cs:lnRef idx="0"/>
    <cs:fillRef idx="0"/>
    <cs:effectRef idx="0"/>
    <cs:fontRef idx="minor">
      <a:schemeClr val="dk1"/>
    </cs:fontRef>
    <cs:spPr>
      <a:ln>
        <a:gradFill rotWithShape="1">
          <a:gsLst>
            <a:gs pos="0">
              <a:schemeClr val="lt1">
                <a:lumMod val="75000"/>
                <a:alpha val="36000"/>
              </a:schemeClr>
            </a:gs>
            <a:gs pos="100000">
              <a:schemeClr val="dk1">
                <a:lumMod val="95000"/>
                <a:lumOff val="5000"/>
                <a:alpha val="42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rotWithShape="1">
        <a:gsLst>
          <a:gs pos="0">
            <a:schemeClr val="lt1"/>
          </a:gs>
          <a:gs pos="39000">
            <a:schemeClr val="lt1"/>
          </a:gs>
          <a:gs pos="100000">
            <a:schemeClr val="lt1">
              <a:lumMod val="75000"/>
            </a:schemeClr>
          </a:gs>
        </a:gsLst>
        <a:path path="circle">
          <a:fillToRect l="50000" t="-80000" r="50000" b="180000"/>
        </a:path>
      </a:gradFill>
      <a:ln w="9525">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1">
          <a:gsLst>
            <a:gs pos="0">
              <a:schemeClr val="lt1">
                <a:lumMod val="75000"/>
                <a:alpha val="36000"/>
              </a:schemeClr>
            </a:gs>
            <a:gs pos="100000">
              <a:schemeClr val="dk1">
                <a:lumMod val="95000"/>
                <a:lumOff val="5000"/>
                <a:alpha val="42000"/>
              </a:schemeClr>
            </a:gs>
          </a:gsLst>
          <a:lin ang="5400000" scaled="0"/>
        </a:gradFill>
        <a:round/>
      </a:ln>
    </cs:spPr>
  </cs:gridlineMajor>
  <cs:gridlineMinor>
    <cs:lnRef idx="0"/>
    <cs:fillRef idx="0"/>
    <cs:effectRef idx="0"/>
    <cs:fontRef idx="minor">
      <a:schemeClr val="dk1"/>
    </cs:fontRef>
    <cs:spPr>
      <a:ln>
        <a:gradFill rotWithShape="1">
          <a:gsLst>
            <a:gs pos="0">
              <a:schemeClr val="lt1">
                <a:lumMod val="75000"/>
                <a:alpha val="36000"/>
              </a:schemeClr>
            </a:gs>
            <a:gs pos="100000">
              <a:schemeClr val="dk1">
                <a:lumMod val="95000"/>
                <a:lumOff val="5000"/>
                <a:alpha val="42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5158BD-C5D0-4DF4-9748-23593CE1AF8D}" type="doc">
      <dgm:prSet loTypeId="urn:microsoft.com/office/officeart/2005/8/layout/hList6" loCatId="list" qsTypeId="urn:microsoft.com/office/officeart/2005/8/quickstyle/3d3#1" qsCatId="3D" csTypeId="urn:microsoft.com/office/officeart/2005/8/colors/accent1_2" csCatId="accent1" phldr="1"/>
      <dgm:spPr/>
      <dgm:t>
        <a:bodyPr/>
        <a:lstStyle/>
        <a:p>
          <a:endParaRPr lang="en-IN"/>
        </a:p>
      </dgm:t>
    </dgm:pt>
    <dgm:pt modelId="{82F1D63D-33D0-4D77-99E0-0A98FBEDDE8F}">
      <dgm:prSet phldrT="[Text]"/>
      <dgm:spPr/>
      <dgm:t>
        <a:bodyPr/>
        <a:lstStyle/>
        <a:p>
          <a:r>
            <a:rPr lang="en-IN" sz="1800">
              <a:latin typeface="Times New Roman" panose="02020603050405020304" pitchFamily="18" charset="0"/>
              <a:cs typeface="Times New Roman" panose="02020603050405020304" pitchFamily="18" charset="0"/>
            </a:rPr>
            <a:t>Upsteam</a:t>
          </a:r>
          <a:r>
            <a:rPr lang="en-IN" sz="1800"/>
            <a:t> </a:t>
          </a:r>
        </a:p>
      </dgm:t>
    </dgm:pt>
    <dgm:pt modelId="{4E39EE75-FA0F-47D1-9B8B-37713EBC6932}" type="parTrans" cxnId="{E7C99211-FA02-4F49-A5C2-729D2FC4815E}">
      <dgm:prSet/>
      <dgm:spPr/>
      <dgm:t>
        <a:bodyPr/>
        <a:lstStyle/>
        <a:p>
          <a:endParaRPr lang="en-IN"/>
        </a:p>
      </dgm:t>
    </dgm:pt>
    <dgm:pt modelId="{28EAC881-06E6-488C-9B4D-6E5D7A0F3CF2}" type="sibTrans" cxnId="{E7C99211-FA02-4F49-A5C2-729D2FC4815E}">
      <dgm:prSet/>
      <dgm:spPr/>
      <dgm:t>
        <a:bodyPr/>
        <a:lstStyle/>
        <a:p>
          <a:endParaRPr lang="en-IN"/>
        </a:p>
      </dgm:t>
    </dgm:pt>
    <dgm:pt modelId="{94D45B2B-4D61-4B22-865D-114A9CF56848}">
      <dgm:prSet phldrT="[Text]" custT="1"/>
      <dgm:spPr/>
      <dgm:t>
        <a:bodyPr/>
        <a:lstStyle/>
        <a:p>
          <a:r>
            <a:rPr lang="en-IN" sz="1200">
              <a:latin typeface="Times New Roman" panose="02020603050405020304" pitchFamily="18" charset="0"/>
              <a:cs typeface="Times New Roman" panose="02020603050405020304" pitchFamily="18" charset="0"/>
            </a:rPr>
            <a:t>Oil and Gas exploration</a:t>
          </a:r>
        </a:p>
      </dgm:t>
    </dgm:pt>
    <dgm:pt modelId="{9CDDA9EB-42A4-404C-A3AB-8ED578E712AB}" type="parTrans" cxnId="{8A42E3EA-A4F3-425C-820B-75E71308FC04}">
      <dgm:prSet/>
      <dgm:spPr/>
      <dgm:t>
        <a:bodyPr/>
        <a:lstStyle/>
        <a:p>
          <a:endParaRPr lang="en-IN"/>
        </a:p>
      </dgm:t>
    </dgm:pt>
    <dgm:pt modelId="{4E95CC7B-C9FB-4F87-8EF6-DD37F8155AAB}" type="sibTrans" cxnId="{8A42E3EA-A4F3-425C-820B-75E71308FC04}">
      <dgm:prSet/>
      <dgm:spPr/>
      <dgm:t>
        <a:bodyPr/>
        <a:lstStyle/>
        <a:p>
          <a:endParaRPr lang="en-IN"/>
        </a:p>
      </dgm:t>
    </dgm:pt>
    <dgm:pt modelId="{A2D2D7E0-F644-4BB2-B232-B4FAFCCCE8B3}">
      <dgm:prSet phldrT="[Text]" custT="1"/>
      <dgm:spPr/>
      <dgm:t>
        <a:bodyPr/>
        <a:lstStyle/>
        <a:p>
          <a:r>
            <a:rPr lang="en-IN" sz="1200">
              <a:latin typeface="Times New Roman" panose="02020603050405020304" pitchFamily="18" charset="0"/>
              <a:cs typeface="Times New Roman" panose="02020603050405020304" pitchFamily="18" charset="0"/>
            </a:rPr>
            <a:t>Production</a:t>
          </a:r>
        </a:p>
      </dgm:t>
    </dgm:pt>
    <dgm:pt modelId="{3E33358B-C7EF-4B0C-8F5A-279AA14F15EF}" type="parTrans" cxnId="{DB622EDC-20BD-4C99-B48E-603D431F931A}">
      <dgm:prSet/>
      <dgm:spPr/>
      <dgm:t>
        <a:bodyPr/>
        <a:lstStyle/>
        <a:p>
          <a:endParaRPr lang="en-IN"/>
        </a:p>
      </dgm:t>
    </dgm:pt>
    <dgm:pt modelId="{4B8F4FA7-D234-4545-A328-78944E1C780F}" type="sibTrans" cxnId="{DB622EDC-20BD-4C99-B48E-603D431F931A}">
      <dgm:prSet/>
      <dgm:spPr/>
      <dgm:t>
        <a:bodyPr/>
        <a:lstStyle/>
        <a:p>
          <a:endParaRPr lang="en-IN"/>
        </a:p>
      </dgm:t>
    </dgm:pt>
    <dgm:pt modelId="{F1A2E327-EAAF-4F40-BD08-4A535C45A29F}">
      <dgm:prSet phldrT="[Text]"/>
      <dgm:spPr/>
      <dgm:t>
        <a:bodyPr/>
        <a:lstStyle/>
        <a:p>
          <a:r>
            <a:rPr lang="en-IN">
              <a:latin typeface="Times New Roman" panose="02020603050405020304" pitchFamily="18" charset="0"/>
              <a:cs typeface="Times New Roman" panose="02020603050405020304" pitchFamily="18" charset="0"/>
            </a:rPr>
            <a:t>Midstream</a:t>
          </a:r>
        </a:p>
      </dgm:t>
    </dgm:pt>
    <dgm:pt modelId="{369F176B-C9E5-4A8D-8760-CFDFB3C3DEFF}" type="parTrans" cxnId="{2F894D13-392F-4780-B65C-591CE0DE64AD}">
      <dgm:prSet/>
      <dgm:spPr/>
      <dgm:t>
        <a:bodyPr/>
        <a:lstStyle/>
        <a:p>
          <a:endParaRPr lang="en-IN"/>
        </a:p>
      </dgm:t>
    </dgm:pt>
    <dgm:pt modelId="{04967815-AE27-413C-877B-AEF58AFF4BC3}" type="sibTrans" cxnId="{2F894D13-392F-4780-B65C-591CE0DE64AD}">
      <dgm:prSet/>
      <dgm:spPr/>
      <dgm:t>
        <a:bodyPr/>
        <a:lstStyle/>
        <a:p>
          <a:endParaRPr lang="en-IN"/>
        </a:p>
      </dgm:t>
    </dgm:pt>
    <dgm:pt modelId="{6B334FA2-3934-425B-94A9-B564FDE38B0C}">
      <dgm:prSet phldrT="[Text]"/>
      <dgm:spPr/>
      <dgm:t>
        <a:bodyPr/>
        <a:lstStyle/>
        <a:p>
          <a:r>
            <a:rPr lang="en-IN">
              <a:latin typeface="Times New Roman" panose="02020603050405020304" pitchFamily="18" charset="0"/>
              <a:cs typeface="Times New Roman" panose="02020603050405020304" pitchFamily="18" charset="0"/>
            </a:rPr>
            <a:t>Processing </a:t>
          </a:r>
        </a:p>
      </dgm:t>
    </dgm:pt>
    <dgm:pt modelId="{2B79287C-777D-4E8D-8236-8D550EC47561}" type="parTrans" cxnId="{8B372EA6-81E3-4688-8837-E2AFBEB6C382}">
      <dgm:prSet/>
      <dgm:spPr/>
      <dgm:t>
        <a:bodyPr/>
        <a:lstStyle/>
        <a:p>
          <a:endParaRPr lang="en-IN"/>
        </a:p>
      </dgm:t>
    </dgm:pt>
    <dgm:pt modelId="{F9A96472-6D5C-4D90-835B-047E29DB24CD}" type="sibTrans" cxnId="{8B372EA6-81E3-4688-8837-E2AFBEB6C382}">
      <dgm:prSet/>
      <dgm:spPr/>
      <dgm:t>
        <a:bodyPr/>
        <a:lstStyle/>
        <a:p>
          <a:endParaRPr lang="en-IN"/>
        </a:p>
      </dgm:t>
    </dgm:pt>
    <dgm:pt modelId="{8BAEFD1A-C5A7-4CCA-90D8-9BEFAA0EC77E}">
      <dgm:prSet phldrT="[Text]"/>
      <dgm:spPr/>
      <dgm:t>
        <a:bodyPr/>
        <a:lstStyle/>
        <a:p>
          <a:r>
            <a:rPr lang="en-IN">
              <a:latin typeface="Times New Roman" panose="02020603050405020304" pitchFamily="18" charset="0"/>
              <a:cs typeface="Times New Roman" panose="02020603050405020304" pitchFamily="18" charset="0"/>
            </a:rPr>
            <a:t>Oil refining</a:t>
          </a:r>
        </a:p>
      </dgm:t>
    </dgm:pt>
    <dgm:pt modelId="{60B2F371-7EE5-43C5-8342-4C136A7C750D}" type="parTrans" cxnId="{1DAFDDAF-2A56-436D-9DF6-3B71ED5F275A}">
      <dgm:prSet/>
      <dgm:spPr/>
      <dgm:t>
        <a:bodyPr/>
        <a:lstStyle/>
        <a:p>
          <a:endParaRPr lang="en-IN"/>
        </a:p>
      </dgm:t>
    </dgm:pt>
    <dgm:pt modelId="{C029DA80-2A39-405A-8E40-767FCDA3E801}" type="sibTrans" cxnId="{1DAFDDAF-2A56-436D-9DF6-3B71ED5F275A}">
      <dgm:prSet/>
      <dgm:spPr/>
      <dgm:t>
        <a:bodyPr/>
        <a:lstStyle/>
        <a:p>
          <a:endParaRPr lang="en-IN"/>
        </a:p>
      </dgm:t>
    </dgm:pt>
    <dgm:pt modelId="{E107A53C-9EBC-4325-A30B-6B8224AD4AF2}">
      <dgm:prSet phldrT="[Text]"/>
      <dgm:spPr/>
      <dgm:t>
        <a:bodyPr/>
        <a:lstStyle/>
        <a:p>
          <a:r>
            <a:rPr lang="en-IN">
              <a:latin typeface="Times New Roman" panose="02020603050405020304" pitchFamily="18" charset="0"/>
              <a:cs typeface="Times New Roman" panose="02020603050405020304" pitchFamily="18" charset="0"/>
            </a:rPr>
            <a:t>Downsteam</a:t>
          </a:r>
        </a:p>
      </dgm:t>
    </dgm:pt>
    <dgm:pt modelId="{710F60B1-804A-4D61-B163-8DBFA7CDAC31}" type="parTrans" cxnId="{F9EE6F19-FB76-4015-90E7-89703B06421D}">
      <dgm:prSet/>
      <dgm:spPr/>
      <dgm:t>
        <a:bodyPr/>
        <a:lstStyle/>
        <a:p>
          <a:endParaRPr lang="en-IN"/>
        </a:p>
      </dgm:t>
    </dgm:pt>
    <dgm:pt modelId="{C6411AD5-259E-4114-BEC5-8AA2C052588F}" type="sibTrans" cxnId="{F9EE6F19-FB76-4015-90E7-89703B06421D}">
      <dgm:prSet/>
      <dgm:spPr/>
      <dgm:t>
        <a:bodyPr/>
        <a:lstStyle/>
        <a:p>
          <a:endParaRPr lang="en-IN"/>
        </a:p>
      </dgm:t>
    </dgm:pt>
    <dgm:pt modelId="{60A794E7-75C3-4722-A00F-D69F9F4E21B4}">
      <dgm:prSet phldrT="[Text]"/>
      <dgm:spPr/>
      <dgm:t>
        <a:bodyPr/>
        <a:lstStyle/>
        <a:p>
          <a:r>
            <a:rPr lang="en-IN">
              <a:latin typeface="Times New Roman" panose="02020603050405020304" pitchFamily="18" charset="0"/>
              <a:cs typeface="Times New Roman" panose="02020603050405020304" pitchFamily="18" charset="0"/>
            </a:rPr>
            <a:t>Supply and Trading</a:t>
          </a:r>
        </a:p>
      </dgm:t>
    </dgm:pt>
    <dgm:pt modelId="{A3D76930-7EA3-40D3-917B-3864CE0A77E1}" type="parTrans" cxnId="{AD87148D-A411-4522-9A1C-39F8248E6B3D}">
      <dgm:prSet/>
      <dgm:spPr/>
      <dgm:t>
        <a:bodyPr/>
        <a:lstStyle/>
        <a:p>
          <a:endParaRPr lang="en-IN"/>
        </a:p>
      </dgm:t>
    </dgm:pt>
    <dgm:pt modelId="{781A0AAE-EABE-48FA-BD97-AAEBD627043D}" type="sibTrans" cxnId="{AD87148D-A411-4522-9A1C-39F8248E6B3D}">
      <dgm:prSet/>
      <dgm:spPr/>
      <dgm:t>
        <a:bodyPr/>
        <a:lstStyle/>
        <a:p>
          <a:endParaRPr lang="en-IN"/>
        </a:p>
      </dgm:t>
    </dgm:pt>
    <dgm:pt modelId="{AFC9D1DE-C9B6-48D9-9FAE-EE674BCB4065}">
      <dgm:prSet phldrT="[Text]"/>
      <dgm:spPr/>
      <dgm:t>
        <a:bodyPr/>
        <a:lstStyle/>
        <a:p>
          <a:r>
            <a:rPr lang="en-IN">
              <a:latin typeface="Times New Roman" panose="02020603050405020304" pitchFamily="18" charset="0"/>
              <a:cs typeface="Times New Roman" panose="02020603050405020304" pitchFamily="18" charset="0"/>
            </a:rPr>
            <a:t>Transportation</a:t>
          </a:r>
        </a:p>
      </dgm:t>
    </dgm:pt>
    <dgm:pt modelId="{D3A6E72D-5384-4333-B54B-180B83E2976A}" type="parTrans" cxnId="{36FA1DF4-72D5-4FAE-8265-A6AA50B2E6F7}">
      <dgm:prSet/>
      <dgm:spPr/>
      <dgm:t>
        <a:bodyPr/>
        <a:lstStyle/>
        <a:p>
          <a:endParaRPr lang="en-IN"/>
        </a:p>
      </dgm:t>
    </dgm:pt>
    <dgm:pt modelId="{AC48996C-C2AE-4691-9BDF-8D6C866AE85A}" type="sibTrans" cxnId="{36FA1DF4-72D5-4FAE-8265-A6AA50B2E6F7}">
      <dgm:prSet/>
      <dgm:spPr/>
      <dgm:t>
        <a:bodyPr/>
        <a:lstStyle/>
        <a:p>
          <a:endParaRPr lang="en-IN"/>
        </a:p>
      </dgm:t>
    </dgm:pt>
    <dgm:pt modelId="{1930F43A-FE55-4715-8554-32CB89EF78B3}" type="pres">
      <dgm:prSet presAssocID="{135158BD-C5D0-4DF4-9748-23593CE1AF8D}" presName="Name0" presStyleCnt="0">
        <dgm:presLayoutVars>
          <dgm:dir/>
          <dgm:resizeHandles val="exact"/>
        </dgm:presLayoutVars>
      </dgm:prSet>
      <dgm:spPr/>
    </dgm:pt>
    <dgm:pt modelId="{16276D3E-6E10-4F1D-AEB7-063017BA3ED9}" type="pres">
      <dgm:prSet presAssocID="{82F1D63D-33D0-4D77-99E0-0A98FBEDDE8F}" presName="node" presStyleLbl="node1" presStyleIdx="0" presStyleCnt="3">
        <dgm:presLayoutVars>
          <dgm:bulletEnabled val="1"/>
        </dgm:presLayoutVars>
      </dgm:prSet>
      <dgm:spPr/>
    </dgm:pt>
    <dgm:pt modelId="{4B0021FE-CF18-4E3E-AADE-50C9D9C4A8C5}" type="pres">
      <dgm:prSet presAssocID="{28EAC881-06E6-488C-9B4D-6E5D7A0F3CF2}" presName="sibTrans" presStyleCnt="0"/>
      <dgm:spPr/>
    </dgm:pt>
    <dgm:pt modelId="{98939158-DC75-48F5-ACE2-2B7FFDFCCBCF}" type="pres">
      <dgm:prSet presAssocID="{F1A2E327-EAAF-4F40-BD08-4A535C45A29F}" presName="node" presStyleLbl="node1" presStyleIdx="1" presStyleCnt="3" custLinFactNeighborX="20902" custLinFactNeighborY="1099">
        <dgm:presLayoutVars>
          <dgm:bulletEnabled val="1"/>
        </dgm:presLayoutVars>
      </dgm:prSet>
      <dgm:spPr/>
    </dgm:pt>
    <dgm:pt modelId="{CF84190B-5A1C-4D74-9240-618E123136AC}" type="pres">
      <dgm:prSet presAssocID="{04967815-AE27-413C-877B-AEF58AFF4BC3}" presName="sibTrans" presStyleCnt="0"/>
      <dgm:spPr/>
    </dgm:pt>
    <dgm:pt modelId="{B96E66B3-EC49-4459-93D4-AA2D509BC50D}" type="pres">
      <dgm:prSet presAssocID="{E107A53C-9EBC-4325-A30B-6B8224AD4AF2}" presName="node" presStyleLbl="node1" presStyleIdx="2" presStyleCnt="3">
        <dgm:presLayoutVars>
          <dgm:bulletEnabled val="1"/>
        </dgm:presLayoutVars>
      </dgm:prSet>
      <dgm:spPr/>
    </dgm:pt>
  </dgm:ptLst>
  <dgm:cxnLst>
    <dgm:cxn modelId="{E7C99211-FA02-4F49-A5C2-729D2FC4815E}" srcId="{135158BD-C5D0-4DF4-9748-23593CE1AF8D}" destId="{82F1D63D-33D0-4D77-99E0-0A98FBEDDE8F}" srcOrd="0" destOrd="0" parTransId="{4E39EE75-FA0F-47D1-9B8B-37713EBC6932}" sibTransId="{28EAC881-06E6-488C-9B4D-6E5D7A0F3CF2}"/>
    <dgm:cxn modelId="{2F894D13-392F-4780-B65C-591CE0DE64AD}" srcId="{135158BD-C5D0-4DF4-9748-23593CE1AF8D}" destId="{F1A2E327-EAAF-4F40-BD08-4A535C45A29F}" srcOrd="1" destOrd="0" parTransId="{369F176B-C9E5-4A8D-8760-CFDFB3C3DEFF}" sibTransId="{04967815-AE27-413C-877B-AEF58AFF4BC3}"/>
    <dgm:cxn modelId="{F9EE6F19-FB76-4015-90E7-89703B06421D}" srcId="{135158BD-C5D0-4DF4-9748-23593CE1AF8D}" destId="{E107A53C-9EBC-4325-A30B-6B8224AD4AF2}" srcOrd="2" destOrd="0" parTransId="{710F60B1-804A-4D61-B163-8DBFA7CDAC31}" sibTransId="{C6411AD5-259E-4114-BEC5-8AA2C052588F}"/>
    <dgm:cxn modelId="{9DAD1320-19D0-4F7E-B941-9C077BC6B151}" type="presOf" srcId="{AFC9D1DE-C9B6-48D9-9FAE-EE674BCB4065}" destId="{B96E66B3-EC49-4459-93D4-AA2D509BC50D}" srcOrd="0" destOrd="2" presId="urn:microsoft.com/office/officeart/2005/8/layout/hList6"/>
    <dgm:cxn modelId="{018D9C63-A260-43FE-8712-77A7F303A461}" type="presOf" srcId="{A2D2D7E0-F644-4BB2-B232-B4FAFCCCE8B3}" destId="{16276D3E-6E10-4F1D-AEB7-063017BA3ED9}" srcOrd="0" destOrd="2" presId="urn:microsoft.com/office/officeart/2005/8/layout/hList6"/>
    <dgm:cxn modelId="{45D9C56C-EFA1-46E8-8392-3EA61D116F32}" type="presOf" srcId="{6B334FA2-3934-425B-94A9-B564FDE38B0C}" destId="{98939158-DC75-48F5-ACE2-2B7FFDFCCBCF}" srcOrd="0" destOrd="1" presId="urn:microsoft.com/office/officeart/2005/8/layout/hList6"/>
    <dgm:cxn modelId="{75C6A771-A894-4DD7-932D-734F3152B1F1}" type="presOf" srcId="{60A794E7-75C3-4722-A00F-D69F9F4E21B4}" destId="{B96E66B3-EC49-4459-93D4-AA2D509BC50D}" srcOrd="0" destOrd="1" presId="urn:microsoft.com/office/officeart/2005/8/layout/hList6"/>
    <dgm:cxn modelId="{1C48DD56-5EEA-4709-9A90-ECC4E6C730B2}" type="presOf" srcId="{E107A53C-9EBC-4325-A30B-6B8224AD4AF2}" destId="{B96E66B3-EC49-4459-93D4-AA2D509BC50D}" srcOrd="0" destOrd="0" presId="urn:microsoft.com/office/officeart/2005/8/layout/hList6"/>
    <dgm:cxn modelId="{AD87148D-A411-4522-9A1C-39F8248E6B3D}" srcId="{E107A53C-9EBC-4325-A30B-6B8224AD4AF2}" destId="{60A794E7-75C3-4722-A00F-D69F9F4E21B4}" srcOrd="0" destOrd="0" parTransId="{A3D76930-7EA3-40D3-917B-3864CE0A77E1}" sibTransId="{781A0AAE-EABE-48FA-BD97-AAEBD627043D}"/>
    <dgm:cxn modelId="{D9D8BB96-C870-4416-8E1B-4FC9CCBE6999}" type="presOf" srcId="{8BAEFD1A-C5A7-4CCA-90D8-9BEFAA0EC77E}" destId="{98939158-DC75-48F5-ACE2-2B7FFDFCCBCF}" srcOrd="0" destOrd="2" presId="urn:microsoft.com/office/officeart/2005/8/layout/hList6"/>
    <dgm:cxn modelId="{8B372EA6-81E3-4688-8837-E2AFBEB6C382}" srcId="{F1A2E327-EAAF-4F40-BD08-4A535C45A29F}" destId="{6B334FA2-3934-425B-94A9-B564FDE38B0C}" srcOrd="0" destOrd="0" parTransId="{2B79287C-777D-4E8D-8236-8D550EC47561}" sibTransId="{F9A96472-6D5C-4D90-835B-047E29DB24CD}"/>
    <dgm:cxn modelId="{1DAFDDAF-2A56-436D-9DF6-3B71ED5F275A}" srcId="{F1A2E327-EAAF-4F40-BD08-4A535C45A29F}" destId="{8BAEFD1A-C5A7-4CCA-90D8-9BEFAA0EC77E}" srcOrd="1" destOrd="0" parTransId="{60B2F371-7EE5-43C5-8342-4C136A7C750D}" sibTransId="{C029DA80-2A39-405A-8E40-767FCDA3E801}"/>
    <dgm:cxn modelId="{69C1B8C3-FEC2-417C-B202-FBF80B0A123F}" type="presOf" srcId="{F1A2E327-EAAF-4F40-BD08-4A535C45A29F}" destId="{98939158-DC75-48F5-ACE2-2B7FFDFCCBCF}" srcOrd="0" destOrd="0" presId="urn:microsoft.com/office/officeart/2005/8/layout/hList6"/>
    <dgm:cxn modelId="{DB622EDC-20BD-4C99-B48E-603D431F931A}" srcId="{82F1D63D-33D0-4D77-99E0-0A98FBEDDE8F}" destId="{A2D2D7E0-F644-4BB2-B232-B4FAFCCCE8B3}" srcOrd="1" destOrd="0" parTransId="{3E33358B-C7EF-4B0C-8F5A-279AA14F15EF}" sibTransId="{4B8F4FA7-D234-4545-A328-78944E1C780F}"/>
    <dgm:cxn modelId="{A967E6E2-E7FA-48AC-9CC9-8D3C8ED8C9D7}" type="presOf" srcId="{94D45B2B-4D61-4B22-865D-114A9CF56848}" destId="{16276D3E-6E10-4F1D-AEB7-063017BA3ED9}" srcOrd="0" destOrd="1" presId="urn:microsoft.com/office/officeart/2005/8/layout/hList6"/>
    <dgm:cxn modelId="{05B27DE6-93FF-4CDB-9269-63E17FEBCF92}" type="presOf" srcId="{135158BD-C5D0-4DF4-9748-23593CE1AF8D}" destId="{1930F43A-FE55-4715-8554-32CB89EF78B3}" srcOrd="0" destOrd="0" presId="urn:microsoft.com/office/officeart/2005/8/layout/hList6"/>
    <dgm:cxn modelId="{EF9EAFEA-69CE-4193-8FE2-9A77EFDE3F84}" type="presOf" srcId="{82F1D63D-33D0-4D77-99E0-0A98FBEDDE8F}" destId="{16276D3E-6E10-4F1D-AEB7-063017BA3ED9}" srcOrd="0" destOrd="0" presId="urn:microsoft.com/office/officeart/2005/8/layout/hList6"/>
    <dgm:cxn modelId="{8A42E3EA-A4F3-425C-820B-75E71308FC04}" srcId="{82F1D63D-33D0-4D77-99E0-0A98FBEDDE8F}" destId="{94D45B2B-4D61-4B22-865D-114A9CF56848}" srcOrd="0" destOrd="0" parTransId="{9CDDA9EB-42A4-404C-A3AB-8ED578E712AB}" sibTransId="{4E95CC7B-C9FB-4F87-8EF6-DD37F8155AAB}"/>
    <dgm:cxn modelId="{36FA1DF4-72D5-4FAE-8265-A6AA50B2E6F7}" srcId="{E107A53C-9EBC-4325-A30B-6B8224AD4AF2}" destId="{AFC9D1DE-C9B6-48D9-9FAE-EE674BCB4065}" srcOrd="1" destOrd="0" parTransId="{D3A6E72D-5384-4333-B54B-180B83E2976A}" sibTransId="{AC48996C-C2AE-4691-9BDF-8D6C866AE85A}"/>
    <dgm:cxn modelId="{AEA1CF39-600E-4952-843A-62A6583CE7DB}" type="presParOf" srcId="{1930F43A-FE55-4715-8554-32CB89EF78B3}" destId="{16276D3E-6E10-4F1D-AEB7-063017BA3ED9}" srcOrd="0" destOrd="0" presId="urn:microsoft.com/office/officeart/2005/8/layout/hList6"/>
    <dgm:cxn modelId="{F3B8BC8A-3538-4EDD-8E71-25B77B4F7B04}" type="presParOf" srcId="{1930F43A-FE55-4715-8554-32CB89EF78B3}" destId="{4B0021FE-CF18-4E3E-AADE-50C9D9C4A8C5}" srcOrd="1" destOrd="0" presId="urn:microsoft.com/office/officeart/2005/8/layout/hList6"/>
    <dgm:cxn modelId="{CA5C910A-257D-43A1-8F18-70F28F31466F}" type="presParOf" srcId="{1930F43A-FE55-4715-8554-32CB89EF78B3}" destId="{98939158-DC75-48F5-ACE2-2B7FFDFCCBCF}" srcOrd="2" destOrd="0" presId="urn:microsoft.com/office/officeart/2005/8/layout/hList6"/>
    <dgm:cxn modelId="{8A92D22B-89C3-4E9E-8BFF-E20867260593}" type="presParOf" srcId="{1930F43A-FE55-4715-8554-32CB89EF78B3}" destId="{CF84190B-5A1C-4D74-9240-618E123136AC}" srcOrd="3" destOrd="0" presId="urn:microsoft.com/office/officeart/2005/8/layout/hList6"/>
    <dgm:cxn modelId="{F13BAE08-B289-4B65-BD2C-84F88C340930}" type="presParOf" srcId="{1930F43A-FE55-4715-8554-32CB89EF78B3}" destId="{B96E66B3-EC49-4459-93D4-AA2D509BC50D}" srcOrd="4" destOrd="0" presId="urn:microsoft.com/office/officeart/2005/8/layout/h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9F8D7C-39A8-4391-B7EA-56B94C4096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IN"/>
        </a:p>
      </dgm:t>
    </dgm:pt>
    <dgm:pt modelId="{D12A03C4-1D59-4411-85A6-D6EDC696E25C}">
      <dgm:prSet phldrT="[Text]" custT="1"/>
      <dgm:spPr/>
      <dgm:t>
        <a:bodyPr/>
        <a:lstStyle/>
        <a:p>
          <a:pPr algn="l"/>
          <a:endParaRPr lang="en-IN" sz="1200"/>
        </a:p>
        <a:p>
          <a:pPr algn="l"/>
          <a:endParaRPr lang="en-IN" sz="1200">
            <a:latin typeface="Arial" panose="020B0604020202020204" pitchFamily="34" charset="0"/>
            <a:cs typeface="Arial" panose="020B0604020202020204" pitchFamily="34" charset="0"/>
          </a:endParaRPr>
        </a:p>
        <a:p>
          <a:pPr algn="just"/>
          <a:r>
            <a:rPr lang="en-IN" sz="1200">
              <a:latin typeface="Times New Roman" panose="02020603050405020304" pitchFamily="18" charset="0"/>
              <a:cs typeface="Times New Roman" panose="02020603050405020304" pitchFamily="18" charset="0"/>
            </a:rPr>
            <a:t>Rapid expansion</a:t>
          </a:r>
        </a:p>
        <a:p>
          <a:pPr algn="just"/>
          <a:r>
            <a:rPr lang="en-IN" sz="1200">
              <a:latin typeface="Times New Roman" panose="02020603050405020304" pitchFamily="18" charset="0"/>
              <a:cs typeface="Times New Roman" panose="02020603050405020304" pitchFamily="18" charset="0"/>
            </a:rPr>
            <a:t>1) The industry is expected to attract US$ 25 million investment in exploration</a:t>
          </a:r>
        </a:p>
        <a:p>
          <a:pPr algn="just"/>
          <a:r>
            <a:rPr lang="en-IN" sz="1200">
              <a:latin typeface="Times New Roman" panose="02020603050405020304" pitchFamily="18" charset="0"/>
              <a:cs typeface="Times New Roman" panose="02020603050405020304" pitchFamily="18" charset="0"/>
            </a:rPr>
            <a:t>2) Increase in refining capacity</a:t>
          </a:r>
        </a:p>
        <a:p>
          <a:pPr algn="l"/>
          <a:endParaRPr lang="en-IN" sz="1200"/>
        </a:p>
        <a:p>
          <a:pPr algn="ctr"/>
          <a:endParaRPr lang="en-IN" sz="800"/>
        </a:p>
      </dgm:t>
    </dgm:pt>
    <dgm:pt modelId="{F2BC0030-1F03-4281-9844-A282FFBACAB0}" type="parTrans" cxnId="{0AB3B34B-1157-41FA-9A64-3645CAB8A7AF}">
      <dgm:prSet/>
      <dgm:spPr/>
      <dgm:t>
        <a:bodyPr/>
        <a:lstStyle/>
        <a:p>
          <a:endParaRPr lang="en-IN"/>
        </a:p>
      </dgm:t>
    </dgm:pt>
    <dgm:pt modelId="{906A5DF8-209E-4FE0-A7F6-42F925A378E7}" type="sibTrans" cxnId="{0AB3B34B-1157-41FA-9A64-3645CAB8A7AF}">
      <dgm:prSet/>
      <dgm:spPr/>
      <dgm:t>
        <a:bodyPr/>
        <a:lstStyle/>
        <a:p>
          <a:endParaRPr lang="en-IN"/>
        </a:p>
      </dgm:t>
    </dgm:pt>
    <dgm:pt modelId="{12CB7D67-1CC6-467C-8A3C-7D50357951CB}">
      <dgm:prSet phldrT="[Text]" custT="1"/>
      <dgm:spPr/>
      <dgm:t>
        <a:bodyPr/>
        <a:lstStyle/>
        <a:p>
          <a:pPr algn="just"/>
          <a:r>
            <a:rPr lang="en-IN" sz="1200">
              <a:latin typeface="Times New Roman" panose="02020603050405020304" pitchFamily="18" charset="0"/>
              <a:cs typeface="Times New Roman" panose="02020603050405020304" pitchFamily="18" charset="0"/>
            </a:rPr>
            <a:t>Policy Support</a:t>
          </a:r>
        </a:p>
        <a:p>
          <a:pPr algn="just"/>
          <a:r>
            <a:rPr lang="en-IN" sz="1200">
              <a:latin typeface="Times New Roman" panose="02020603050405020304" pitchFamily="18" charset="0"/>
              <a:cs typeface="Times New Roman" panose="02020603050405020304" pitchFamily="18" charset="0"/>
            </a:rPr>
            <a:t>1) Government has enacted various policies such as OLAP and CBM to encourage investments</a:t>
          </a:r>
        </a:p>
        <a:p>
          <a:pPr algn="just"/>
          <a:r>
            <a:rPr lang="en-IN" sz="1200">
              <a:latin typeface="Times New Roman" panose="02020603050405020304" pitchFamily="18" charset="0"/>
              <a:cs typeface="Times New Roman" panose="02020603050405020304" pitchFamily="18" charset="0"/>
            </a:rPr>
            <a:t>2) Approved incentives in Oil fields.</a:t>
          </a:r>
        </a:p>
      </dgm:t>
    </dgm:pt>
    <dgm:pt modelId="{F615058E-7D6C-4F82-982D-72CF1BEDD699}" type="parTrans" cxnId="{18897F79-F028-49EA-8E18-B428DD154498}">
      <dgm:prSet/>
      <dgm:spPr/>
      <dgm:t>
        <a:bodyPr/>
        <a:lstStyle/>
        <a:p>
          <a:endParaRPr lang="en-IN"/>
        </a:p>
      </dgm:t>
    </dgm:pt>
    <dgm:pt modelId="{02B22851-E91F-4D4F-BCB0-29EC4A876C65}" type="sibTrans" cxnId="{18897F79-F028-49EA-8E18-B428DD154498}">
      <dgm:prSet/>
      <dgm:spPr/>
      <dgm:t>
        <a:bodyPr/>
        <a:lstStyle/>
        <a:p>
          <a:endParaRPr lang="en-IN"/>
        </a:p>
      </dgm:t>
    </dgm:pt>
    <dgm:pt modelId="{7F189945-495B-4EAD-BBF9-76A957D0EEDD}">
      <dgm:prSet phldrT="[Text]" phldr="1"/>
      <dgm:spPr/>
      <dgm:t>
        <a:bodyPr/>
        <a:lstStyle/>
        <a:p>
          <a:endParaRPr lang="en-IN"/>
        </a:p>
      </dgm:t>
    </dgm:pt>
    <dgm:pt modelId="{CA08637D-67AC-4FFB-ADE7-1C0EE3B396B3}" type="parTrans" cxnId="{95120493-6E68-4B4F-AF31-9B4093ED1C03}">
      <dgm:prSet/>
      <dgm:spPr/>
      <dgm:t>
        <a:bodyPr/>
        <a:lstStyle/>
        <a:p>
          <a:endParaRPr lang="en-IN"/>
        </a:p>
      </dgm:t>
    </dgm:pt>
    <dgm:pt modelId="{5FB67832-E01C-4F43-A123-19C3A83BF1FF}" type="sibTrans" cxnId="{95120493-6E68-4B4F-AF31-9B4093ED1C03}">
      <dgm:prSet/>
      <dgm:spPr/>
      <dgm:t>
        <a:bodyPr/>
        <a:lstStyle/>
        <a:p>
          <a:endParaRPr lang="en-IN"/>
        </a:p>
      </dgm:t>
    </dgm:pt>
    <dgm:pt modelId="{19700CEC-9F97-4251-9CC4-C897B4B728CB}">
      <dgm:prSet custT="1"/>
      <dgm:spPr/>
      <dgm:t>
        <a:bodyPr/>
        <a:lstStyle/>
        <a:p>
          <a:pPr algn="just">
            <a:buNone/>
          </a:pPr>
          <a:r>
            <a:rPr lang="en-IN" sz="1200">
              <a:latin typeface="Times New Roman" panose="02020603050405020304" pitchFamily="18" charset="0"/>
              <a:cs typeface="Times New Roman" panose="02020603050405020304" pitchFamily="18" charset="0"/>
            </a:rPr>
            <a:t>Growing Demand</a:t>
          </a:r>
        </a:p>
      </dgm:t>
    </dgm:pt>
    <dgm:pt modelId="{08C12D8A-F900-49BD-A69C-B75335C1675D}" type="parTrans" cxnId="{7F95D710-7662-4A9D-9EC3-61B22684D2E7}">
      <dgm:prSet/>
      <dgm:spPr/>
      <dgm:t>
        <a:bodyPr/>
        <a:lstStyle/>
        <a:p>
          <a:endParaRPr lang="en-IN"/>
        </a:p>
      </dgm:t>
    </dgm:pt>
    <dgm:pt modelId="{E4180C43-1513-4838-B428-743755A358B3}" type="sibTrans" cxnId="{7F95D710-7662-4A9D-9EC3-61B22684D2E7}">
      <dgm:prSet/>
      <dgm:spPr/>
      <dgm:t>
        <a:bodyPr/>
        <a:lstStyle/>
        <a:p>
          <a:endParaRPr lang="en-IN"/>
        </a:p>
      </dgm:t>
    </dgm:pt>
    <dgm:pt modelId="{B11FA0B8-792E-4E8A-A896-DC510C422BAD}">
      <dgm:prSet custT="1"/>
      <dgm:spPr/>
      <dgm:t>
        <a:bodyPr/>
        <a:lstStyle/>
        <a:p>
          <a:pPr algn="just">
            <a:buFont typeface="Symbol" panose="05050102010706020507" pitchFamily="18" charset="2"/>
            <a:buNone/>
          </a:pPr>
          <a:r>
            <a:rPr lang="en-IN" sz="1200">
              <a:latin typeface="Times New Roman" panose="02020603050405020304" pitchFamily="18" charset="0"/>
              <a:cs typeface="Times New Roman" panose="02020603050405020304" pitchFamily="18" charset="0"/>
            </a:rPr>
            <a:t>1) India is the largest energy consumer</a:t>
          </a:r>
        </a:p>
      </dgm:t>
    </dgm:pt>
    <dgm:pt modelId="{DA7F2F5A-0BCD-4134-9AD0-FA3CE6556E46}" type="parTrans" cxnId="{23A1AED4-C6B9-4AE5-8F0A-B5AA78DB4C50}">
      <dgm:prSet/>
      <dgm:spPr/>
      <dgm:t>
        <a:bodyPr/>
        <a:lstStyle/>
        <a:p>
          <a:endParaRPr lang="en-IN"/>
        </a:p>
      </dgm:t>
    </dgm:pt>
    <dgm:pt modelId="{7C512803-0D4E-49C4-BF7D-7CF2B75C88EF}" type="sibTrans" cxnId="{23A1AED4-C6B9-4AE5-8F0A-B5AA78DB4C50}">
      <dgm:prSet/>
      <dgm:spPr/>
      <dgm:t>
        <a:bodyPr/>
        <a:lstStyle/>
        <a:p>
          <a:endParaRPr lang="en-IN"/>
        </a:p>
      </dgm:t>
    </dgm:pt>
    <dgm:pt modelId="{10E3A2F9-E06E-4E5D-ADF2-CE36F129FBFE}">
      <dgm:prSet custT="1"/>
      <dgm:spPr/>
      <dgm:t>
        <a:bodyPr/>
        <a:lstStyle/>
        <a:p>
          <a:pPr algn="just">
            <a:buFont typeface="Symbol" panose="05050102010706020507" pitchFamily="18" charset="2"/>
            <a:buNone/>
          </a:pPr>
          <a:r>
            <a:rPr lang="en-IN" sz="1200">
              <a:latin typeface="Times New Roman" panose="02020603050405020304" pitchFamily="18" charset="0"/>
              <a:cs typeface="Times New Roman" panose="02020603050405020304" pitchFamily="18" charset="0"/>
            </a:rPr>
            <a:t>2) Diesel demand in India is expected to 163 MMT</a:t>
          </a:r>
        </a:p>
      </dgm:t>
    </dgm:pt>
    <dgm:pt modelId="{020D5FCF-F6AC-4A80-84B0-C977D802068B}" type="parTrans" cxnId="{14491605-1355-49C8-88A0-CB50ED6FF780}">
      <dgm:prSet/>
      <dgm:spPr/>
      <dgm:t>
        <a:bodyPr/>
        <a:lstStyle/>
        <a:p>
          <a:endParaRPr lang="en-IN"/>
        </a:p>
      </dgm:t>
    </dgm:pt>
    <dgm:pt modelId="{00E72895-1C3A-44F9-B944-6F811C4D8B43}" type="sibTrans" cxnId="{14491605-1355-49C8-88A0-CB50ED6FF780}">
      <dgm:prSet/>
      <dgm:spPr/>
      <dgm:t>
        <a:bodyPr/>
        <a:lstStyle/>
        <a:p>
          <a:endParaRPr lang="en-IN"/>
        </a:p>
      </dgm:t>
    </dgm:pt>
    <dgm:pt modelId="{D77D8F9C-7847-4EEF-82FD-21DBF0453F96}">
      <dgm:prSet phldrT="[Text]" custT="1"/>
      <dgm:spPr/>
      <dgm:t>
        <a:bodyPr/>
        <a:lstStyle/>
        <a:p>
          <a:pPr algn="ctr"/>
          <a:endParaRPr lang="en-IN" sz="1200">
            <a:latin typeface="Times New Roman" panose="02020603050405020304" pitchFamily="18" charset="0"/>
            <a:cs typeface="Times New Roman" panose="02020603050405020304" pitchFamily="18" charset="0"/>
          </a:endParaRPr>
        </a:p>
        <a:p>
          <a:pPr algn="l"/>
          <a:endParaRPr lang="en-IN" sz="1200">
            <a:latin typeface="Arial" panose="020B0604020202020204" pitchFamily="34" charset="0"/>
            <a:cs typeface="Arial" panose="020B0604020202020204" pitchFamily="34" charset="0"/>
          </a:endParaRPr>
        </a:p>
        <a:p>
          <a:pPr algn="l"/>
          <a:endParaRPr lang="en-IN" sz="1200">
            <a:latin typeface="Arial" panose="020B0604020202020204" pitchFamily="34" charset="0"/>
            <a:cs typeface="Arial" panose="020B0604020202020204" pitchFamily="34" charset="0"/>
          </a:endParaRPr>
        </a:p>
        <a:p>
          <a:pPr algn="just"/>
          <a:r>
            <a:rPr lang="en-IN" sz="1200">
              <a:latin typeface="Times New Roman" panose="02020603050405020304" pitchFamily="18" charset="0"/>
              <a:cs typeface="Times New Roman" panose="02020603050405020304" pitchFamily="18" charset="0"/>
            </a:rPr>
            <a:t>FDI Guidelines</a:t>
          </a:r>
        </a:p>
        <a:p>
          <a:pPr algn="just"/>
          <a:r>
            <a:rPr lang="en-IN" sz="1200">
              <a:latin typeface="Times New Roman" panose="02020603050405020304" pitchFamily="18" charset="0"/>
              <a:cs typeface="Times New Roman" panose="02020603050405020304" pitchFamily="18" charset="0"/>
            </a:rPr>
            <a:t>1) The Government allowed 100% FDI in upstream and private refinig projects</a:t>
          </a:r>
        </a:p>
        <a:p>
          <a:pPr algn="just"/>
          <a:r>
            <a:rPr lang="en-IN" sz="1200">
              <a:latin typeface="Times New Roman" panose="02020603050405020304" pitchFamily="18" charset="0"/>
              <a:cs typeface="Times New Roman" panose="02020603050405020304" pitchFamily="18" charset="0"/>
            </a:rPr>
            <a:t>2) The FDI in the public sector has risen to 49%</a:t>
          </a:r>
        </a:p>
        <a:p>
          <a:pPr algn="ctr"/>
          <a:endParaRPr lang="en-IN" sz="1200">
            <a:latin typeface="Arial" panose="020B0604020202020204" pitchFamily="34" charset="0"/>
            <a:cs typeface="Arial" panose="020B0604020202020204" pitchFamily="34" charset="0"/>
          </a:endParaRPr>
        </a:p>
        <a:p>
          <a:pPr algn="ctr"/>
          <a:endParaRPr lang="en-IN" sz="800"/>
        </a:p>
        <a:p>
          <a:pPr algn="ctr"/>
          <a:endParaRPr lang="en-IN" sz="800"/>
        </a:p>
        <a:p>
          <a:pPr algn="ctr"/>
          <a:endParaRPr lang="en-IN" sz="800"/>
        </a:p>
        <a:p>
          <a:pPr algn="ctr"/>
          <a:endParaRPr lang="en-IN" sz="800"/>
        </a:p>
      </dgm:t>
    </dgm:pt>
    <dgm:pt modelId="{73AF735C-57B9-4756-9E74-93DC69982DEC}" type="sibTrans" cxnId="{84434F7E-BDAB-4CA1-9256-3F3D97FA8657}">
      <dgm:prSet/>
      <dgm:spPr/>
      <dgm:t>
        <a:bodyPr/>
        <a:lstStyle/>
        <a:p>
          <a:endParaRPr lang="en-IN"/>
        </a:p>
      </dgm:t>
    </dgm:pt>
    <dgm:pt modelId="{2184BF5F-4C15-4A1B-8AC2-A960CE6476AD}" type="parTrans" cxnId="{84434F7E-BDAB-4CA1-9256-3F3D97FA8657}">
      <dgm:prSet/>
      <dgm:spPr/>
      <dgm:t>
        <a:bodyPr/>
        <a:lstStyle/>
        <a:p>
          <a:endParaRPr lang="en-IN"/>
        </a:p>
      </dgm:t>
    </dgm:pt>
    <dgm:pt modelId="{3AE4857C-0BF2-49C9-A74C-39C9D6095158}" type="pres">
      <dgm:prSet presAssocID="{AE9F8D7C-39A8-4391-B7EA-56B94C4096FD}" presName="matrix" presStyleCnt="0">
        <dgm:presLayoutVars>
          <dgm:chMax val="1"/>
          <dgm:dir/>
          <dgm:resizeHandles val="exact"/>
        </dgm:presLayoutVars>
      </dgm:prSet>
      <dgm:spPr/>
    </dgm:pt>
    <dgm:pt modelId="{FA2750F6-7FE8-4785-812F-1AC2A1E5736F}" type="pres">
      <dgm:prSet presAssocID="{AE9F8D7C-39A8-4391-B7EA-56B94C4096FD}" presName="axisShape" presStyleLbl="bgShp" presStyleIdx="0" presStyleCnt="1"/>
      <dgm:spPr/>
    </dgm:pt>
    <dgm:pt modelId="{7BE11E0D-2624-44B9-961F-A93EB5BB0E5C}" type="pres">
      <dgm:prSet presAssocID="{AE9F8D7C-39A8-4391-B7EA-56B94C4096FD}" presName="rect1" presStyleLbl="node1" presStyleIdx="0" presStyleCnt="4" custScaleX="108968" custScaleY="92398">
        <dgm:presLayoutVars>
          <dgm:chMax val="0"/>
          <dgm:chPref val="0"/>
          <dgm:bulletEnabled val="1"/>
        </dgm:presLayoutVars>
      </dgm:prSet>
      <dgm:spPr/>
    </dgm:pt>
    <dgm:pt modelId="{2EB06368-E9D7-423D-BC65-3C818898EDE5}" type="pres">
      <dgm:prSet presAssocID="{AE9F8D7C-39A8-4391-B7EA-56B94C4096FD}" presName="rect2" presStyleLbl="node1" presStyleIdx="1" presStyleCnt="4" custScaleX="109463" custScaleY="96664">
        <dgm:presLayoutVars>
          <dgm:chMax val="0"/>
          <dgm:chPref val="0"/>
          <dgm:bulletEnabled val="1"/>
        </dgm:presLayoutVars>
      </dgm:prSet>
      <dgm:spPr/>
    </dgm:pt>
    <dgm:pt modelId="{52D202CF-A607-40DE-BE3B-144C76894644}" type="pres">
      <dgm:prSet presAssocID="{AE9F8D7C-39A8-4391-B7EA-56B94C4096FD}" presName="rect3" presStyleLbl="node1" presStyleIdx="2" presStyleCnt="4" custScaleX="111206" custScaleY="92547" custLinFactNeighborX="-408">
        <dgm:presLayoutVars>
          <dgm:chMax val="0"/>
          <dgm:chPref val="0"/>
          <dgm:bulletEnabled val="1"/>
        </dgm:presLayoutVars>
      </dgm:prSet>
      <dgm:spPr/>
    </dgm:pt>
    <dgm:pt modelId="{AA3F1CE3-41B8-4CFB-B185-1F6C0F2CF04A}" type="pres">
      <dgm:prSet presAssocID="{AE9F8D7C-39A8-4391-B7EA-56B94C4096FD}" presName="rect4" presStyleLbl="node1" presStyleIdx="3" presStyleCnt="4" custScaleX="117142" custScaleY="89670" custLinFactNeighborX="5120" custLinFactNeighborY="445">
        <dgm:presLayoutVars>
          <dgm:chMax val="0"/>
          <dgm:chPref val="0"/>
          <dgm:bulletEnabled val="1"/>
        </dgm:presLayoutVars>
      </dgm:prSet>
      <dgm:spPr/>
    </dgm:pt>
  </dgm:ptLst>
  <dgm:cxnLst>
    <dgm:cxn modelId="{14491605-1355-49C8-88A0-CB50ED6FF780}" srcId="{19700CEC-9F97-4251-9CC4-C897B4B728CB}" destId="{10E3A2F9-E06E-4E5D-ADF2-CE36F129FBFE}" srcOrd="1" destOrd="0" parTransId="{020D5FCF-F6AC-4A80-84B0-C977D802068B}" sibTransId="{00E72895-1C3A-44F9-B944-6F811C4D8B43}"/>
    <dgm:cxn modelId="{C42FA40C-712B-4B4D-A0CE-618A53F05159}" type="presOf" srcId="{19700CEC-9F97-4251-9CC4-C897B4B728CB}" destId="{2EB06368-E9D7-423D-BC65-3C818898EDE5}" srcOrd="0" destOrd="0" presId="urn:microsoft.com/office/officeart/2005/8/layout/matrix2"/>
    <dgm:cxn modelId="{7F95D710-7662-4A9D-9EC3-61B22684D2E7}" srcId="{AE9F8D7C-39A8-4391-B7EA-56B94C4096FD}" destId="{19700CEC-9F97-4251-9CC4-C897B4B728CB}" srcOrd="1" destOrd="0" parTransId="{08C12D8A-F900-49BD-A69C-B75335C1675D}" sibTransId="{E4180C43-1513-4838-B428-743755A358B3}"/>
    <dgm:cxn modelId="{7223C846-4F3D-4578-8ACD-450E55E08F00}" type="presOf" srcId="{B11FA0B8-792E-4E8A-A896-DC510C422BAD}" destId="{2EB06368-E9D7-423D-BC65-3C818898EDE5}" srcOrd="0" destOrd="1" presId="urn:microsoft.com/office/officeart/2005/8/layout/matrix2"/>
    <dgm:cxn modelId="{0AB3B34B-1157-41FA-9A64-3645CAB8A7AF}" srcId="{AE9F8D7C-39A8-4391-B7EA-56B94C4096FD}" destId="{D12A03C4-1D59-4411-85A6-D6EDC696E25C}" srcOrd="0" destOrd="0" parTransId="{F2BC0030-1F03-4281-9844-A282FFBACAB0}" sibTransId="{906A5DF8-209E-4FE0-A7F6-42F925A378E7}"/>
    <dgm:cxn modelId="{18897F79-F028-49EA-8E18-B428DD154498}" srcId="{AE9F8D7C-39A8-4391-B7EA-56B94C4096FD}" destId="{12CB7D67-1CC6-467C-8A3C-7D50357951CB}" srcOrd="3" destOrd="0" parTransId="{F615058E-7D6C-4F82-982D-72CF1BEDD699}" sibTransId="{02B22851-E91F-4D4F-BCB0-29EC4A876C65}"/>
    <dgm:cxn modelId="{84434F7E-BDAB-4CA1-9256-3F3D97FA8657}" srcId="{AE9F8D7C-39A8-4391-B7EA-56B94C4096FD}" destId="{D77D8F9C-7847-4EEF-82FD-21DBF0453F96}" srcOrd="2" destOrd="0" parTransId="{2184BF5F-4C15-4A1B-8AC2-A960CE6476AD}" sibTransId="{73AF735C-57B9-4756-9E74-93DC69982DEC}"/>
    <dgm:cxn modelId="{9A650E8E-342C-4087-A2C8-AD509B1BA06A}" type="presOf" srcId="{D77D8F9C-7847-4EEF-82FD-21DBF0453F96}" destId="{52D202CF-A607-40DE-BE3B-144C76894644}" srcOrd="0" destOrd="0" presId="urn:microsoft.com/office/officeart/2005/8/layout/matrix2"/>
    <dgm:cxn modelId="{DDC6B191-46F3-4201-8CCC-4D5D165F0CB1}" type="presOf" srcId="{AE9F8D7C-39A8-4391-B7EA-56B94C4096FD}" destId="{3AE4857C-0BF2-49C9-A74C-39C9D6095158}" srcOrd="0" destOrd="0" presId="urn:microsoft.com/office/officeart/2005/8/layout/matrix2"/>
    <dgm:cxn modelId="{95120493-6E68-4B4F-AF31-9B4093ED1C03}" srcId="{AE9F8D7C-39A8-4391-B7EA-56B94C4096FD}" destId="{7F189945-495B-4EAD-BBF9-76A957D0EEDD}" srcOrd="4" destOrd="0" parTransId="{CA08637D-67AC-4FFB-ADE7-1C0EE3B396B3}" sibTransId="{5FB67832-E01C-4F43-A123-19C3A83BF1FF}"/>
    <dgm:cxn modelId="{1EF4BCC6-F869-47FC-BD69-3CE5947212E3}" type="presOf" srcId="{10E3A2F9-E06E-4E5D-ADF2-CE36F129FBFE}" destId="{2EB06368-E9D7-423D-BC65-3C818898EDE5}" srcOrd="0" destOrd="2" presId="urn:microsoft.com/office/officeart/2005/8/layout/matrix2"/>
    <dgm:cxn modelId="{BFD42CD4-7710-49BE-B8C9-3DD62AE4BAD6}" type="presOf" srcId="{12CB7D67-1CC6-467C-8A3C-7D50357951CB}" destId="{AA3F1CE3-41B8-4CFB-B185-1F6C0F2CF04A}" srcOrd="0" destOrd="0" presId="urn:microsoft.com/office/officeart/2005/8/layout/matrix2"/>
    <dgm:cxn modelId="{23A1AED4-C6B9-4AE5-8F0A-B5AA78DB4C50}" srcId="{19700CEC-9F97-4251-9CC4-C897B4B728CB}" destId="{B11FA0B8-792E-4E8A-A896-DC510C422BAD}" srcOrd="0" destOrd="0" parTransId="{DA7F2F5A-0BCD-4134-9AD0-FA3CE6556E46}" sibTransId="{7C512803-0D4E-49C4-BF7D-7CF2B75C88EF}"/>
    <dgm:cxn modelId="{640E6BDB-DBB7-4F36-A11D-68E267219273}" type="presOf" srcId="{D12A03C4-1D59-4411-85A6-D6EDC696E25C}" destId="{7BE11E0D-2624-44B9-961F-A93EB5BB0E5C}" srcOrd="0" destOrd="0" presId="urn:microsoft.com/office/officeart/2005/8/layout/matrix2"/>
    <dgm:cxn modelId="{D9112F0F-3B5D-4C3D-84E6-40220C59C48A}" type="presParOf" srcId="{3AE4857C-0BF2-49C9-A74C-39C9D6095158}" destId="{FA2750F6-7FE8-4785-812F-1AC2A1E5736F}" srcOrd="0" destOrd="0" presId="urn:microsoft.com/office/officeart/2005/8/layout/matrix2"/>
    <dgm:cxn modelId="{ED1031B4-41C0-4E2C-A57B-FB1E300A354F}" type="presParOf" srcId="{3AE4857C-0BF2-49C9-A74C-39C9D6095158}" destId="{7BE11E0D-2624-44B9-961F-A93EB5BB0E5C}" srcOrd="1" destOrd="0" presId="urn:microsoft.com/office/officeart/2005/8/layout/matrix2"/>
    <dgm:cxn modelId="{51250BCD-424D-4B3F-9BBE-8A169CB22062}" type="presParOf" srcId="{3AE4857C-0BF2-49C9-A74C-39C9D6095158}" destId="{2EB06368-E9D7-423D-BC65-3C818898EDE5}" srcOrd="2" destOrd="0" presId="urn:microsoft.com/office/officeart/2005/8/layout/matrix2"/>
    <dgm:cxn modelId="{13A03A86-C6DD-4087-8CE6-E544CCF1605A}" type="presParOf" srcId="{3AE4857C-0BF2-49C9-A74C-39C9D6095158}" destId="{52D202CF-A607-40DE-BE3B-144C76894644}" srcOrd="3" destOrd="0" presId="urn:microsoft.com/office/officeart/2005/8/layout/matrix2"/>
    <dgm:cxn modelId="{6C206064-8C6C-4F8F-8E48-80B9D5B94BEB}" type="presParOf" srcId="{3AE4857C-0BF2-49C9-A74C-39C9D6095158}" destId="{AA3F1CE3-41B8-4CFB-B185-1F6C0F2CF04A}" srcOrd="4" destOrd="0" presId="urn:microsoft.com/office/officeart/2005/8/layout/matrix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C2009DD-0F95-4D20-AD64-2AEF2445807A}"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IN"/>
        </a:p>
      </dgm:t>
    </dgm:pt>
    <dgm:pt modelId="{D48AC95E-434C-445A-83FB-62BED635FFD7}">
      <dgm:prSet phldrT="[Text]"/>
      <dgm:spPr/>
      <dgm:t>
        <a:bodyPr/>
        <a:lstStyle/>
        <a:p>
          <a:r>
            <a:rPr lang="en-IN">
              <a:latin typeface="Times New Roman" panose="02020603050405020304" pitchFamily="18" charset="0"/>
              <a:cs typeface="Times New Roman" panose="02020603050405020304" pitchFamily="18" charset="0"/>
            </a:rPr>
            <a:t>Technology</a:t>
          </a:r>
        </a:p>
      </dgm:t>
    </dgm:pt>
    <dgm:pt modelId="{5E19532F-0B23-420F-A83B-E564453C9981}" type="parTrans" cxnId="{BC1117F4-7341-4B14-A381-FD985AF95AD5}">
      <dgm:prSet/>
      <dgm:spPr/>
      <dgm:t>
        <a:bodyPr/>
        <a:lstStyle/>
        <a:p>
          <a:endParaRPr lang="en-IN">
            <a:latin typeface="Times New Roman" panose="02020603050405020304" pitchFamily="18" charset="0"/>
            <a:cs typeface="Times New Roman" panose="02020603050405020304" pitchFamily="18" charset="0"/>
          </a:endParaRPr>
        </a:p>
      </dgm:t>
    </dgm:pt>
    <dgm:pt modelId="{ADF77936-1B67-4D4F-B4B3-0C53E73CBA1A}" type="sibTrans" cxnId="{BC1117F4-7341-4B14-A381-FD985AF95AD5}">
      <dgm:prSet/>
      <dgm:spPr/>
      <dgm:t>
        <a:bodyPr/>
        <a:lstStyle/>
        <a:p>
          <a:endParaRPr lang="en-IN">
            <a:latin typeface="Times New Roman" panose="02020603050405020304" pitchFamily="18" charset="0"/>
            <a:cs typeface="Times New Roman" panose="02020603050405020304" pitchFamily="18" charset="0"/>
          </a:endParaRPr>
        </a:p>
      </dgm:t>
    </dgm:pt>
    <dgm:pt modelId="{44070473-C72F-48C8-91D3-DFCDD81C05D4}">
      <dgm:prSet phldrT="[Text]"/>
      <dgm:spPr/>
      <dgm:t>
        <a:bodyPr/>
        <a:lstStyle/>
        <a:p>
          <a:r>
            <a:rPr lang="en-IN">
              <a:latin typeface="Times New Roman" panose="02020603050405020304" pitchFamily="18" charset="0"/>
              <a:cs typeface="Times New Roman" panose="02020603050405020304" pitchFamily="18" charset="0"/>
            </a:rPr>
            <a:t>Political issues</a:t>
          </a:r>
        </a:p>
      </dgm:t>
    </dgm:pt>
    <dgm:pt modelId="{A43ED31F-E2F7-4148-95CE-26D5A3D0A20A}" type="parTrans" cxnId="{B3DEF9BC-9031-4FC0-B819-64A037CA457E}">
      <dgm:prSet/>
      <dgm:spPr/>
      <dgm:t>
        <a:bodyPr/>
        <a:lstStyle/>
        <a:p>
          <a:endParaRPr lang="en-IN">
            <a:latin typeface="Times New Roman" panose="02020603050405020304" pitchFamily="18" charset="0"/>
            <a:cs typeface="Times New Roman" panose="02020603050405020304" pitchFamily="18" charset="0"/>
          </a:endParaRPr>
        </a:p>
      </dgm:t>
    </dgm:pt>
    <dgm:pt modelId="{24B0D202-4CC9-4D81-94B7-B05F168A9E13}" type="sibTrans" cxnId="{B3DEF9BC-9031-4FC0-B819-64A037CA457E}">
      <dgm:prSet/>
      <dgm:spPr/>
      <dgm:t>
        <a:bodyPr/>
        <a:lstStyle/>
        <a:p>
          <a:endParaRPr lang="en-IN">
            <a:latin typeface="Times New Roman" panose="02020603050405020304" pitchFamily="18" charset="0"/>
            <a:cs typeface="Times New Roman" panose="02020603050405020304" pitchFamily="18" charset="0"/>
          </a:endParaRPr>
        </a:p>
      </dgm:t>
    </dgm:pt>
    <dgm:pt modelId="{89311DEF-7C43-49B5-B26C-74A851EF9460}">
      <dgm:prSet phldrT="[Text]"/>
      <dgm:spPr/>
      <dgm:t>
        <a:bodyPr/>
        <a:lstStyle/>
        <a:p>
          <a:r>
            <a:rPr lang="en-IN">
              <a:latin typeface="Times New Roman" panose="02020603050405020304" pitchFamily="18" charset="0"/>
              <a:cs typeface="Times New Roman" panose="02020603050405020304" pitchFamily="18" charset="0"/>
            </a:rPr>
            <a:t>Tax Policies</a:t>
          </a:r>
        </a:p>
      </dgm:t>
    </dgm:pt>
    <dgm:pt modelId="{4CABE2AA-4A66-4B66-B08D-5C1D0B6BC87A}" type="parTrans" cxnId="{8BE92ECA-0D03-4CBC-92AD-01DB37D2396C}">
      <dgm:prSet/>
      <dgm:spPr/>
      <dgm:t>
        <a:bodyPr/>
        <a:lstStyle/>
        <a:p>
          <a:endParaRPr lang="en-IN">
            <a:latin typeface="Times New Roman" panose="02020603050405020304" pitchFamily="18" charset="0"/>
            <a:cs typeface="Times New Roman" panose="02020603050405020304" pitchFamily="18" charset="0"/>
          </a:endParaRPr>
        </a:p>
      </dgm:t>
    </dgm:pt>
    <dgm:pt modelId="{E03B1198-0C58-4AF4-8F31-BEA9B8FEC301}" type="sibTrans" cxnId="{8BE92ECA-0D03-4CBC-92AD-01DB37D2396C}">
      <dgm:prSet/>
      <dgm:spPr/>
      <dgm:t>
        <a:bodyPr/>
        <a:lstStyle/>
        <a:p>
          <a:endParaRPr lang="en-IN">
            <a:latin typeface="Times New Roman" panose="02020603050405020304" pitchFamily="18" charset="0"/>
            <a:cs typeface="Times New Roman" panose="02020603050405020304" pitchFamily="18" charset="0"/>
          </a:endParaRPr>
        </a:p>
      </dgm:t>
    </dgm:pt>
    <dgm:pt modelId="{BB1144AA-1CA3-46F3-A0CF-9EEAAF34DF14}">
      <dgm:prSet phldrT="[Text]"/>
      <dgm:spPr/>
      <dgm:t>
        <a:bodyPr/>
        <a:lstStyle/>
        <a:p>
          <a:r>
            <a:rPr lang="en-IN">
              <a:latin typeface="Times New Roman" panose="02020603050405020304" pitchFamily="18" charset="0"/>
              <a:cs typeface="Times New Roman" panose="02020603050405020304" pitchFamily="18" charset="0"/>
            </a:rPr>
            <a:t>Natural causes</a:t>
          </a:r>
        </a:p>
      </dgm:t>
    </dgm:pt>
    <dgm:pt modelId="{293C3068-B1B9-4EB4-9B10-8DFEBF7A7B24}" type="parTrans" cxnId="{6B266A10-02B8-43E6-B715-353D13A35B04}">
      <dgm:prSet/>
      <dgm:spPr/>
      <dgm:t>
        <a:bodyPr/>
        <a:lstStyle/>
        <a:p>
          <a:endParaRPr lang="en-IN">
            <a:latin typeface="Times New Roman" panose="02020603050405020304" pitchFamily="18" charset="0"/>
            <a:cs typeface="Times New Roman" panose="02020603050405020304" pitchFamily="18" charset="0"/>
          </a:endParaRPr>
        </a:p>
      </dgm:t>
    </dgm:pt>
    <dgm:pt modelId="{A337CCB7-F984-4D5B-ACEB-3B77CFF8EECF}" type="sibTrans" cxnId="{6B266A10-02B8-43E6-B715-353D13A35B04}">
      <dgm:prSet/>
      <dgm:spPr/>
      <dgm:t>
        <a:bodyPr/>
        <a:lstStyle/>
        <a:p>
          <a:endParaRPr lang="en-IN">
            <a:latin typeface="Times New Roman" panose="02020603050405020304" pitchFamily="18" charset="0"/>
            <a:cs typeface="Times New Roman" panose="02020603050405020304" pitchFamily="18" charset="0"/>
          </a:endParaRPr>
        </a:p>
      </dgm:t>
    </dgm:pt>
    <dgm:pt modelId="{A60848E9-D7F3-412B-AE50-3A1EFCEA78CD}" type="pres">
      <dgm:prSet presAssocID="{EC2009DD-0F95-4D20-AD64-2AEF2445807A}" presName="matrix" presStyleCnt="0">
        <dgm:presLayoutVars>
          <dgm:chMax val="1"/>
          <dgm:dir/>
          <dgm:resizeHandles val="exact"/>
        </dgm:presLayoutVars>
      </dgm:prSet>
      <dgm:spPr/>
    </dgm:pt>
    <dgm:pt modelId="{018D703C-194B-48E5-A059-A553D4130F2B}" type="pres">
      <dgm:prSet presAssocID="{EC2009DD-0F95-4D20-AD64-2AEF2445807A}" presName="diamond" presStyleLbl="bgShp" presStyleIdx="0" presStyleCnt="1"/>
      <dgm:spPr/>
    </dgm:pt>
    <dgm:pt modelId="{D657D033-3569-4899-9A38-06605D1410F4}" type="pres">
      <dgm:prSet presAssocID="{EC2009DD-0F95-4D20-AD64-2AEF2445807A}" presName="quad1" presStyleLbl="node1" presStyleIdx="0" presStyleCnt="4">
        <dgm:presLayoutVars>
          <dgm:chMax val="0"/>
          <dgm:chPref val="0"/>
          <dgm:bulletEnabled val="1"/>
        </dgm:presLayoutVars>
      </dgm:prSet>
      <dgm:spPr/>
    </dgm:pt>
    <dgm:pt modelId="{979C118C-43A0-48DB-BC18-83BEBAE8A858}" type="pres">
      <dgm:prSet presAssocID="{EC2009DD-0F95-4D20-AD64-2AEF2445807A}" presName="quad2" presStyleLbl="node1" presStyleIdx="1" presStyleCnt="4" custLinFactNeighborY="1476">
        <dgm:presLayoutVars>
          <dgm:chMax val="0"/>
          <dgm:chPref val="0"/>
          <dgm:bulletEnabled val="1"/>
        </dgm:presLayoutVars>
      </dgm:prSet>
      <dgm:spPr/>
    </dgm:pt>
    <dgm:pt modelId="{BFCA01AD-9D49-4937-B759-CB2181687701}" type="pres">
      <dgm:prSet presAssocID="{EC2009DD-0F95-4D20-AD64-2AEF2445807A}" presName="quad3" presStyleLbl="node1" presStyleIdx="2" presStyleCnt="4">
        <dgm:presLayoutVars>
          <dgm:chMax val="0"/>
          <dgm:chPref val="0"/>
          <dgm:bulletEnabled val="1"/>
        </dgm:presLayoutVars>
      </dgm:prSet>
      <dgm:spPr/>
    </dgm:pt>
    <dgm:pt modelId="{9727AEC7-405B-4B3E-80D2-D716A62B0AD9}" type="pres">
      <dgm:prSet presAssocID="{EC2009DD-0F95-4D20-AD64-2AEF2445807A}" presName="quad4" presStyleLbl="node1" presStyleIdx="3" presStyleCnt="4">
        <dgm:presLayoutVars>
          <dgm:chMax val="0"/>
          <dgm:chPref val="0"/>
          <dgm:bulletEnabled val="1"/>
        </dgm:presLayoutVars>
      </dgm:prSet>
      <dgm:spPr/>
    </dgm:pt>
  </dgm:ptLst>
  <dgm:cxnLst>
    <dgm:cxn modelId="{6B266A10-02B8-43E6-B715-353D13A35B04}" srcId="{EC2009DD-0F95-4D20-AD64-2AEF2445807A}" destId="{BB1144AA-1CA3-46F3-A0CF-9EEAAF34DF14}" srcOrd="3" destOrd="0" parTransId="{293C3068-B1B9-4EB4-9B10-8DFEBF7A7B24}" sibTransId="{A337CCB7-F984-4D5B-ACEB-3B77CFF8EECF}"/>
    <dgm:cxn modelId="{C03D2D22-1C59-4D27-9767-D35130D2C01F}" type="presOf" srcId="{D48AC95E-434C-445A-83FB-62BED635FFD7}" destId="{D657D033-3569-4899-9A38-06605D1410F4}" srcOrd="0" destOrd="0" presId="urn:microsoft.com/office/officeart/2005/8/layout/matrix3"/>
    <dgm:cxn modelId="{3FDEDD59-267C-4EA9-85A9-000F7CCFE2DF}" type="presOf" srcId="{89311DEF-7C43-49B5-B26C-74A851EF9460}" destId="{BFCA01AD-9D49-4937-B759-CB2181687701}" srcOrd="0" destOrd="0" presId="urn:microsoft.com/office/officeart/2005/8/layout/matrix3"/>
    <dgm:cxn modelId="{0DBE8581-027A-4005-92F2-2458D17FC86B}" type="presOf" srcId="{EC2009DD-0F95-4D20-AD64-2AEF2445807A}" destId="{A60848E9-D7F3-412B-AE50-3A1EFCEA78CD}" srcOrd="0" destOrd="0" presId="urn:microsoft.com/office/officeart/2005/8/layout/matrix3"/>
    <dgm:cxn modelId="{706E4298-1A06-4E13-8758-932191A0480A}" type="presOf" srcId="{BB1144AA-1CA3-46F3-A0CF-9EEAAF34DF14}" destId="{9727AEC7-405B-4B3E-80D2-D716A62B0AD9}" srcOrd="0" destOrd="0" presId="urn:microsoft.com/office/officeart/2005/8/layout/matrix3"/>
    <dgm:cxn modelId="{42A1A1AD-CDBF-43A7-888C-4D4176D2A847}" type="presOf" srcId="{44070473-C72F-48C8-91D3-DFCDD81C05D4}" destId="{979C118C-43A0-48DB-BC18-83BEBAE8A858}" srcOrd="0" destOrd="0" presId="urn:microsoft.com/office/officeart/2005/8/layout/matrix3"/>
    <dgm:cxn modelId="{B3DEF9BC-9031-4FC0-B819-64A037CA457E}" srcId="{EC2009DD-0F95-4D20-AD64-2AEF2445807A}" destId="{44070473-C72F-48C8-91D3-DFCDD81C05D4}" srcOrd="1" destOrd="0" parTransId="{A43ED31F-E2F7-4148-95CE-26D5A3D0A20A}" sibTransId="{24B0D202-4CC9-4D81-94B7-B05F168A9E13}"/>
    <dgm:cxn modelId="{8BE92ECA-0D03-4CBC-92AD-01DB37D2396C}" srcId="{EC2009DD-0F95-4D20-AD64-2AEF2445807A}" destId="{89311DEF-7C43-49B5-B26C-74A851EF9460}" srcOrd="2" destOrd="0" parTransId="{4CABE2AA-4A66-4B66-B08D-5C1D0B6BC87A}" sibTransId="{E03B1198-0C58-4AF4-8F31-BEA9B8FEC301}"/>
    <dgm:cxn modelId="{BC1117F4-7341-4B14-A381-FD985AF95AD5}" srcId="{EC2009DD-0F95-4D20-AD64-2AEF2445807A}" destId="{D48AC95E-434C-445A-83FB-62BED635FFD7}" srcOrd="0" destOrd="0" parTransId="{5E19532F-0B23-420F-A83B-E564453C9981}" sibTransId="{ADF77936-1B67-4D4F-B4B3-0C53E73CBA1A}"/>
    <dgm:cxn modelId="{7FF93D6C-548F-4AF1-935E-71B7474AB92D}" type="presParOf" srcId="{A60848E9-D7F3-412B-AE50-3A1EFCEA78CD}" destId="{018D703C-194B-48E5-A059-A553D4130F2B}" srcOrd="0" destOrd="0" presId="urn:microsoft.com/office/officeart/2005/8/layout/matrix3"/>
    <dgm:cxn modelId="{9A489E5A-8614-4B04-A275-2234FEBA974E}" type="presParOf" srcId="{A60848E9-D7F3-412B-AE50-3A1EFCEA78CD}" destId="{D657D033-3569-4899-9A38-06605D1410F4}" srcOrd="1" destOrd="0" presId="urn:microsoft.com/office/officeart/2005/8/layout/matrix3"/>
    <dgm:cxn modelId="{1FB94756-6712-4E18-A263-AC02A71E8FCB}" type="presParOf" srcId="{A60848E9-D7F3-412B-AE50-3A1EFCEA78CD}" destId="{979C118C-43A0-48DB-BC18-83BEBAE8A858}" srcOrd="2" destOrd="0" presId="urn:microsoft.com/office/officeart/2005/8/layout/matrix3"/>
    <dgm:cxn modelId="{E2425D76-F1F9-466D-B202-B1091F66D859}" type="presParOf" srcId="{A60848E9-D7F3-412B-AE50-3A1EFCEA78CD}" destId="{BFCA01AD-9D49-4937-B759-CB2181687701}" srcOrd="3" destOrd="0" presId="urn:microsoft.com/office/officeart/2005/8/layout/matrix3"/>
    <dgm:cxn modelId="{799E564B-D2A3-41DC-A6BB-CFF200169EE2}" type="presParOf" srcId="{A60848E9-D7F3-412B-AE50-3A1EFCEA78CD}" destId="{9727AEC7-405B-4B3E-80D2-D716A62B0AD9}" srcOrd="4" destOrd="0" presId="urn:microsoft.com/office/officeart/2005/8/layout/matrix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185E513-A007-4EFB-B2C9-00528473563F}" type="doc">
      <dgm:prSet loTypeId="urn:microsoft.com/office/officeart/2005/8/layout/hList9#1" loCatId="list" qsTypeId="urn:microsoft.com/office/officeart/2005/8/quickstyle/simple4" qsCatId="simple" csTypeId="urn:microsoft.com/office/officeart/2005/8/colors/accent1_2" csCatId="accent1" phldr="1"/>
      <dgm:spPr/>
      <dgm:t>
        <a:bodyPr/>
        <a:lstStyle/>
        <a:p>
          <a:endParaRPr lang="en-IN"/>
        </a:p>
      </dgm:t>
    </dgm:pt>
    <dgm:pt modelId="{E78E6B3A-2CFC-4314-B57E-5047648EDADC}">
      <dgm:prSet phldrT="[Text]" custT="1"/>
      <dgm:spPr/>
      <dgm:t>
        <a:bodyPr/>
        <a:lstStyle/>
        <a:p>
          <a:r>
            <a:rPr lang="en-IN" sz="1400"/>
            <a:t>Refining </a:t>
          </a:r>
          <a:r>
            <a:rPr lang="en-IN" sz="1200">
              <a:latin typeface="Times New Roman" panose="02020603050405020304" pitchFamily="18" charset="0"/>
              <a:cs typeface="Times New Roman" panose="02020603050405020304" pitchFamily="18" charset="0"/>
            </a:rPr>
            <a:t>Products</a:t>
          </a:r>
        </a:p>
      </dgm:t>
    </dgm:pt>
    <dgm:pt modelId="{CFA30B1D-A2D7-4B91-B52B-A1F09CF1CE12}" type="parTrans" cxnId="{A76A11E3-69DA-4A84-89EA-BE73C658CC83}">
      <dgm:prSet/>
      <dgm:spPr/>
      <dgm:t>
        <a:bodyPr/>
        <a:lstStyle/>
        <a:p>
          <a:endParaRPr lang="en-IN"/>
        </a:p>
      </dgm:t>
    </dgm:pt>
    <dgm:pt modelId="{F2818B3B-0C9D-4017-8159-68ADFC2753E5}" type="sibTrans" cxnId="{A76A11E3-69DA-4A84-89EA-BE73C658CC83}">
      <dgm:prSet/>
      <dgm:spPr/>
      <dgm:t>
        <a:bodyPr/>
        <a:lstStyle/>
        <a:p>
          <a:endParaRPr lang="en-IN"/>
        </a:p>
      </dgm:t>
    </dgm:pt>
    <dgm:pt modelId="{C173456B-9BA1-4FA6-998B-DBDC669E8881}">
      <dgm:prSet phldrT="[Text]" custT="1"/>
      <dgm:spPr/>
      <dgm:t>
        <a:bodyPr/>
        <a:lstStyle/>
        <a:p>
          <a:pPr algn="l"/>
          <a:r>
            <a:rPr lang="en-IN" sz="1400"/>
            <a:t>1</a:t>
          </a:r>
          <a:r>
            <a:rPr lang="en-IN" sz="1400">
              <a:latin typeface="Times New Roman" panose="02020603050405020304" pitchFamily="18" charset="0"/>
              <a:cs typeface="Times New Roman" panose="02020603050405020304" pitchFamily="18" charset="0"/>
            </a:rPr>
            <a:t>)L.P.G.	</a:t>
          </a:r>
        </a:p>
        <a:p>
          <a:pPr algn="l"/>
          <a:r>
            <a:rPr lang="en-IN" sz="1400">
              <a:latin typeface="Times New Roman" panose="02020603050405020304" pitchFamily="18" charset="0"/>
              <a:cs typeface="Times New Roman" panose="02020603050405020304" pitchFamily="18" charset="0"/>
            </a:rPr>
            <a:t>2)Propylene</a:t>
          </a:r>
        </a:p>
        <a:p>
          <a:pPr algn="l"/>
          <a:r>
            <a:rPr lang="en-IN" sz="1400">
              <a:latin typeface="Times New Roman" panose="02020603050405020304" pitchFamily="18" charset="0"/>
              <a:cs typeface="Times New Roman" panose="02020603050405020304" pitchFamily="18" charset="0"/>
            </a:rPr>
            <a:t>3)Naphtha</a:t>
          </a:r>
        </a:p>
        <a:p>
          <a:pPr algn="l"/>
          <a:r>
            <a:rPr lang="en-IN" sz="1400">
              <a:latin typeface="Times New Roman" panose="02020603050405020304" pitchFamily="18" charset="0"/>
              <a:cs typeface="Times New Roman" panose="02020603050405020304" pitchFamily="18" charset="0"/>
            </a:rPr>
            <a:t>4)Gasoline</a:t>
          </a:r>
        </a:p>
        <a:p>
          <a:pPr algn="l"/>
          <a:r>
            <a:rPr lang="en-IN" sz="1400">
              <a:latin typeface="Times New Roman" panose="02020603050405020304" pitchFamily="18" charset="0"/>
              <a:cs typeface="Times New Roman" panose="02020603050405020304" pitchFamily="18" charset="0"/>
            </a:rPr>
            <a:t>5)Jet ATF</a:t>
          </a:r>
        </a:p>
        <a:p>
          <a:pPr algn="l"/>
          <a:r>
            <a:rPr lang="en-IN" sz="1400">
              <a:latin typeface="Times New Roman" panose="02020603050405020304" pitchFamily="18" charset="0"/>
              <a:cs typeface="Times New Roman" panose="02020603050405020304" pitchFamily="18" charset="0"/>
            </a:rPr>
            <a:t>6)superior Kerosine Oil</a:t>
          </a:r>
        </a:p>
        <a:p>
          <a:pPr algn="l"/>
          <a:r>
            <a:rPr lang="en-IN" sz="1400">
              <a:latin typeface="Times New Roman" panose="02020603050405020304" pitchFamily="18" charset="0"/>
              <a:cs typeface="Times New Roman" panose="02020603050405020304" pitchFamily="18" charset="0"/>
            </a:rPr>
            <a:t>7)High - Speed Diesel</a:t>
          </a:r>
        </a:p>
        <a:p>
          <a:pPr algn="l"/>
          <a:r>
            <a:rPr lang="en-IN" sz="1400">
              <a:latin typeface="Times New Roman" panose="02020603050405020304" pitchFamily="18" charset="0"/>
              <a:cs typeface="Times New Roman" panose="02020603050405020304" pitchFamily="18" charset="0"/>
            </a:rPr>
            <a:t>8)Sulfur</a:t>
          </a:r>
        </a:p>
        <a:p>
          <a:pPr algn="l"/>
          <a:r>
            <a:rPr lang="en-IN" sz="1400">
              <a:latin typeface="Times New Roman" panose="02020603050405020304" pitchFamily="18" charset="0"/>
              <a:cs typeface="Times New Roman" panose="02020603050405020304" pitchFamily="18" charset="0"/>
            </a:rPr>
            <a:t>9)Petcoke</a:t>
          </a:r>
        </a:p>
        <a:p>
          <a:pPr algn="l"/>
          <a:endParaRPr lang="en-IN" sz="1200"/>
        </a:p>
      </dgm:t>
    </dgm:pt>
    <dgm:pt modelId="{6BC373DD-A4FC-4136-BE9E-D86B49D7FB24}" type="parTrans" cxnId="{E23F3ED1-19EE-4B14-A9EC-C3D8108294B0}">
      <dgm:prSet/>
      <dgm:spPr/>
      <dgm:t>
        <a:bodyPr/>
        <a:lstStyle/>
        <a:p>
          <a:endParaRPr lang="en-IN"/>
        </a:p>
      </dgm:t>
    </dgm:pt>
    <dgm:pt modelId="{AB031C52-B3D3-4962-9380-0F0F091EAF27}" type="sibTrans" cxnId="{E23F3ED1-19EE-4B14-A9EC-C3D8108294B0}">
      <dgm:prSet/>
      <dgm:spPr/>
      <dgm:t>
        <a:bodyPr/>
        <a:lstStyle/>
        <a:p>
          <a:endParaRPr lang="en-IN"/>
        </a:p>
      </dgm:t>
    </dgm:pt>
    <dgm:pt modelId="{146EA194-E95B-40FC-9ABB-6A9DFE890F66}">
      <dgm:prSet phldrT="[Text]" custT="1"/>
      <dgm:spPr/>
      <dgm:t>
        <a:bodyPr/>
        <a:lstStyle/>
        <a:p>
          <a:r>
            <a:rPr lang="en-IN" sz="1400">
              <a:latin typeface="Times New Roman" panose="02020603050405020304" pitchFamily="18" charset="0"/>
              <a:cs typeface="Times New Roman" panose="02020603050405020304" pitchFamily="18" charset="0"/>
            </a:rPr>
            <a:t>Applications</a:t>
          </a:r>
        </a:p>
      </dgm:t>
    </dgm:pt>
    <dgm:pt modelId="{11358F53-CA69-4556-8F84-29EA03CC4441}" type="parTrans" cxnId="{A4B39DDF-9D01-44B3-909D-E057CA2396C1}">
      <dgm:prSet/>
      <dgm:spPr/>
      <dgm:t>
        <a:bodyPr/>
        <a:lstStyle/>
        <a:p>
          <a:endParaRPr lang="en-IN"/>
        </a:p>
      </dgm:t>
    </dgm:pt>
    <dgm:pt modelId="{E49402F3-1709-4F65-8FA6-4E972CF9D1E5}" type="sibTrans" cxnId="{A4B39DDF-9D01-44B3-909D-E057CA2396C1}">
      <dgm:prSet/>
      <dgm:spPr/>
      <dgm:t>
        <a:bodyPr/>
        <a:lstStyle/>
        <a:p>
          <a:endParaRPr lang="en-IN"/>
        </a:p>
      </dgm:t>
    </dgm:pt>
    <dgm:pt modelId="{FB9D0C26-FA0B-42EF-A924-07844C783E5B}">
      <dgm:prSet phldrT="[Text]" custT="1"/>
      <dgm:spPr/>
      <dgm:t>
        <a:bodyPr/>
        <a:lstStyle/>
        <a:p>
          <a:endParaRPr lang="en-IN" sz="1400"/>
        </a:p>
        <a:p>
          <a:endParaRPr lang="en-IN" sz="1400"/>
        </a:p>
        <a:p>
          <a:endParaRPr lang="en-IN" sz="1400">
            <a:latin typeface="Times New Roman" panose="02020603050405020304" pitchFamily="18" charset="0"/>
            <a:cs typeface="Times New Roman" panose="02020603050405020304" pitchFamily="18" charset="0"/>
          </a:endParaRPr>
        </a:p>
        <a:p>
          <a:r>
            <a:rPr lang="en-IN" sz="1400">
              <a:latin typeface="Times New Roman" panose="02020603050405020304" pitchFamily="18" charset="0"/>
              <a:cs typeface="Times New Roman" panose="02020603050405020304" pitchFamily="18" charset="0"/>
            </a:rPr>
            <a:t>1)Domestic and Industry</a:t>
          </a:r>
        </a:p>
        <a:p>
          <a:r>
            <a:rPr lang="en-IN" sz="1400">
              <a:latin typeface="Times New Roman" panose="02020603050405020304" pitchFamily="18" charset="0"/>
              <a:cs typeface="Times New Roman" panose="02020603050405020304" pitchFamily="18" charset="0"/>
            </a:rPr>
            <a:t>2)Feedstock for Polypropylene</a:t>
          </a:r>
        </a:p>
        <a:p>
          <a:r>
            <a:rPr lang="en-IN" sz="1400">
              <a:latin typeface="Times New Roman" panose="02020603050405020304" pitchFamily="18" charset="0"/>
              <a:cs typeface="Times New Roman" panose="02020603050405020304" pitchFamily="18" charset="0"/>
            </a:rPr>
            <a:t>3)Feedstock for Petrochemical</a:t>
          </a:r>
        </a:p>
        <a:p>
          <a:r>
            <a:rPr lang="en-IN" sz="1400">
              <a:latin typeface="Times New Roman" panose="02020603050405020304" pitchFamily="18" charset="0"/>
              <a:cs typeface="Times New Roman" panose="02020603050405020304" pitchFamily="18" charset="0"/>
            </a:rPr>
            <a:t>4)Transportation</a:t>
          </a:r>
        </a:p>
        <a:p>
          <a:r>
            <a:rPr lang="en-IN" sz="1400">
              <a:latin typeface="Times New Roman" panose="02020603050405020304" pitchFamily="18" charset="0"/>
              <a:cs typeface="Times New Roman" panose="02020603050405020304" pitchFamily="18" charset="0"/>
            </a:rPr>
            <a:t>5)Aviation Fuel</a:t>
          </a:r>
        </a:p>
        <a:p>
          <a:r>
            <a:rPr lang="en-IN" sz="1400">
              <a:latin typeface="Times New Roman" panose="02020603050405020304" pitchFamily="18" charset="0"/>
              <a:cs typeface="Times New Roman" panose="02020603050405020304" pitchFamily="18" charset="0"/>
            </a:rPr>
            <a:t>6)Domestic Fuel</a:t>
          </a:r>
        </a:p>
        <a:p>
          <a:r>
            <a:rPr lang="en-IN" sz="1400">
              <a:latin typeface="Times New Roman" panose="02020603050405020304" pitchFamily="18" charset="0"/>
              <a:cs typeface="Times New Roman" panose="02020603050405020304" pitchFamily="18" charset="0"/>
            </a:rPr>
            <a:t>7)Feedstock for fertilizers and pharmaceuticals</a:t>
          </a:r>
        </a:p>
        <a:p>
          <a:r>
            <a:rPr lang="en-IN" sz="1400">
              <a:latin typeface="Times New Roman" panose="02020603050405020304" pitchFamily="18" charset="0"/>
              <a:cs typeface="Times New Roman" panose="02020603050405020304" pitchFamily="18" charset="0"/>
            </a:rPr>
            <a:t>8)Fuel for Power plant and Cement plants</a:t>
          </a:r>
        </a:p>
        <a:p>
          <a:endParaRPr lang="en-IN" sz="1400"/>
        </a:p>
        <a:p>
          <a:endParaRPr lang="en-IN" sz="1400"/>
        </a:p>
      </dgm:t>
    </dgm:pt>
    <dgm:pt modelId="{2BD6CF3E-A368-4306-B116-4478DE31DD0F}" type="sibTrans" cxnId="{2CC51F10-8B97-4DD0-AC30-665570B55CA2}">
      <dgm:prSet/>
      <dgm:spPr/>
      <dgm:t>
        <a:bodyPr/>
        <a:lstStyle/>
        <a:p>
          <a:endParaRPr lang="en-IN"/>
        </a:p>
      </dgm:t>
    </dgm:pt>
    <dgm:pt modelId="{2C3B64AA-C263-48E0-A741-1C44EAD64CF2}" type="parTrans" cxnId="{2CC51F10-8B97-4DD0-AC30-665570B55CA2}">
      <dgm:prSet/>
      <dgm:spPr/>
      <dgm:t>
        <a:bodyPr/>
        <a:lstStyle/>
        <a:p>
          <a:endParaRPr lang="en-IN"/>
        </a:p>
      </dgm:t>
    </dgm:pt>
    <dgm:pt modelId="{7F486B0C-B233-4545-8EF6-6FBF17F172DC}" type="pres">
      <dgm:prSet presAssocID="{9185E513-A007-4EFB-B2C9-00528473563F}" presName="list" presStyleCnt="0">
        <dgm:presLayoutVars>
          <dgm:dir/>
          <dgm:animLvl val="lvl"/>
        </dgm:presLayoutVars>
      </dgm:prSet>
      <dgm:spPr/>
    </dgm:pt>
    <dgm:pt modelId="{FD54B49D-DD7B-4E0C-9498-BEEE9CD383CB}" type="pres">
      <dgm:prSet presAssocID="{E78E6B3A-2CFC-4314-B57E-5047648EDADC}" presName="posSpace" presStyleCnt="0"/>
      <dgm:spPr/>
    </dgm:pt>
    <dgm:pt modelId="{3FF3D3D2-1437-4A10-9949-35A3A9BE1D98}" type="pres">
      <dgm:prSet presAssocID="{E78E6B3A-2CFC-4314-B57E-5047648EDADC}" presName="vertFlow" presStyleCnt="0"/>
      <dgm:spPr/>
    </dgm:pt>
    <dgm:pt modelId="{DD6A4410-876B-49FD-9FBA-5BFA4173CFE6}" type="pres">
      <dgm:prSet presAssocID="{E78E6B3A-2CFC-4314-B57E-5047648EDADC}" presName="topSpace" presStyleCnt="0"/>
      <dgm:spPr/>
    </dgm:pt>
    <dgm:pt modelId="{593033D1-02D0-456B-A2B8-1931328B4BD2}" type="pres">
      <dgm:prSet presAssocID="{E78E6B3A-2CFC-4314-B57E-5047648EDADC}" presName="firstComp" presStyleCnt="0"/>
      <dgm:spPr/>
    </dgm:pt>
    <dgm:pt modelId="{5291A1B3-A6A3-4933-9568-D15B1B2807E5}" type="pres">
      <dgm:prSet presAssocID="{E78E6B3A-2CFC-4314-B57E-5047648EDADC}" presName="firstChild" presStyleLbl="bgAccFollowNode1" presStyleIdx="0" presStyleCnt="2" custScaleX="97188" custScaleY="309032" custLinFactNeighborX="3022" custLinFactNeighborY="-12138"/>
      <dgm:spPr/>
    </dgm:pt>
    <dgm:pt modelId="{C16B3828-A11C-46BD-B078-32430CF8AD43}" type="pres">
      <dgm:prSet presAssocID="{E78E6B3A-2CFC-4314-B57E-5047648EDADC}" presName="firstChildTx" presStyleLbl="bgAccFollowNode1" presStyleIdx="0" presStyleCnt="2">
        <dgm:presLayoutVars>
          <dgm:bulletEnabled val="1"/>
        </dgm:presLayoutVars>
      </dgm:prSet>
      <dgm:spPr/>
    </dgm:pt>
    <dgm:pt modelId="{031DACAD-9289-4B6F-8486-3F295C605DFA}" type="pres">
      <dgm:prSet presAssocID="{E78E6B3A-2CFC-4314-B57E-5047648EDADC}" presName="negSpace" presStyleCnt="0"/>
      <dgm:spPr/>
    </dgm:pt>
    <dgm:pt modelId="{76AAC923-C01A-4F05-93F4-27C31D6C0D77}" type="pres">
      <dgm:prSet presAssocID="{E78E6B3A-2CFC-4314-B57E-5047648EDADC}" presName="circle" presStyleLbl="node1" presStyleIdx="0" presStyleCnt="2" custScaleX="120387" custScaleY="116401" custLinFactNeighborX="-22728" custLinFactNeighborY="30452"/>
      <dgm:spPr/>
    </dgm:pt>
    <dgm:pt modelId="{3985B5CC-5757-43CC-A882-693C27106DDA}" type="pres">
      <dgm:prSet presAssocID="{F2818B3B-0C9D-4017-8159-68ADFC2753E5}" presName="transSpace" presStyleCnt="0"/>
      <dgm:spPr/>
    </dgm:pt>
    <dgm:pt modelId="{D846DD31-0FD3-47B8-AA37-A3C4D1F7D714}" type="pres">
      <dgm:prSet presAssocID="{146EA194-E95B-40FC-9ABB-6A9DFE890F66}" presName="posSpace" presStyleCnt="0"/>
      <dgm:spPr/>
    </dgm:pt>
    <dgm:pt modelId="{3BB3F7D9-5260-4966-AD84-CDEC888EC0A6}" type="pres">
      <dgm:prSet presAssocID="{146EA194-E95B-40FC-9ABB-6A9DFE890F66}" presName="vertFlow" presStyleCnt="0"/>
      <dgm:spPr/>
    </dgm:pt>
    <dgm:pt modelId="{EC50819C-963C-4735-95BC-9A607988451C}" type="pres">
      <dgm:prSet presAssocID="{146EA194-E95B-40FC-9ABB-6A9DFE890F66}" presName="topSpace" presStyleCnt="0"/>
      <dgm:spPr/>
    </dgm:pt>
    <dgm:pt modelId="{E1F9D2F6-654B-45CD-AABD-739A30F3BB65}" type="pres">
      <dgm:prSet presAssocID="{146EA194-E95B-40FC-9ABB-6A9DFE890F66}" presName="firstComp" presStyleCnt="0"/>
      <dgm:spPr/>
    </dgm:pt>
    <dgm:pt modelId="{A76A015E-4182-4930-8815-B5F51618A124}" type="pres">
      <dgm:prSet presAssocID="{146EA194-E95B-40FC-9ABB-6A9DFE890F66}" presName="firstChild" presStyleLbl="bgAccFollowNode1" presStyleIdx="1" presStyleCnt="2" custScaleX="97620" custScaleY="318808" custLinFactNeighborX="-7017" custLinFactNeighborY="-14065"/>
      <dgm:spPr/>
    </dgm:pt>
    <dgm:pt modelId="{AA8F52AD-F7E4-4ACB-AB77-80DA40BE20B9}" type="pres">
      <dgm:prSet presAssocID="{146EA194-E95B-40FC-9ABB-6A9DFE890F66}" presName="firstChildTx" presStyleLbl="bgAccFollowNode1" presStyleIdx="1" presStyleCnt="2">
        <dgm:presLayoutVars>
          <dgm:bulletEnabled val="1"/>
        </dgm:presLayoutVars>
      </dgm:prSet>
      <dgm:spPr/>
    </dgm:pt>
    <dgm:pt modelId="{E963037A-5E10-476D-AA1D-858545F2E144}" type="pres">
      <dgm:prSet presAssocID="{146EA194-E95B-40FC-9ABB-6A9DFE890F66}" presName="negSpace" presStyleCnt="0"/>
      <dgm:spPr/>
    </dgm:pt>
    <dgm:pt modelId="{0EBA54D4-E195-4D1D-9F99-8F4C64344E13}" type="pres">
      <dgm:prSet presAssocID="{146EA194-E95B-40FC-9ABB-6A9DFE890F66}" presName="circle" presStyleLbl="node1" presStyleIdx="1" presStyleCnt="2" custScaleX="112690" custScaleY="111740" custLinFactNeighborX="-9024" custLinFactNeighborY="30804"/>
      <dgm:spPr/>
    </dgm:pt>
  </dgm:ptLst>
  <dgm:cxnLst>
    <dgm:cxn modelId="{AC66B103-A432-41D6-835A-719331EC5F51}" type="presOf" srcId="{C173456B-9BA1-4FA6-998B-DBDC669E8881}" destId="{5291A1B3-A6A3-4933-9568-D15B1B2807E5}" srcOrd="0" destOrd="0" presId="urn:microsoft.com/office/officeart/2005/8/layout/hList9#1"/>
    <dgm:cxn modelId="{2CC51F10-8B97-4DD0-AC30-665570B55CA2}" srcId="{146EA194-E95B-40FC-9ABB-6A9DFE890F66}" destId="{FB9D0C26-FA0B-42EF-A924-07844C783E5B}" srcOrd="0" destOrd="0" parTransId="{2C3B64AA-C263-48E0-A741-1C44EAD64CF2}" sibTransId="{2BD6CF3E-A368-4306-B116-4478DE31DD0F}"/>
    <dgm:cxn modelId="{FD067F1A-8E13-4476-93AE-4B3BD257BCFF}" type="presOf" srcId="{9185E513-A007-4EFB-B2C9-00528473563F}" destId="{7F486B0C-B233-4545-8EF6-6FBF17F172DC}" srcOrd="0" destOrd="0" presId="urn:microsoft.com/office/officeart/2005/8/layout/hList9#1"/>
    <dgm:cxn modelId="{9102A835-66CC-4887-9CC9-2F2329811700}" type="presOf" srcId="{C173456B-9BA1-4FA6-998B-DBDC669E8881}" destId="{C16B3828-A11C-46BD-B078-32430CF8AD43}" srcOrd="1" destOrd="0" presId="urn:microsoft.com/office/officeart/2005/8/layout/hList9#1"/>
    <dgm:cxn modelId="{8282BC43-576D-4E2B-87B8-17C2B3F7630E}" type="presOf" srcId="{146EA194-E95B-40FC-9ABB-6A9DFE890F66}" destId="{0EBA54D4-E195-4D1D-9F99-8F4C64344E13}" srcOrd="0" destOrd="0" presId="urn:microsoft.com/office/officeart/2005/8/layout/hList9#1"/>
    <dgm:cxn modelId="{845E6B47-4EDA-45D0-A4E8-E3F46E711B15}" type="presOf" srcId="{FB9D0C26-FA0B-42EF-A924-07844C783E5B}" destId="{AA8F52AD-F7E4-4ACB-AB77-80DA40BE20B9}" srcOrd="1" destOrd="0" presId="urn:microsoft.com/office/officeart/2005/8/layout/hList9#1"/>
    <dgm:cxn modelId="{C196A24E-6FCD-48B5-96A2-20D46A69D8AE}" type="presOf" srcId="{FB9D0C26-FA0B-42EF-A924-07844C783E5B}" destId="{A76A015E-4182-4930-8815-B5F51618A124}" srcOrd="0" destOrd="0" presId="urn:microsoft.com/office/officeart/2005/8/layout/hList9#1"/>
    <dgm:cxn modelId="{E23F3ED1-19EE-4B14-A9EC-C3D8108294B0}" srcId="{E78E6B3A-2CFC-4314-B57E-5047648EDADC}" destId="{C173456B-9BA1-4FA6-998B-DBDC669E8881}" srcOrd="0" destOrd="0" parTransId="{6BC373DD-A4FC-4136-BE9E-D86B49D7FB24}" sibTransId="{AB031C52-B3D3-4962-9380-0F0F091EAF27}"/>
    <dgm:cxn modelId="{5BA692DB-0623-4220-AD16-FF6B4329E540}" type="presOf" srcId="{E78E6B3A-2CFC-4314-B57E-5047648EDADC}" destId="{76AAC923-C01A-4F05-93F4-27C31D6C0D77}" srcOrd="0" destOrd="0" presId="urn:microsoft.com/office/officeart/2005/8/layout/hList9#1"/>
    <dgm:cxn modelId="{A4B39DDF-9D01-44B3-909D-E057CA2396C1}" srcId="{9185E513-A007-4EFB-B2C9-00528473563F}" destId="{146EA194-E95B-40FC-9ABB-6A9DFE890F66}" srcOrd="1" destOrd="0" parTransId="{11358F53-CA69-4556-8F84-29EA03CC4441}" sibTransId="{E49402F3-1709-4F65-8FA6-4E972CF9D1E5}"/>
    <dgm:cxn modelId="{A76A11E3-69DA-4A84-89EA-BE73C658CC83}" srcId="{9185E513-A007-4EFB-B2C9-00528473563F}" destId="{E78E6B3A-2CFC-4314-B57E-5047648EDADC}" srcOrd="0" destOrd="0" parTransId="{CFA30B1D-A2D7-4B91-B52B-A1F09CF1CE12}" sibTransId="{F2818B3B-0C9D-4017-8159-68ADFC2753E5}"/>
    <dgm:cxn modelId="{4B6071A0-83CA-4326-B763-55281DA97C52}" type="presParOf" srcId="{7F486B0C-B233-4545-8EF6-6FBF17F172DC}" destId="{FD54B49D-DD7B-4E0C-9498-BEEE9CD383CB}" srcOrd="0" destOrd="0" presId="urn:microsoft.com/office/officeart/2005/8/layout/hList9#1"/>
    <dgm:cxn modelId="{A4635432-8E17-4913-9E7C-C4FBD3D46B71}" type="presParOf" srcId="{7F486B0C-B233-4545-8EF6-6FBF17F172DC}" destId="{3FF3D3D2-1437-4A10-9949-35A3A9BE1D98}" srcOrd="1" destOrd="0" presId="urn:microsoft.com/office/officeart/2005/8/layout/hList9#1"/>
    <dgm:cxn modelId="{EF2222C3-713B-4567-AC57-797D1C1253EF}" type="presParOf" srcId="{3FF3D3D2-1437-4A10-9949-35A3A9BE1D98}" destId="{DD6A4410-876B-49FD-9FBA-5BFA4173CFE6}" srcOrd="0" destOrd="0" presId="urn:microsoft.com/office/officeart/2005/8/layout/hList9#1"/>
    <dgm:cxn modelId="{9E9AB50D-CAB6-4AE5-B081-55BF2A7DA58B}" type="presParOf" srcId="{3FF3D3D2-1437-4A10-9949-35A3A9BE1D98}" destId="{593033D1-02D0-456B-A2B8-1931328B4BD2}" srcOrd="1" destOrd="0" presId="urn:microsoft.com/office/officeart/2005/8/layout/hList9#1"/>
    <dgm:cxn modelId="{E8E6995C-C091-414D-AB4A-FC2258289A2A}" type="presParOf" srcId="{593033D1-02D0-456B-A2B8-1931328B4BD2}" destId="{5291A1B3-A6A3-4933-9568-D15B1B2807E5}" srcOrd="0" destOrd="0" presId="urn:microsoft.com/office/officeart/2005/8/layout/hList9#1"/>
    <dgm:cxn modelId="{06F8CBB7-7802-4D15-A950-30797B709D60}" type="presParOf" srcId="{593033D1-02D0-456B-A2B8-1931328B4BD2}" destId="{C16B3828-A11C-46BD-B078-32430CF8AD43}" srcOrd="1" destOrd="0" presId="urn:microsoft.com/office/officeart/2005/8/layout/hList9#1"/>
    <dgm:cxn modelId="{1BB27ED8-48C9-4A88-8834-FE4E7B9B16EA}" type="presParOf" srcId="{7F486B0C-B233-4545-8EF6-6FBF17F172DC}" destId="{031DACAD-9289-4B6F-8486-3F295C605DFA}" srcOrd="2" destOrd="0" presId="urn:microsoft.com/office/officeart/2005/8/layout/hList9#1"/>
    <dgm:cxn modelId="{9B0BBC9E-05BE-40E8-8486-A348C9BA4B5D}" type="presParOf" srcId="{7F486B0C-B233-4545-8EF6-6FBF17F172DC}" destId="{76AAC923-C01A-4F05-93F4-27C31D6C0D77}" srcOrd="3" destOrd="0" presId="urn:microsoft.com/office/officeart/2005/8/layout/hList9#1"/>
    <dgm:cxn modelId="{F6B0B0F6-9007-46BF-B129-35895C7AD17F}" type="presParOf" srcId="{7F486B0C-B233-4545-8EF6-6FBF17F172DC}" destId="{3985B5CC-5757-43CC-A882-693C27106DDA}" srcOrd="4" destOrd="0" presId="urn:microsoft.com/office/officeart/2005/8/layout/hList9#1"/>
    <dgm:cxn modelId="{6472E9DD-2EFB-4043-A01F-6BBF8B821537}" type="presParOf" srcId="{7F486B0C-B233-4545-8EF6-6FBF17F172DC}" destId="{D846DD31-0FD3-47B8-AA37-A3C4D1F7D714}" srcOrd="5" destOrd="0" presId="urn:microsoft.com/office/officeart/2005/8/layout/hList9#1"/>
    <dgm:cxn modelId="{BD1FB66E-6A98-4E11-9B6B-03BAD185887E}" type="presParOf" srcId="{7F486B0C-B233-4545-8EF6-6FBF17F172DC}" destId="{3BB3F7D9-5260-4966-AD84-CDEC888EC0A6}" srcOrd="6" destOrd="0" presId="urn:microsoft.com/office/officeart/2005/8/layout/hList9#1"/>
    <dgm:cxn modelId="{28D39F75-DC98-469F-A5AD-3D202EF63126}" type="presParOf" srcId="{3BB3F7D9-5260-4966-AD84-CDEC888EC0A6}" destId="{EC50819C-963C-4735-95BC-9A607988451C}" srcOrd="0" destOrd="0" presId="urn:microsoft.com/office/officeart/2005/8/layout/hList9#1"/>
    <dgm:cxn modelId="{B10E124F-770F-4AB0-841C-B89F4B985F1F}" type="presParOf" srcId="{3BB3F7D9-5260-4966-AD84-CDEC888EC0A6}" destId="{E1F9D2F6-654B-45CD-AABD-739A30F3BB65}" srcOrd="1" destOrd="0" presId="urn:microsoft.com/office/officeart/2005/8/layout/hList9#1"/>
    <dgm:cxn modelId="{BFD6DFCC-EA22-4F3B-804A-F5B98F27966D}" type="presParOf" srcId="{E1F9D2F6-654B-45CD-AABD-739A30F3BB65}" destId="{A76A015E-4182-4930-8815-B5F51618A124}" srcOrd="0" destOrd="0" presId="urn:microsoft.com/office/officeart/2005/8/layout/hList9#1"/>
    <dgm:cxn modelId="{E7425361-5120-4512-943F-3068C0F63475}" type="presParOf" srcId="{E1F9D2F6-654B-45CD-AABD-739A30F3BB65}" destId="{AA8F52AD-F7E4-4ACB-AB77-80DA40BE20B9}" srcOrd="1" destOrd="0" presId="urn:microsoft.com/office/officeart/2005/8/layout/hList9#1"/>
    <dgm:cxn modelId="{7ADC0A0C-7631-4F86-AA0B-C8E15C93A4C2}" type="presParOf" srcId="{7F486B0C-B233-4545-8EF6-6FBF17F172DC}" destId="{E963037A-5E10-476D-AA1D-858545F2E144}" srcOrd="7" destOrd="0" presId="urn:microsoft.com/office/officeart/2005/8/layout/hList9#1"/>
    <dgm:cxn modelId="{D6EB2C15-5543-4C72-B9F8-D215DA1C475D}" type="presParOf" srcId="{7F486B0C-B233-4545-8EF6-6FBF17F172DC}" destId="{0EBA54D4-E195-4D1D-9F99-8F4C64344E13}" srcOrd="8" destOrd="0" presId="urn:microsoft.com/office/officeart/2005/8/layout/hList9#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276D3E-6E10-4F1D-AEB7-063017BA3ED9}">
      <dsp:nvSpPr>
        <dsp:cNvPr id="0" name=""/>
        <dsp:cNvSpPr/>
      </dsp:nvSpPr>
      <dsp:spPr>
        <a:xfrm rot="16200000">
          <a:off x="-119904" y="120465"/>
          <a:ext cx="1699260" cy="1458329"/>
        </a:xfrm>
        <a:prstGeom prst="flowChartManualOperation">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dsp:spPr>
      <dsp:style>
        <a:lnRef idx="0">
          <a:scrgbClr r="0" g="0" b="0"/>
        </a:lnRef>
        <a:fillRef idx="1">
          <a:scrgbClr r="0" g="0" b="0"/>
        </a:fillRef>
        <a:effectRef idx="2">
          <a:scrgbClr r="0" g="0" b="0"/>
        </a:effectRef>
        <a:fontRef idx="minor">
          <a:schemeClr val="lt1"/>
        </a:fontRef>
      </dsp:style>
      <dsp:txBody>
        <a:bodyPr spcFirstLastPara="0" vert="horz" wrap="square" lIns="76200" tIns="0" rIns="76200" bIns="0" numCol="1" spcCol="1270" anchor="t" anchorCtr="0">
          <a:noAutofit/>
        </a:bodyPr>
        <a:lstStyle/>
        <a:p>
          <a:pPr marL="0" lvl="0" indent="0" algn="l"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Upsteam</a:t>
          </a:r>
          <a:r>
            <a:rPr lang="en-IN" sz="1800" kern="1200"/>
            <a:t> </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Oil and Gas exploration</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Production</a:t>
          </a:r>
        </a:p>
      </dsp:txBody>
      <dsp:txXfrm rot="5400000">
        <a:off x="562" y="339851"/>
        <a:ext cx="1458329" cy="1019556"/>
      </dsp:txXfrm>
    </dsp:sp>
    <dsp:sp modelId="{98939158-DC75-48F5-ACE2-2B7FFDFCCBCF}">
      <dsp:nvSpPr>
        <dsp:cNvPr id="0" name=""/>
        <dsp:cNvSpPr/>
      </dsp:nvSpPr>
      <dsp:spPr>
        <a:xfrm rot="16200000">
          <a:off x="1470661" y="120465"/>
          <a:ext cx="1699260" cy="1458329"/>
        </a:xfrm>
        <a:prstGeom prst="flowChartManualOperation">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dsp:spPr>
      <dsp:style>
        <a:lnRef idx="0">
          <a:scrgbClr r="0" g="0" b="0"/>
        </a:lnRef>
        <a:fillRef idx="1">
          <a:scrgbClr r="0" g="0" b="0"/>
        </a:fillRef>
        <a:effectRef idx="2">
          <a:scrgbClr r="0" g="0" b="0"/>
        </a:effectRef>
        <a:fontRef idx="minor">
          <a:schemeClr val="lt1"/>
        </a:fontRef>
      </dsp:style>
      <dsp:txBody>
        <a:bodyPr spcFirstLastPara="0" vert="horz" wrap="square" lIns="114300" tIns="0" rIns="116396" bIns="0" numCol="1" spcCol="1270" anchor="t" anchorCtr="0">
          <a:noAutofit/>
        </a:bodyPr>
        <a:lstStyle/>
        <a:p>
          <a:pPr marL="0" lvl="0" indent="0" algn="l"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Midstream</a:t>
          </a:r>
        </a:p>
        <a:p>
          <a:pPr marL="114300" lvl="1" indent="-114300" algn="l" defTabSz="622300">
            <a:lnSpc>
              <a:spcPct val="90000"/>
            </a:lnSpc>
            <a:spcBef>
              <a:spcPct val="0"/>
            </a:spcBef>
            <a:spcAft>
              <a:spcPct val="15000"/>
            </a:spcAft>
            <a:buChar char="•"/>
          </a:pPr>
          <a:r>
            <a:rPr lang="en-IN" sz="1400" kern="1200">
              <a:latin typeface="Times New Roman" panose="02020603050405020304" pitchFamily="18" charset="0"/>
              <a:cs typeface="Times New Roman" panose="02020603050405020304" pitchFamily="18" charset="0"/>
            </a:rPr>
            <a:t>Processing </a:t>
          </a:r>
        </a:p>
        <a:p>
          <a:pPr marL="114300" lvl="1" indent="-114300" algn="l" defTabSz="622300">
            <a:lnSpc>
              <a:spcPct val="90000"/>
            </a:lnSpc>
            <a:spcBef>
              <a:spcPct val="0"/>
            </a:spcBef>
            <a:spcAft>
              <a:spcPct val="15000"/>
            </a:spcAft>
            <a:buChar char="•"/>
          </a:pPr>
          <a:r>
            <a:rPr lang="en-IN" sz="1400" kern="1200">
              <a:latin typeface="Times New Roman" panose="02020603050405020304" pitchFamily="18" charset="0"/>
              <a:cs typeface="Times New Roman" panose="02020603050405020304" pitchFamily="18" charset="0"/>
            </a:rPr>
            <a:t>Oil refining</a:t>
          </a:r>
        </a:p>
      </dsp:txBody>
      <dsp:txXfrm rot="5400000">
        <a:off x="1591127" y="339851"/>
        <a:ext cx="1458329" cy="1019556"/>
      </dsp:txXfrm>
    </dsp:sp>
    <dsp:sp modelId="{B96E66B3-EC49-4459-93D4-AA2D509BC50D}">
      <dsp:nvSpPr>
        <dsp:cNvPr id="0" name=""/>
        <dsp:cNvSpPr/>
      </dsp:nvSpPr>
      <dsp:spPr>
        <a:xfrm rot="16200000">
          <a:off x="3015504" y="120465"/>
          <a:ext cx="1699260" cy="1458329"/>
        </a:xfrm>
        <a:prstGeom prst="flowChartManualOperation">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dsp:spPr>
      <dsp:style>
        <a:lnRef idx="0">
          <a:scrgbClr r="0" g="0" b="0"/>
        </a:lnRef>
        <a:fillRef idx="1">
          <a:scrgbClr r="0" g="0" b="0"/>
        </a:fillRef>
        <a:effectRef idx="2">
          <a:scrgbClr r="0" g="0" b="0"/>
        </a:effectRef>
        <a:fontRef idx="minor">
          <a:schemeClr val="lt1"/>
        </a:fontRef>
      </dsp:style>
      <dsp:txBody>
        <a:bodyPr spcFirstLastPara="0" vert="horz" wrap="square" lIns="114300" tIns="0" rIns="116396" bIns="0" numCol="1" spcCol="1270" anchor="t" anchorCtr="0">
          <a:noAutofit/>
        </a:bodyPr>
        <a:lstStyle/>
        <a:p>
          <a:pPr marL="0" lvl="0" indent="0" algn="l"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Downsteam</a:t>
          </a:r>
        </a:p>
        <a:p>
          <a:pPr marL="114300" lvl="1" indent="-114300" algn="l" defTabSz="622300">
            <a:lnSpc>
              <a:spcPct val="90000"/>
            </a:lnSpc>
            <a:spcBef>
              <a:spcPct val="0"/>
            </a:spcBef>
            <a:spcAft>
              <a:spcPct val="15000"/>
            </a:spcAft>
            <a:buChar char="•"/>
          </a:pPr>
          <a:r>
            <a:rPr lang="en-IN" sz="1400" kern="1200">
              <a:latin typeface="Times New Roman" panose="02020603050405020304" pitchFamily="18" charset="0"/>
              <a:cs typeface="Times New Roman" panose="02020603050405020304" pitchFamily="18" charset="0"/>
            </a:rPr>
            <a:t>Supply and Trading</a:t>
          </a:r>
        </a:p>
        <a:p>
          <a:pPr marL="114300" lvl="1" indent="-114300" algn="l" defTabSz="622300">
            <a:lnSpc>
              <a:spcPct val="90000"/>
            </a:lnSpc>
            <a:spcBef>
              <a:spcPct val="0"/>
            </a:spcBef>
            <a:spcAft>
              <a:spcPct val="15000"/>
            </a:spcAft>
            <a:buChar char="•"/>
          </a:pPr>
          <a:r>
            <a:rPr lang="en-IN" sz="1400" kern="1200">
              <a:latin typeface="Times New Roman" panose="02020603050405020304" pitchFamily="18" charset="0"/>
              <a:cs typeface="Times New Roman" panose="02020603050405020304" pitchFamily="18" charset="0"/>
            </a:rPr>
            <a:t>Transportation</a:t>
          </a:r>
        </a:p>
      </dsp:txBody>
      <dsp:txXfrm rot="5400000">
        <a:off x="3135970" y="339851"/>
        <a:ext cx="1458329" cy="10195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2750F6-7FE8-4785-812F-1AC2A1E5736F}">
      <dsp:nvSpPr>
        <dsp:cNvPr id="0" name=""/>
        <dsp:cNvSpPr/>
      </dsp:nvSpPr>
      <dsp:spPr>
        <a:xfrm>
          <a:off x="594359" y="0"/>
          <a:ext cx="3977640" cy="397764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BE11E0D-2624-44B9-961F-A93EB5BB0E5C}">
      <dsp:nvSpPr>
        <dsp:cNvPr id="0" name=""/>
        <dsp:cNvSpPr/>
      </dsp:nvSpPr>
      <dsp:spPr>
        <a:xfrm>
          <a:off x="781563" y="319022"/>
          <a:ext cx="1733741" cy="147010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n-IN" sz="1200" kern="1200"/>
        </a:p>
        <a:p>
          <a:pPr marL="0" lvl="0" indent="0" algn="l" defTabSz="533400">
            <a:lnSpc>
              <a:spcPct val="90000"/>
            </a:lnSpc>
            <a:spcBef>
              <a:spcPct val="0"/>
            </a:spcBef>
            <a:spcAft>
              <a:spcPct val="35000"/>
            </a:spcAft>
            <a:buNone/>
          </a:pPr>
          <a:endParaRPr lang="en-IN" sz="1200" kern="1200">
            <a:latin typeface="Arial" panose="020B0604020202020204" pitchFamily="34" charset="0"/>
            <a:cs typeface="Arial" panose="020B0604020202020204" pitchFamily="34" charset="0"/>
          </a:endParaRPr>
        </a:p>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Rapid expansion</a:t>
          </a:r>
        </a:p>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1) The industry is expected to attract US$ 25 million investment in exploration</a:t>
          </a:r>
        </a:p>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2) Increase in refining capacity</a:t>
          </a:r>
        </a:p>
        <a:p>
          <a:pPr marL="0" lvl="0" indent="0" algn="l" defTabSz="533400">
            <a:lnSpc>
              <a:spcPct val="90000"/>
            </a:lnSpc>
            <a:spcBef>
              <a:spcPct val="0"/>
            </a:spcBef>
            <a:spcAft>
              <a:spcPct val="35000"/>
            </a:spcAft>
            <a:buNone/>
          </a:pPr>
          <a:endParaRPr lang="en-IN" sz="1200" kern="1200"/>
        </a:p>
        <a:p>
          <a:pPr marL="0" lvl="0" indent="0" algn="ctr" defTabSz="533400">
            <a:lnSpc>
              <a:spcPct val="90000"/>
            </a:lnSpc>
            <a:spcBef>
              <a:spcPct val="0"/>
            </a:spcBef>
            <a:spcAft>
              <a:spcPct val="35000"/>
            </a:spcAft>
            <a:buNone/>
          </a:pPr>
          <a:endParaRPr lang="en-IN" sz="800" kern="1200"/>
        </a:p>
      </dsp:txBody>
      <dsp:txXfrm>
        <a:off x="853328" y="390787"/>
        <a:ext cx="1590211" cy="1326573"/>
      </dsp:txXfrm>
    </dsp:sp>
    <dsp:sp modelId="{2EB06368-E9D7-423D-BC65-3C818898EDE5}">
      <dsp:nvSpPr>
        <dsp:cNvPr id="0" name=""/>
        <dsp:cNvSpPr/>
      </dsp:nvSpPr>
      <dsp:spPr>
        <a:xfrm>
          <a:off x="2647116" y="285085"/>
          <a:ext cx="1741617" cy="15379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Growing Demand</a:t>
          </a:r>
        </a:p>
        <a:p>
          <a:pPr marL="114300" lvl="1" indent="-114300" algn="just" defTabSz="533400">
            <a:lnSpc>
              <a:spcPct val="90000"/>
            </a:lnSpc>
            <a:spcBef>
              <a:spcPct val="0"/>
            </a:spcBef>
            <a:spcAft>
              <a:spcPct val="15000"/>
            </a:spcAft>
            <a:buFont typeface="Symbol" panose="05050102010706020507" pitchFamily="18" charset="2"/>
            <a:buNone/>
          </a:pPr>
          <a:r>
            <a:rPr lang="en-IN" sz="1200" kern="1200">
              <a:latin typeface="Times New Roman" panose="02020603050405020304" pitchFamily="18" charset="0"/>
              <a:cs typeface="Times New Roman" panose="02020603050405020304" pitchFamily="18" charset="0"/>
            </a:rPr>
            <a:t>1) India is the largest energy consumer</a:t>
          </a:r>
        </a:p>
        <a:p>
          <a:pPr marL="114300" lvl="1" indent="-114300" algn="just" defTabSz="533400">
            <a:lnSpc>
              <a:spcPct val="90000"/>
            </a:lnSpc>
            <a:spcBef>
              <a:spcPct val="0"/>
            </a:spcBef>
            <a:spcAft>
              <a:spcPct val="15000"/>
            </a:spcAft>
            <a:buFont typeface="Symbol" panose="05050102010706020507" pitchFamily="18" charset="2"/>
            <a:buNone/>
          </a:pPr>
          <a:r>
            <a:rPr lang="en-IN" sz="1200" kern="1200">
              <a:latin typeface="Times New Roman" panose="02020603050405020304" pitchFamily="18" charset="0"/>
              <a:cs typeface="Times New Roman" panose="02020603050405020304" pitchFamily="18" charset="0"/>
            </a:rPr>
            <a:t>2) Diesel demand in India is expected to 163 MMT</a:t>
          </a:r>
        </a:p>
      </dsp:txBody>
      <dsp:txXfrm>
        <a:off x="2722194" y="360163"/>
        <a:ext cx="1591461" cy="1387822"/>
      </dsp:txXfrm>
    </dsp:sp>
    <dsp:sp modelId="{52D202CF-A607-40DE-BE3B-144C76894644}">
      <dsp:nvSpPr>
        <dsp:cNvPr id="0" name=""/>
        <dsp:cNvSpPr/>
      </dsp:nvSpPr>
      <dsp:spPr>
        <a:xfrm>
          <a:off x="757268" y="2187328"/>
          <a:ext cx="1769349" cy="14724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IN" sz="1200"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IN" sz="1200" kern="1200">
            <a:latin typeface="Arial" panose="020B0604020202020204" pitchFamily="34" charset="0"/>
            <a:cs typeface="Arial" panose="020B0604020202020204" pitchFamily="34" charset="0"/>
          </a:endParaRPr>
        </a:p>
        <a:p>
          <a:pPr marL="0" lvl="0" indent="0" algn="l" defTabSz="533400">
            <a:lnSpc>
              <a:spcPct val="90000"/>
            </a:lnSpc>
            <a:spcBef>
              <a:spcPct val="0"/>
            </a:spcBef>
            <a:spcAft>
              <a:spcPct val="35000"/>
            </a:spcAft>
            <a:buNone/>
          </a:pPr>
          <a:endParaRPr lang="en-IN" sz="1200" kern="1200">
            <a:latin typeface="Arial" panose="020B0604020202020204" pitchFamily="34" charset="0"/>
            <a:cs typeface="Arial" panose="020B0604020202020204" pitchFamily="34" charset="0"/>
          </a:endParaRPr>
        </a:p>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FDI Guidelines</a:t>
          </a:r>
        </a:p>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1) The Government allowed 100% FDI in upstream and private refinig projects</a:t>
          </a:r>
        </a:p>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2) The FDI in the public sector has risen to 49%</a:t>
          </a:r>
        </a:p>
        <a:p>
          <a:pPr marL="0" lvl="0" indent="0" algn="ctr" defTabSz="533400">
            <a:lnSpc>
              <a:spcPct val="90000"/>
            </a:lnSpc>
            <a:spcBef>
              <a:spcPct val="0"/>
            </a:spcBef>
            <a:spcAft>
              <a:spcPct val="35000"/>
            </a:spcAft>
            <a:buNone/>
          </a:pPr>
          <a:endParaRPr lang="en-IN"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IN" sz="800" kern="1200"/>
        </a:p>
        <a:p>
          <a:pPr marL="0" lvl="0" indent="0" algn="ctr" defTabSz="533400">
            <a:lnSpc>
              <a:spcPct val="90000"/>
            </a:lnSpc>
            <a:spcBef>
              <a:spcPct val="0"/>
            </a:spcBef>
            <a:spcAft>
              <a:spcPct val="35000"/>
            </a:spcAft>
            <a:buNone/>
          </a:pPr>
          <a:endParaRPr lang="en-IN" sz="800" kern="1200"/>
        </a:p>
        <a:p>
          <a:pPr marL="0" lvl="0" indent="0" algn="ctr" defTabSz="533400">
            <a:lnSpc>
              <a:spcPct val="90000"/>
            </a:lnSpc>
            <a:spcBef>
              <a:spcPct val="0"/>
            </a:spcBef>
            <a:spcAft>
              <a:spcPct val="35000"/>
            </a:spcAft>
            <a:buNone/>
          </a:pPr>
          <a:endParaRPr lang="en-IN" sz="800" kern="1200"/>
        </a:p>
        <a:p>
          <a:pPr marL="0" lvl="0" indent="0" algn="ctr" defTabSz="533400">
            <a:lnSpc>
              <a:spcPct val="90000"/>
            </a:lnSpc>
            <a:spcBef>
              <a:spcPct val="0"/>
            </a:spcBef>
            <a:spcAft>
              <a:spcPct val="35000"/>
            </a:spcAft>
            <a:buNone/>
          </a:pPr>
          <a:endParaRPr lang="en-IN" sz="800" kern="1200"/>
        </a:p>
      </dsp:txBody>
      <dsp:txXfrm>
        <a:off x="829148" y="2259208"/>
        <a:ext cx="1625589" cy="1328714"/>
      </dsp:txXfrm>
    </dsp:sp>
    <dsp:sp modelId="{AA3F1CE3-41B8-4CFB-B185-1F6C0F2CF04A}">
      <dsp:nvSpPr>
        <dsp:cNvPr id="0" name=""/>
        <dsp:cNvSpPr/>
      </dsp:nvSpPr>
      <dsp:spPr>
        <a:xfrm>
          <a:off x="2667490" y="2217295"/>
          <a:ext cx="1863794" cy="14266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Policy Support</a:t>
          </a:r>
        </a:p>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1) Government has enacted various policies such as OLAP and CBM to encourage investments</a:t>
          </a:r>
        </a:p>
        <a:p>
          <a:pPr marL="0" lvl="0" indent="0" algn="just"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2) Approved incentives in Oil fields.</a:t>
          </a:r>
        </a:p>
      </dsp:txBody>
      <dsp:txXfrm>
        <a:off x="2737136" y="2286941"/>
        <a:ext cx="1724502" cy="12874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8D703C-194B-48E5-A059-A553D4130F2B}">
      <dsp:nvSpPr>
        <dsp:cNvPr id="0" name=""/>
        <dsp:cNvSpPr/>
      </dsp:nvSpPr>
      <dsp:spPr>
        <a:xfrm>
          <a:off x="1512570" y="0"/>
          <a:ext cx="2240280" cy="224028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57D033-3569-4899-9A38-06605D1410F4}">
      <dsp:nvSpPr>
        <dsp:cNvPr id="0" name=""/>
        <dsp:cNvSpPr/>
      </dsp:nvSpPr>
      <dsp:spPr>
        <a:xfrm>
          <a:off x="1725396" y="212826"/>
          <a:ext cx="873709" cy="873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Technology</a:t>
          </a:r>
        </a:p>
      </dsp:txBody>
      <dsp:txXfrm>
        <a:off x="1768047" y="255477"/>
        <a:ext cx="788407" cy="788407"/>
      </dsp:txXfrm>
    </dsp:sp>
    <dsp:sp modelId="{979C118C-43A0-48DB-BC18-83BEBAE8A858}">
      <dsp:nvSpPr>
        <dsp:cNvPr id="0" name=""/>
        <dsp:cNvSpPr/>
      </dsp:nvSpPr>
      <dsp:spPr>
        <a:xfrm>
          <a:off x="2666314" y="225722"/>
          <a:ext cx="873709" cy="873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Political issues</a:t>
          </a:r>
        </a:p>
      </dsp:txBody>
      <dsp:txXfrm>
        <a:off x="2708965" y="268373"/>
        <a:ext cx="788407" cy="788407"/>
      </dsp:txXfrm>
    </dsp:sp>
    <dsp:sp modelId="{BFCA01AD-9D49-4937-B759-CB2181687701}">
      <dsp:nvSpPr>
        <dsp:cNvPr id="0" name=""/>
        <dsp:cNvSpPr/>
      </dsp:nvSpPr>
      <dsp:spPr>
        <a:xfrm>
          <a:off x="1725396" y="1153744"/>
          <a:ext cx="873709" cy="873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Tax Policies</a:t>
          </a:r>
        </a:p>
      </dsp:txBody>
      <dsp:txXfrm>
        <a:off x="1768047" y="1196395"/>
        <a:ext cx="788407" cy="788407"/>
      </dsp:txXfrm>
    </dsp:sp>
    <dsp:sp modelId="{9727AEC7-405B-4B3E-80D2-D716A62B0AD9}">
      <dsp:nvSpPr>
        <dsp:cNvPr id="0" name=""/>
        <dsp:cNvSpPr/>
      </dsp:nvSpPr>
      <dsp:spPr>
        <a:xfrm>
          <a:off x="2666314" y="1153744"/>
          <a:ext cx="873709" cy="873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Natural causes</a:t>
          </a:r>
        </a:p>
      </dsp:txBody>
      <dsp:txXfrm>
        <a:off x="2708965" y="1196395"/>
        <a:ext cx="788407" cy="78840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91A1B3-A6A3-4933-9568-D15B1B2807E5}">
      <dsp:nvSpPr>
        <dsp:cNvPr id="0" name=""/>
        <dsp:cNvSpPr/>
      </dsp:nvSpPr>
      <dsp:spPr>
        <a:xfrm>
          <a:off x="1287767" y="325465"/>
          <a:ext cx="1653939" cy="3609304"/>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99568" rIns="99568" bIns="99568" numCol="1" spcCol="1270" anchor="ctr" anchorCtr="0">
          <a:noAutofit/>
        </a:bodyPr>
        <a:lstStyle/>
        <a:p>
          <a:pPr marL="0" lvl="0" indent="0" algn="l" defTabSz="622300">
            <a:lnSpc>
              <a:spcPct val="90000"/>
            </a:lnSpc>
            <a:spcBef>
              <a:spcPct val="0"/>
            </a:spcBef>
            <a:spcAft>
              <a:spcPct val="35000"/>
            </a:spcAft>
            <a:buNone/>
          </a:pPr>
          <a:r>
            <a:rPr lang="en-IN" sz="1400" kern="1200"/>
            <a:t>1</a:t>
          </a:r>
          <a:r>
            <a:rPr lang="en-IN" sz="1400" kern="1200">
              <a:latin typeface="Times New Roman" panose="02020603050405020304" pitchFamily="18" charset="0"/>
              <a:cs typeface="Times New Roman" panose="02020603050405020304" pitchFamily="18" charset="0"/>
            </a:rPr>
            <a:t>)L.P.G.	</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2)Propylene</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3)Naphtha</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4)Gasoline</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5)Jet ATF</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6)superior Kerosine Oil</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7)High - Speed Diesel</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8)Sulfur</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9)Petcoke</a:t>
          </a:r>
        </a:p>
        <a:p>
          <a:pPr marL="0" lvl="0" indent="0" algn="l" defTabSz="622300">
            <a:lnSpc>
              <a:spcPct val="90000"/>
            </a:lnSpc>
            <a:spcBef>
              <a:spcPct val="0"/>
            </a:spcBef>
            <a:spcAft>
              <a:spcPct val="35000"/>
            </a:spcAft>
            <a:buNone/>
          </a:pPr>
          <a:endParaRPr lang="en-IN" sz="1200" kern="1200"/>
        </a:p>
      </dsp:txBody>
      <dsp:txXfrm>
        <a:off x="1552398" y="325465"/>
        <a:ext cx="1389308" cy="3609304"/>
      </dsp:txXfrm>
    </dsp:sp>
    <dsp:sp modelId="{76AAC923-C01A-4F05-93F4-27C31D6C0D77}">
      <dsp:nvSpPr>
        <dsp:cNvPr id="0" name=""/>
        <dsp:cNvSpPr/>
      </dsp:nvSpPr>
      <dsp:spPr>
        <a:xfrm>
          <a:off x="0" y="355770"/>
          <a:ext cx="1405343" cy="135881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IN" sz="1400" kern="1200"/>
            <a:t>Refining </a:t>
          </a:r>
          <a:r>
            <a:rPr lang="en-IN" sz="1200" kern="1200">
              <a:latin typeface="Times New Roman" panose="02020603050405020304" pitchFamily="18" charset="0"/>
              <a:cs typeface="Times New Roman" panose="02020603050405020304" pitchFamily="18" charset="0"/>
            </a:rPr>
            <a:t>Products</a:t>
          </a:r>
        </a:p>
      </dsp:txBody>
      <dsp:txXfrm>
        <a:off x="205808" y="554764"/>
        <a:ext cx="993727" cy="960825"/>
      </dsp:txXfrm>
    </dsp:sp>
    <dsp:sp modelId="{A76A015E-4182-4930-8815-B5F51618A124}">
      <dsp:nvSpPr>
        <dsp:cNvPr id="0" name=""/>
        <dsp:cNvSpPr/>
      </dsp:nvSpPr>
      <dsp:spPr>
        <a:xfrm>
          <a:off x="4175676" y="302959"/>
          <a:ext cx="1668675" cy="372348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99568" rIns="99568" bIns="99568" numCol="1" spcCol="1270" anchor="ctr" anchorCtr="0">
          <a:noAutofit/>
        </a:bodyPr>
        <a:lstStyle/>
        <a:p>
          <a:pPr marL="0" lvl="0" indent="0" algn="l" defTabSz="622300">
            <a:lnSpc>
              <a:spcPct val="90000"/>
            </a:lnSpc>
            <a:spcBef>
              <a:spcPct val="0"/>
            </a:spcBef>
            <a:spcAft>
              <a:spcPct val="35000"/>
            </a:spcAft>
            <a:buNone/>
          </a:pPr>
          <a:endParaRPr lang="en-IN" sz="1400" kern="1200"/>
        </a:p>
        <a:p>
          <a:pPr marL="0" lvl="0" indent="0" algn="l" defTabSz="622300">
            <a:lnSpc>
              <a:spcPct val="90000"/>
            </a:lnSpc>
            <a:spcBef>
              <a:spcPct val="0"/>
            </a:spcBef>
            <a:spcAft>
              <a:spcPct val="35000"/>
            </a:spcAft>
            <a:buNone/>
          </a:pPr>
          <a:endParaRPr lang="en-IN" sz="1400" kern="1200"/>
        </a:p>
        <a:p>
          <a:pPr marL="0" lvl="0" indent="0" algn="l" defTabSz="622300">
            <a:lnSpc>
              <a:spcPct val="90000"/>
            </a:lnSpc>
            <a:spcBef>
              <a:spcPct val="0"/>
            </a:spcBef>
            <a:spcAft>
              <a:spcPct val="35000"/>
            </a:spcAft>
            <a:buNone/>
          </a:pPr>
          <a:endParaRPr lang="en-IN" sz="1400" kern="1200">
            <a:latin typeface="Times New Roman" panose="02020603050405020304" pitchFamily="18" charset="0"/>
            <a:cs typeface="Times New Roman" panose="02020603050405020304" pitchFamily="18" charset="0"/>
          </a:endParaRP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1)Domestic and Industry</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2)Feedstock for Polypropylene</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3)Feedstock for Petrochemical</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4)Transportation</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5)Aviation Fuel</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6)Domestic Fuel</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7)Feedstock for fertilizers and pharmaceuticals</a:t>
          </a:r>
        </a:p>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8)Fuel for Power plant and Cement plants</a:t>
          </a:r>
        </a:p>
        <a:p>
          <a:pPr marL="0" lvl="0" indent="0" algn="l" defTabSz="622300">
            <a:lnSpc>
              <a:spcPct val="90000"/>
            </a:lnSpc>
            <a:spcBef>
              <a:spcPct val="0"/>
            </a:spcBef>
            <a:spcAft>
              <a:spcPct val="35000"/>
            </a:spcAft>
            <a:buNone/>
          </a:pPr>
          <a:endParaRPr lang="en-IN" sz="1400" kern="1200"/>
        </a:p>
        <a:p>
          <a:pPr marL="0" lvl="0" indent="0" algn="l" defTabSz="622300">
            <a:lnSpc>
              <a:spcPct val="90000"/>
            </a:lnSpc>
            <a:spcBef>
              <a:spcPct val="0"/>
            </a:spcBef>
            <a:spcAft>
              <a:spcPct val="35000"/>
            </a:spcAft>
            <a:buNone/>
          </a:pPr>
          <a:endParaRPr lang="en-IN" sz="1400" kern="1200"/>
        </a:p>
      </dsp:txBody>
      <dsp:txXfrm>
        <a:off x="4442664" y="302959"/>
        <a:ext cx="1401687" cy="3723482"/>
      </dsp:txXfrm>
    </dsp:sp>
    <dsp:sp modelId="{0EBA54D4-E195-4D1D-9F99-8F4C64344E13}">
      <dsp:nvSpPr>
        <dsp:cNvPr id="0" name=""/>
        <dsp:cNvSpPr/>
      </dsp:nvSpPr>
      <dsp:spPr>
        <a:xfrm>
          <a:off x="3037094" y="359879"/>
          <a:ext cx="1315492" cy="130440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Applications</a:t>
          </a:r>
        </a:p>
      </dsp:txBody>
      <dsp:txXfrm>
        <a:off x="3229743" y="550904"/>
        <a:ext cx="930194" cy="922352"/>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hList9#1">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fallback" val="2D"/>
          <dgm:param type="linDir" val="fromL"/>
          <dgm:param type="nodeVertAlign" val="t"/>
        </dgm:alg>
      </dgm:if>
      <dgm:else name="Name2">
        <dgm:alg type="lin">
          <dgm:param type="fallback" val="2D"/>
          <dgm:param type="linDir" val="fromR"/>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1">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IOC</b:Tag>
    <b:SourceType>Report</b:SourceType>
    <b:Guid>{911B084B-1BF4-4342-A8AF-34A8B2EC2CA9}</b:Guid>
    <b:Title>IOCL Annual Report </b:Title>
    <b:RefOrder>12</b:RefOrder>
  </b:Source>
  <b:Source>
    <b:Tag>IOC19</b:Tag>
    <b:SourceType>Report</b:SourceType>
    <b:Guid>{AD63E770-1BD8-4E32-B2BB-5C197F8299B4}</b:Guid>
    <b:LCID>en-IN</b:LCID>
    <b:Title>IOCL Annual Report </b:Title>
    <b:Year>2018-19</b:Year>
    <b:RefOrder>3</b:RefOrder>
  </b:Source>
  <b:Source>
    <b:Tag>BPC19</b:Tag>
    <b:SourceType>Report</b:SourceType>
    <b:Guid>{EA628422-5EDF-47EE-ACC7-AAA1EC5F73B3}</b:Guid>
    <b:Title>BPCL Annual Report</b:Title>
    <b:Year>2018-19</b:Year>
    <b:RefOrder>5</b:RefOrder>
  </b:Source>
  <b:Source>
    <b:Tag>IOC191</b:Tag>
    <b:SourceType>Report</b:SourceType>
    <b:Guid>{2B01E831-2467-427E-9EE5-040723D6FEB8}</b:Guid>
    <b:Title>IOCL Annual Report</b:Title>
    <b:Year> 2018-19</b:Year>
    <b:RefOrder>6</b:RefOrder>
  </b:Source>
  <b:Source>
    <b:Tag>RIL19</b:Tag>
    <b:SourceType>Report</b:SourceType>
    <b:Guid>{FB31AB27-AAE4-4307-8862-1C0BD208BEEF}</b:Guid>
    <b:Title>RIL Annual Report</b:Title>
    <b:Year>2018-19</b:Year>
    <b:RefOrder>7</b:RefOrder>
  </b:Source>
  <b:Source>
    <b:Tag>Oil19</b:Tag>
    <b:SourceType>Report</b:SourceType>
    <b:Guid>{6B088BB1-BB37-4465-9B1C-F0D362264CAF}</b:Guid>
    <b:Title>Oil India Annual Report</b:Title>
    <b:Year> 2018-19</b:Year>
    <b:RefOrder>8</b:RefOrder>
  </b:Source>
  <b:Source>
    <b:Tag>Nay19</b:Tag>
    <b:SourceType>Report</b:SourceType>
    <b:Guid>{B4B3DCB5-049D-44A8-B3F7-CBEC3DB5735B}</b:Guid>
    <b:Title>Nayara Energy Annual Report </b:Title>
    <b:Year>2018-19</b:Year>
    <b:RefOrder>9</b:RefOrder>
  </b:Source>
  <b:Source>
    <b:Tag>ONG</b:Tag>
    <b:SourceType>Report</b:SourceType>
    <b:Guid>{FF39344F-9A49-4671-985F-A8D7CF9EB7EC}</b:Guid>
    <b:Title>ONGC Annual Report</b:Title>
    <b:RefOrder>13</b:RefOrder>
  </b:Source>
  <b:Source>
    <b:Tag>ONG19</b:Tag>
    <b:SourceType>Report</b:SourceType>
    <b:Guid>{73AABEC6-606C-4468-B80E-0D8F7F2B9534}</b:Guid>
    <b:Title>ONGC ANNUAL REPORT </b:Title>
    <b:Year>2018-19</b:Year>
    <b:RefOrder>10</b:RefOrder>
  </b:Source>
  <b:Source>
    <b:Tag>HPC19</b:Tag>
    <b:SourceType>Report</b:SourceType>
    <b:Guid>{5C1BE70C-C8A1-4BE3-9DE0-56B1BE560689}</b:Guid>
    <b:Title>HPCL Annual Report </b:Title>
    <b:Year>2018-19</b:Year>
    <b:RefOrder>11</b:RefOrder>
  </b:Source>
  <b:Source>
    <b:Tag>Sou</b:Tag>
    <b:SourceType>InternetSite</b:SourceType>
    <b:Guid>{09A796C0-7F3B-4488-92FC-C396333F7671}</b:Guid>
    <b:Title>Source-worldstopexports.com</b:Title>
    <b:LCID>en-IN</b:LCID>
    <b:Year>2019</b:Year>
    <b:RefOrder>1</b:RefOrder>
  </b:Source>
  <b:Source>
    <b:Tag>Inv</b:Tag>
    <b:SourceType>InternetSite</b:SourceType>
    <b:Guid>{2661C43B-220B-4651-8B48-C62A4B5AC131}</b:Guid>
    <b:Title>Investopedia.com</b:Title>
    <b:LCID>en-IN</b:LCID>
    <b:Year>2018</b:Year>
    <b:RefOrder>4</b:RefOrder>
  </b:Source>
  <b:Source>
    <b:Tag>Sou19</b:Tag>
    <b:SourceType>Report</b:SourceType>
    <b:Guid>{76665893-0B5D-49C9-B25D-51CEA2906DA4}</b:Guid>
    <b:Title>Source-worldstopexports.com</b:Title>
    <b:Year>2019</b:Year>
    <b:RefOrder>2</b:RefOrder>
  </b:Source>
</b:Sources>
</file>

<file path=customXml/itemProps1.xml><?xml version="1.0" encoding="utf-8"?>
<ds:datastoreItem xmlns:ds="http://schemas.openxmlformats.org/officeDocument/2006/customXml" ds:itemID="{6DF18122-19F4-4F94-9A9C-C878B6E0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7181</Words>
  <Characters>40934</Characters>
  <Application>Microsoft Office Word</Application>
  <DocSecurity>2</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gunjan golani</dc:creator>
  <cp:lastModifiedBy>GUNJAN GOLANI</cp:lastModifiedBy>
  <cp:revision>3</cp:revision>
  <dcterms:created xsi:type="dcterms:W3CDTF">2020-06-24T11:35:00Z</dcterms:created>
  <dcterms:modified xsi:type="dcterms:W3CDTF">2020-06-24T11:36:00Z</dcterms:modified>
</cp:coreProperties>
</file>