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dc9dd636ccf410c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90e720a2c2cc45f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b/>
          <w:color w:val="37474F"/>
          <w:spacing w:val="30"/>
          <w:sz w:val="72"/>
        </w:rPr>
        <w:t>Software-Planung</w:t>
      </w:r>
    </w:p>
    <w:p>
      <w:pPr>
        <w:spacing w:after="400"/>
        <w:ind w:left="1200" w:right="1200"/>
        <w:jc w:val="left"/>
      </w:pPr>
      <w:r>
        <w:rPr>
          <w:color w:val="546E7A"/>
          <w:spacing w:val="20"/>
          <w:sz w:val="36"/>
        </w:rPr>
        <w:t>KI-gestuetzte Betriebskostenabrechnung</w:t>
      </w:r>
    </w:p>
    <w:p>
      <w:pPr>
        <w:spacing w:after="3000"/>
        <w:ind w:left="1200" w:right="1200"/>
        <w:jc w:val="left"/>
      </w:pPr>
      <w:r>
        <w:rPr>
          <w:color w:val="455A64"/>
          <w:sz w:val="22"/>
        </w:rPr>
        <w:t>Funktionen, Workflow, Technologie-Stack &amp; Architektur</w:t>
      </w:r>
    </w:p>
    <w:p>
      <w:pPr>
        <w:ind w:left="1200"/>
      </w:pPr>
      <w:r>
        <w:rPr>
          <w:color w:val="90A4AE"/>
          <w:sz w:val="20"/>
        </w:rPr>
        <w:t>Konzeptdokument  |  Juni 2026  |  Vertraulich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Inhaltsverzeichnis</w:t>
      </w:r>
      <w:bookmarkStart w:name="_Toc000" w:id="1"/>
      <w:bookmarkEnd w:id="1"/>
    </w:p>
    <w:p>
      <w:pPr>
        <w:spacing w:after="300"/>
      </w:pPr>
      <w:r>
        <w:rPr>
          <w:color w:val="90A4AE"/>
          <w:sz w:val="18"/>
        </w:rPr>
        <w:t>Rechtsklick auf das Inhaltsverzeichnis und "Feld aktualisieren" zur Aktualisierung der Seitenzahlen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Marktanalyse &amp; Recherche</w:t>
      </w:r>
      <w:r>
        <w:tab/>
      </w:r>
      <w:r>
        <w:t>4</w:t>
      </w:r>
    </w:p>
    <w:p>
      <w:pPr>
        <w:pStyle w:val="TOC2"/>
      </w:pPr>
      <w:r>
        <w:t>Analyse der Referenzplattform NebenkostenPro.de</w:t>
      </w:r>
      <w:r>
        <w:tab/>
      </w:r>
      <w:r>
        <w:t>4</w:t>
      </w:r>
    </w:p>
    <w:p>
      <w:pPr>
        <w:pStyle w:val="TOC2"/>
      </w:pPr>
      <w:r>
        <w:t>Wettbewerbslandschaft</w:t>
      </w:r>
      <w:r>
        <w:tab/>
      </w:r>
      <w:r>
        <w:t>5</w:t>
      </w:r>
    </w:p>
    <w:p>
      <w:pPr>
        <w:pStyle w:val="TOC2"/>
      </w:pPr>
      <w:r>
        <w:t>Rechtliche Rahmenbedingungen</w:t>
      </w:r>
      <w:r>
        <w:tab/>
      </w:r>
      <w:r>
        <w:t>6</w:t>
      </w:r>
    </w:p>
    <w:p>
      <w:pPr>
        <w:pStyle w:val="TOC1"/>
      </w:pPr>
      <w:r>
        <w:t>Funktionsanforderungen</w:t>
      </w:r>
      <w:r>
        <w:tab/>
      </w:r>
      <w:r>
        <w:t>7</w:t>
      </w:r>
    </w:p>
    <w:p>
      <w:pPr>
        <w:pStyle w:val="TOC2"/>
      </w:pPr>
      <w:r>
        <w:t>Modul: Abrechnung Erstellen (Vermieter)</w:t>
      </w:r>
      <w:r>
        <w:tab/>
      </w:r>
      <w:r>
        <w:t>7</w:t>
      </w:r>
    </w:p>
    <w:p>
      <w:pPr>
        <w:pStyle w:val="TOC2"/>
      </w:pPr>
      <w:r>
        <w:t>Modul: Abrechnung Pruefen (Mieter)</w:t>
      </w:r>
      <w:r>
        <w:tab/>
      </w:r>
      <w:r>
        <w:t>8</w:t>
      </w:r>
    </w:p>
    <w:p>
      <w:pPr>
        <w:pStyle w:val="TOC2"/>
      </w:pPr>
      <w:r>
        <w:t>Modul: KI-Assistent</w:t>
      </w:r>
      <w:r>
        <w:tab/>
      </w:r>
      <w:r>
        <w:t>8</w:t>
      </w:r>
    </w:p>
    <w:p>
      <w:pPr>
        <w:pStyle w:val="TOC1"/>
      </w:pPr>
      <w:r>
        <w:t>Workflow-Planung</w:t>
      </w:r>
      <w:r>
        <w:tab/>
      </w:r>
      <w:r>
        <w:t>9</w:t>
      </w:r>
    </w:p>
    <w:p>
      <w:pPr>
        <w:pStyle w:val="TOC2"/>
      </w:pPr>
      <w:r>
        <w:t>Vermieter-Workflow</w:t>
      </w:r>
      <w:r>
        <w:tab/>
      </w:r>
      <w:r>
        <w:t>9</w:t>
      </w:r>
    </w:p>
    <w:p>
      <w:pPr>
        <w:pStyle w:val="TOC2"/>
      </w:pPr>
      <w:r>
        <w:t>Mieter-Workflow</w:t>
      </w:r>
      <w:r>
        <w:tab/>
      </w:r>
      <w:r>
        <w:t>10</w:t>
      </w:r>
    </w:p>
    <w:p>
      <w:pPr>
        <w:pStyle w:val="TOC1"/>
      </w:pPr>
      <w:r>
        <w:t>Technologie-Stack</w:t>
      </w:r>
      <w:r>
        <w:tab/>
      </w:r>
      <w:r>
        <w:t>11</w:t>
      </w:r>
    </w:p>
    <w:p>
      <w:pPr>
        <w:pStyle w:val="TOC2"/>
      </w:pPr>
      <w:r>
        <w:t>Backend-Stack</w:t>
      </w:r>
      <w:r>
        <w:tab/>
      </w:r>
      <w:r>
        <w:t>11</w:t>
      </w:r>
    </w:p>
    <w:p>
      <w:pPr>
        <w:pStyle w:val="TOC2"/>
      </w:pPr>
      <w:r>
        <w:t>KI-Integration (Lokale LLMs)</w:t>
      </w:r>
      <w:r>
        <w:tab/>
      </w:r>
      <w:r>
        <w:t>12</w:t>
      </w:r>
    </w:p>
    <w:p>
      <w:pPr>
        <w:pStyle w:val="TOC1"/>
      </w:pPr>
      <w:r>
        <w:t>Datenbank-Schema</w:t>
      </w:r>
      <w:r>
        <w:tab/>
      </w:r>
      <w:r>
        <w:t>13</w:t>
      </w:r>
    </w:p>
    <w:p>
      <w:pPr>
        <w:pStyle w:val="TOC1"/>
      </w:pPr>
      <w:r>
        <w:t>Hardware-Anforderungen</w:t>
      </w:r>
      <w:r>
        <w:tab/>
      </w:r>
      <w:r>
        <w:t>14</w:t>
      </w:r>
    </w:p>
    <w:p>
      <w:pPr>
        <w:pStyle w:val="TOC1"/>
      </w:pPr>
      <w:r>
        <w:t>Dateistruktur &amp; Architektur</w:t>
      </w:r>
      <w:r>
        <w:tab/>
      </w:r>
      <w:r>
        <w:t>15</w:t>
      </w:r>
    </w:p>
    <w:p>
      <w:pPr>
        <w:pStyle w:val="TOC1"/>
      </w:pPr>
      <w:r>
        <w:t>Sicherheit &amp; Datenschutz</w:t>
      </w:r>
      <w:r>
        <w:tab/>
      </w:r>
      <w:r>
        <w:t>16</w:t>
      </w:r>
    </w:p>
    <w:p>
      <w:pPr>
        <w:pStyle w:val="TOC1"/>
      </w:pPr>
      <w:r>
        <w:t>Implementierungsphasen</w:t>
      </w:r>
      <w:r>
        <w:tab/>
      </w:r>
      <w:r>
        <w:t>17</w:t>
      </w:r>
    </w:p>
    <w:p>
      <w:pPr>
        <w:pStyle w:val="TOC1"/>
      </w:pPr>
      <w:r>
        <w:t>Fazit &amp; Empfehlungen</w:t>
      </w:r>
      <w:r>
        <w:tab/>
      </w:r>
      <w:r>
        <w:t>18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Executive Summary</w:t>
      </w:r>
      <w:bookmarkStart w:name="_Toc001" w:id="2"/>
      <w:bookmarkEnd w:id="2"/>
    </w:p>
    <w:p>
      <w:r>
        <w:t>Dieses Dokument beschreibt den vollstaendigen Plan fuer eine lokale Software zur KI-gestuetzten Betriebskostenabrechnung, orientiert an den Funktionen der Plattform NebenkostenPro.de. Die Software richtet sich an Vermieter und Mieter in Deutschland und soll maximal 10 gleichzeitige Nutzer unterstuetzen.</w:t>
      </w:r>
    </w:p>
    <w:p>
      <w:r>
        <w:t>Kernziele sind: Einfache Bedienbarkeit ohne komplexe Codebasis, lokale KI-Integration via selbst gehosteten Sprachmodellen (Qwen 14B oder Mistral 32B), vollstaendige Datensouveraenitaet und Rechtssicherheit nach deutscher Betriebskostenverordnung (BetrKV).</w:t>
      </w:r>
    </w:p>
    <w:tbl>
      <w:tblPr>
        <w:tblW w:w="5000" w:type="pct"/>
        <w:tblBorders>
          <w:top w:val="nil"/>
          <w:left w:val="single" w:color="546E7A" w:sz="24"/>
          <w:bottom w:val="nil"/>
          <w:right w:val="nil"/>
        </w:tblBorders>
        <w:shd w:val="clear" w:fill="F5F7F8"/>
      </w:tblPr>
      <w:tblGrid>
        <w:gridCol w:w="10000"/>
      </w:tblGrid>
      <w:tr>
        <w:tc>
          <w:tcPr>
            <w:tcW w:w="1000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37474F"/>
                <w:sz w:val="22"/>
              </w:rPr>
              <w:t>Kernkennzahlen</w:t>
            </w:r>
          </w:p>
          <w:p>
            <w:pPr>
              <w:spacing w:before="40" w:after="40"/>
            </w:pPr>
            <w:r>
              <w:rPr>
                <w:color w:val="546E7A"/>
              </w:rPr>
              <w:t xml:space="preserve">• </w:t>
            </w:r>
            <w:r>
              <w:rPr>
                <w:sz w:val="20"/>
              </w:rPr>
              <w:t>Zielgruppe: Private Vermieter, Hausverwaltungen, Mieter</w:t>
            </w:r>
          </w:p>
          <w:p>
            <w:pPr>
              <w:spacing w:before="40" w:after="40"/>
            </w:pPr>
            <w:r>
              <w:rPr>
                <w:color w:val="546E7A"/>
              </w:rPr>
              <w:t xml:space="preserve">• </w:t>
            </w:r>
            <w:r>
              <w:rPr>
                <w:sz w:val="20"/>
              </w:rPr>
              <w:t>Max. gleichzeitige Nutzer: 10</w:t>
            </w:r>
          </w:p>
          <w:p>
            <w:pPr>
              <w:spacing w:before="40" w:after="40"/>
            </w:pPr>
            <w:r>
              <w:rPr>
                <w:color w:val="546E7A"/>
              </w:rPr>
              <w:t xml:space="preserve">• </w:t>
            </w:r>
            <w:r>
              <w:rPr>
                <w:sz w:val="20"/>
              </w:rPr>
              <w:t>Technologie: HTMX + Python-Backend + lokale LLM-API</w:t>
            </w:r>
          </w:p>
          <w:p>
            <w:pPr>
              <w:spacing w:before="40" w:after="40"/>
            </w:pPr>
            <w:r>
              <w:rPr>
                <w:color w:val="546E7A"/>
              </w:rPr>
              <w:t xml:space="preserve">• </w:t>
            </w:r>
            <w:r>
              <w:rPr>
                <w:sz w:val="20"/>
              </w:rPr>
              <w:t>Kostenarten: Alle 17 BetrKV-Positionen</w:t>
            </w:r>
          </w:p>
          <w:p>
            <w:pPr>
              <w:spacing w:before="40" w:after="40"/>
            </w:pPr>
            <w:r>
              <w:rPr>
                <w:color w:val="546E7A"/>
              </w:rPr>
              <w:t xml:space="preserve">• </w:t>
            </w:r>
            <w:r>
              <w:rPr>
                <w:sz w:val="20"/>
              </w:rPr>
              <w:t>Hosting: Lokal (On-Premise), keine Cloud-Abhaengigkeit</w:t>
            </w:r>
          </w:p>
        </w:tc>
      </w:tr>
    </w:tbl>
    <w:p>
      <w:pPr>
        <w:pStyle w:val="Heading1"/>
      </w:pPr>
      <w:r>
        <w:t>2. Marktanalyse &amp; Recherche</w:t>
      </w:r>
      <w:bookmarkStart w:name="_Toc002" w:id="3"/>
      <w:bookmarkEnd w:id="3"/>
    </w:p>
    <w:p>
      <w:pPr>
        <w:pStyle w:val="Heading2"/>
      </w:pPr>
      <w:r>
        <w:t>2.1 Analyse der Referenzplattform NebenkostenPro.de</w:t>
      </w:r>
    </w:p>
    <w:p>
      <w:r>
        <w:t>NebenkostenPro.de ist eine deutsche KI-Plattform zur Erstellung und Pruefung von Betriebskostenabrechnungen. Die Plattform wurde in der Zeitschrift Starting Up vorgestellt und positioniert sich als digitale Alternative zur teuren Hausverwaltung.</w:t>
      </w:r>
    </w:p>
    <w:p>
      <w:pPr>
        <w:pStyle w:val="Heading3"/>
      </w:pPr>
      <w:r>
        <w:t>Funktionsuebersicht NebenkostenPro</w:t>
      </w:r>
    </w:p>
    <w:p>
      <w:r>
        <w:rPr>
          <w:color w:val="546E7A"/>
        </w:rPr>
        <w:t xml:space="preserve">• </w:t>
      </w:r>
      <w:r>
        <w:t>Abrechnung erstellen (Vermieter): Multimodale KI-Pipeline liest Belege aus, ordnet BetrKV-Kostenarten zu, fuehrt durch Verteilerschluessel und erstellt PDF-Abrechnung</w:t>
      </w:r>
      <w:r>
        <w:br/>
      </w:r>
      <w:r>
        <w:rPr>
          <w:color w:val="546E7A"/>
        </w:rPr>
        <w:t xml:space="preserve">• </w:t>
      </w:r>
      <w:r>
        <w:t>Abrechnung pruefen (Mieter): 9 regelbasierte Pruefungen nach BetrKV &amp; BGB, kostenlose Vorschau, Premium-Report mit PDF-Pruefbericht</w:t>
      </w:r>
      <w:r>
        <w:br/>
      </w:r>
      <w:r>
        <w:rPr>
          <w:color w:val="546E7A"/>
        </w:rPr>
        <w:t xml:space="preserve">• </w:t>
      </w:r>
      <w:r>
        <w:t>KI-Assistent: Fragbasierte Beratung zu Nebenkosten, Fristen, Kostenarten</w:t>
      </w:r>
      <w:r>
        <w:br/>
      </w:r>
      <w:r>
        <w:rPr>
          <w:color w:val="546E7A"/>
        </w:rPr>
        <w:t xml:space="preserve">• </w:t>
      </w:r>
      <w:r>
        <w:t>BetrKV-orientierte Struktur: Alle 17 Kostenarten der Betriebskostenverordnung</w:t>
      </w:r>
      <w:r>
        <w:br/>
      </w:r>
      <w:r>
        <w:rPr>
          <w:color w:val="546E7A"/>
        </w:rPr>
        <w:t xml:space="preserve">• </w:t>
      </w:r>
      <w:r>
        <w:t>Preismodell: Vermieter ab 14,90 EUR pro Abrechnung, Mieter ab 7,90 EUR Schnell-Check</w:t>
      </w:r>
    </w:p>
    <w:p>
      <w:pPr>
        <w:pStyle w:val="Heading3"/>
      </w:pPr>
      <w:r>
        <w:t>Technologie-Stack (Schaetzung)</w:t>
      </w:r>
    </w:p>
    <w:p>
      <w:r>
        <w:t>Die Plattform nutzt eine multimodale KI-Pipeline mit Document Understanding fuer PDF-Scans und Fotos, deutsche Server bei Hetzner, Stripe fuer Zahlungsabwicklung und Next.js als Frontend-Framework. TLS-Verschluesselung und DSGVO-Konformitaet sind zentrale Elemente.</w:t>
      </w:r>
    </w:p>
    <w:p>
      <w:pPr>
        <w:pStyle w:val="Heading2"/>
      </w:pPr>
      <w:r>
        <w:t>2.2 Wettbewerbslandschaft</w:t>
      </w:r>
    </w:p>
    <w:p>
      <w:r>
        <w:t>Der Markt fuer Vermieter-Software ist fragmentiert mit Angeboten zwischen 5 EUR/Monat und mehreren hundert Euro jaehrlich. Wichtige Wettbewerber im Ueberblick: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</w:tblBorders>
      </w:tblPr>
      <w:tblGrid>
        <w:gridCol w:w="2200"/>
        <w:gridCol w:w="2000"/>
        <w:gridCol w:w="3000"/>
      </w:tblGrid>
      <w:tr>
        <w:trPr>
          <w:tblHeader/>
        </w:trPr>
        <w:tc>
          <w:tcPr>
            <w:tcW w:w="22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Anbieter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Preis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Besonderheiten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NebenkostenPro.de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ab 7,90 EUR/Pruefung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KI-gestuetzt, deutsche Server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hellohousing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ab ca. 30 EUR/Mon.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Mieterportal + Buchhaltung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immocloud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ab 9,99 EUR/Mon.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Cloud-basiert, bis 5 WE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WISO Vermieter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34,99 EUR/Jahr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Windows-Software, max. 5 WE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objego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ab 5 EUR/Mon.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Grundfunktionen kostenlos</w:t>
            </w:r>
          </w:p>
        </w:tc>
      </w:tr>
    </w:tbl>
    <w:p>
      <w:pPr>
        <w:pStyle w:val="Heading2"/>
      </w:pPr>
      <w:r>
        <w:t>2.3 Rechtliche Rahmenbedingungen</w:t>
      </w:r>
    </w:p>
    <w:p>
      <w:r>
        <w:t>Die Betriebskostenabrechnung unterliegt strengen gesetzlichen Vorgaben. Die zentralen Regelwerke sind:</w:t>
      </w:r>
    </w:p>
    <w:p>
      <w:r>
        <w:rPr>
          <w:color w:val="546E7A"/>
        </w:rPr>
        <w:t xml:space="preserve">• </w:t>
      </w:r>
      <w:r>
        <w:t>BetrKV (Betriebskostenverordnung): Definiert in §2 genau 17 umlagefaehige Kostenarten</w:t>
      </w:r>
      <w:r>
        <w:br/>
      </w:r>
      <w:r>
        <w:rPr>
          <w:color w:val="546E7A"/>
        </w:rPr>
        <w:t xml:space="preserve">• </w:t>
      </w:r>
      <w:r>
        <w:t>§ 556 BGB: Regelt Abrechnungsfrist (max. 12 Monate nach Abrechnungszeitraum)</w:t>
      </w:r>
      <w:r>
        <w:br/>
      </w:r>
      <w:r>
        <w:rPr>
          <w:color w:val="546E7A"/>
        </w:rPr>
        <w:t xml:space="preserve">• </w:t>
      </w:r>
      <w:r>
        <w:t>Heizkostenverordnung (HKVO): Verbrauchsabhaengige Abrechnung Heizung/Warmwasser</w:t>
      </w:r>
      <w:r>
        <w:br/>
      </w:r>
      <w:r>
        <w:rPr>
          <w:color w:val="546E7A"/>
        </w:rPr>
        <w:t xml:space="preserve">• </w:t>
      </w:r>
      <w:r>
        <w:t>Grundsteuerreform 2025: Neue Hebesaetze seit 01.01.2025, umlagefaehig</w:t>
      </w:r>
      <w:r>
        <w:br/>
      </w:r>
      <w:r>
        <w:rPr>
          <w:color w:val="546E7A"/>
        </w:rPr>
        <w:t xml:space="preserve">• </w:t>
      </w:r>
      <w:r>
        <w:t>Nebenkostenprivileg: Kabelanschluss seit 01.07.2024 nicht mehr umlagefaehig</w:t>
      </w:r>
    </w:p>
    <w:tbl>
      <w:tblPr>
        <w:tblW w:w="5000" w:type="pct"/>
        <w:tblBorders>
          <w:top w:val="single" w:color="78909C" w:sz="8"/>
          <w:left w:val="single" w:color="78909C" w:sz="8"/>
          <w:bottom w:val="single" w:color="78909C" w:sz="8"/>
          <w:right w:val="single" w:color="78909C" w:sz="8"/>
        </w:tblBorders>
        <w:shd w:val="clear" w:fill="FAFAFA"/>
      </w:tblPr>
      <w:tblGrid>
        <w:gridCol w:w="10000"/>
      </w:tblGrid>
      <w:tr>
        <w:tc>
          <w:tcPr>
            <w:tcW w:w="1000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60" w:after="60"/>
            </w:pPr>
            <w:r>
              <w:rPr>
                <w:b/>
                <w:color w:val="37474F"/>
                <w:sz w:val="21"/>
              </w:rPr>
              <w:t xml:space="preserve">⚠ Wichtige Frist</w:t>
            </w:r>
          </w:p>
          <w:p>
            <w:pPr>
              <w:spacing w:before="40" w:after="60"/>
            </w:pPr>
            <w:r>
              <w:rPr>
                <w:color w:val="455A64"/>
                <w:sz w:val="20"/>
              </w:rPr>
              <w:t>Fuer das Abrechnungsjahr 2025 muss die Abrechnung spaetestens bis 31.12.2026 beim Mieter eingegangen sein. Bei Verspaetung entfaellt der Nachforderungsanspruch (LG Hamburg, Az. 316 S 77/16).</w:t>
            </w:r>
          </w:p>
        </w:tc>
      </w:tr>
    </w:tbl>
    <w:p>
      <w:pPr>
        <w:pStyle w:val="Heading1"/>
      </w:pPr>
      <w:r>
        <w:t>3. Funktionsanforderungen</w:t>
      </w:r>
      <w:bookmarkStart w:name="_Toc003" w:id="4"/>
      <w:bookmarkEnd w:id="4"/>
    </w:p>
    <w:p>
      <w:r>
        <w:t>Die Software gliedert sich in drei Hauptmodule, die jeweils spezifische Use-Cases fuer Vermieter und Mieter abdecken. Die Funktionsplanung orientiert sich an der Analyse von NebenkostenPro.de, reduziert die Komplexitaet jedoch gezielt fuer den lokalen 10-Nutzer-Betrieb.</w:t>
      </w:r>
    </w:p>
    <w:p>
      <w:pPr>
        <w:pStyle w:val="Heading2"/>
      </w:pPr>
      <w:r>
        <w:t>3.1 Modul: Abrechnung Erstellen (Vermieter)</w:t>
      </w:r>
    </w:p>
    <w:p>
      <w:pPr>
        <w:pStyle w:val="Heading3"/>
      </w:pPr>
      <w:r>
        <w:t>Schritt 1: Dokumente hochladen</w:t>
      </w:r>
    </w:p>
    <w:p>
      <w:r>
        <w:rPr>
          <w:color w:val="546E7A"/>
        </w:rPr>
        <w:t xml:space="preserve">• </w:t>
      </w:r>
      <w:r>
        <w:t>Upload von PDF-Rechnungen, Heizkostenabrechnungen, Hausgeldabrechnungen (WEG)</w:t>
      </w:r>
      <w:r>
        <w:br/>
      </w:r>
      <w:r>
        <w:rPr>
          <w:color w:val="546E7A"/>
        </w:rPr>
        <w:t xml:space="preserve">• </w:t>
      </w:r>
      <w:r>
        <w:t>Unterstuetzte Formate: PDF, JPG, PNG, TIFF</w:t>
      </w:r>
      <w:r>
        <w:br/>
      </w:r>
      <w:r>
        <w:rPr>
          <w:color w:val="546E7A"/>
        </w:rPr>
        <w:t xml:space="preserve">• </w:t>
      </w:r>
      <w:r>
        <w:t>Drag-and-Drop Upload via HTMX</w:t>
      </w:r>
      <w:r>
        <w:br/>
      </w:r>
      <w:r>
        <w:rPr>
          <w:color w:val="546E7A"/>
        </w:rPr>
        <w:t xml:space="preserve">• </w:t>
      </w:r>
      <w:r>
        <w:t>Mehrere Dateien gleichzeitig, bis 20 MB pro Datei</w:t>
      </w:r>
    </w:p>
    <w:p>
      <w:pPr>
        <w:pStyle w:val="Heading3"/>
      </w:pPr>
      <w:r>
        <w:t>Schritt 2: KI-Auslesung &amp; Strukturierung</w:t>
      </w:r>
    </w:p>
    <w:p>
      <w:r>
        <w:rPr>
          <w:color w:val="546E7A"/>
        </w:rPr>
        <w:t xml:space="preserve">• </w:t>
      </w:r>
      <w:r>
        <w:t>OCR + LLM-Extraktion: Automatisches Auslesen von Rechnungsbetraegen, Datum, Anbieter</w:t>
      </w:r>
      <w:r>
        <w:br/>
      </w:r>
      <w:r>
        <w:rPr>
          <w:color w:val="546E7A"/>
        </w:rPr>
        <w:t xml:space="preserve">• </w:t>
      </w:r>
      <w:r>
        <w:t>Zuordnung zu BetrKV-Kostenarten (Nr. 1-17) durch Klassifikationsmodell</w:t>
      </w:r>
      <w:r>
        <w:br/>
      </w:r>
      <w:r>
        <w:rPr>
          <w:color w:val="546E7A"/>
        </w:rPr>
        <w:t xml:space="preserve">• </w:t>
      </w:r>
      <w:r>
        <w:t>Manuelle Korrekturmoeglichkeit bei falscher Zuordnung</w:t>
      </w:r>
      <w:r>
        <w:br/>
      </w:r>
      <w:r>
        <w:rPr>
          <w:color w:val="546E7A"/>
        </w:rPr>
        <w:t xml:space="preserve">• </w:t>
      </w:r>
      <w:r>
        <w:t>Heizkosten: Erkennung HKVO-relevanter Felder (Verbrauch, Fläche, Gradtagzahl)</w:t>
      </w:r>
    </w:p>
    <w:p>
      <w:pPr>
        <w:pStyle w:val="Heading3"/>
      </w:pPr>
      <w:r>
        <w:t>Schritt 3: Verteilerschluessel &amp; Mieterzuordnung</w:t>
      </w:r>
    </w:p>
    <w:p>
      <w:r>
        <w:rPr>
          <w:color w:val="546E7A"/>
        </w:rPr>
        <w:t xml:space="preserve">• </w:t>
      </w:r>
      <w:r>
        <w:t>Flaeche (qm): Standard fuer Grundsteuer, Versicherung, Gartenpflege</w:t>
      </w:r>
      <w:r>
        <w:br/>
      </w:r>
      <w:r>
        <w:rPr>
          <w:color w:val="546E7A"/>
        </w:rPr>
        <w:t xml:space="preserve">• </w:t>
      </w:r>
      <w:r>
        <w:t>Personenanzahl: Wasserversorgung, Entwaesserung</w:t>
      </w:r>
      <w:r>
        <w:br/>
      </w:r>
      <w:r>
        <w:rPr>
          <w:color w:val="546E7A"/>
        </w:rPr>
        <w:t xml:space="preserve">• </w:t>
      </w:r>
      <w:r>
        <w:t>Verbrauch/Flaeche 50/50: Heizkosten nach HKVO</w:t>
      </w:r>
      <w:r>
        <w:br/>
      </w:r>
      <w:r>
        <w:rPr>
          <w:color w:val="546E7A"/>
        </w:rPr>
        <w:t xml:space="preserve">• </w:t>
      </w:r>
      <w:r>
        <w:t>Nutzungseinheiten: Aufzug, Muell, Beleuchtung</w:t>
      </w:r>
      <w:r>
        <w:br/>
      </w:r>
      <w:r>
        <w:rPr>
          <w:color w:val="546E7A"/>
        </w:rPr>
        <w:t xml:space="preserve">• </w:t>
      </w:r>
      <w:r>
        <w:t>Tagesgenaue Berechnung bei Mieterwechsel</w:t>
      </w:r>
    </w:p>
    <w:p>
      <w:pPr>
        <w:pStyle w:val="Heading3"/>
      </w:pPr>
      <w:r>
        <w:t>Schritt 4: PDF-Abrechnung generieren</w:t>
      </w:r>
    </w:p>
    <w:p>
      <w:r>
        <w:rPr>
          <w:color w:val="546E7A"/>
        </w:rPr>
        <w:t xml:space="preserve">• </w:t>
      </w:r>
      <w:r>
        <w:t>Vorlage an BetrKV-Struktur orientiert mit allen 17 Positionen</w:t>
      </w:r>
      <w:r>
        <w:br/>
      </w:r>
      <w:r>
        <w:rPr>
          <w:color w:val="546E7A"/>
        </w:rPr>
        <w:t xml:space="preserve">• </w:t>
      </w:r>
      <w:r>
        <w:t>Automatische Summenbildung und Saldo (Nachzahlung/Guthaben)</w:t>
      </w:r>
      <w:r>
        <w:br/>
      </w:r>
      <w:r>
        <w:rPr>
          <w:color w:val="546E7A"/>
        </w:rPr>
        <w:t xml:space="preserve">• </w:t>
      </w:r>
      <w:r>
        <w:t>Anzeige der Vorauszahlungen vs. tatsaechlicher Kosten</w:t>
      </w:r>
      <w:r>
        <w:br/>
      </w:r>
      <w:r>
        <w:rPr>
          <w:color w:val="546E7A"/>
        </w:rPr>
        <w:t xml:space="preserve">• </w:t>
      </w:r>
      <w:r>
        <w:t>Download als PDF mit optionalem Anschreiben</w:t>
      </w:r>
    </w:p>
    <w:p>
      <w:pPr>
        <w:pStyle w:val="Heading2"/>
      </w:pPr>
      <w:r>
        <w:t>3.2 Modul: Abrechnung Pruefen (Mieter)</w:t>
      </w:r>
    </w:p>
    <w:p>
      <w:pPr>
        <w:pStyle w:val="Heading3"/>
      </w:pPr>
      <w:r>
        <w:t>Regelbasierte Pruefungen</w:t>
      </w:r>
    </w:p>
    <w:p>
      <w:r>
        <w:rPr>
          <w:color w:val="546E7A"/>
        </w:rPr>
        <w:t xml:space="preserve">• </w:t>
      </w:r>
      <w:r>
        <w:t>Pruefung 1: Abrechnungszeitraum max. 12 Monate (§556 Abs. 3 BGB)</w:t>
      </w:r>
      <w:r>
        <w:br/>
      </w:r>
      <w:r>
        <w:rPr>
          <w:color w:val="546E7A"/>
        </w:rPr>
        <w:t xml:space="preserve">• </w:t>
      </w:r>
      <w:r>
        <w:t>Pruefung 2: Kostenarten umlagefaehig nach BetrKV (keine Verwaltungskosten)</w:t>
      </w:r>
      <w:r>
        <w:br/>
      </w:r>
      <w:r>
        <w:rPr>
          <w:color w:val="546E7A"/>
        </w:rPr>
        <w:t xml:space="preserve">• </w:t>
      </w:r>
      <w:r>
        <w:t>Pruefung 3: Verteilerschluessel plausibel und im Mietvertrag vereinbart</w:t>
      </w:r>
      <w:r>
        <w:br/>
      </w:r>
      <w:r>
        <w:rPr>
          <w:color w:val="546E7A"/>
        </w:rPr>
        <w:t xml:space="preserve">• </w:t>
      </w:r>
      <w:r>
        <w:t>Pruefung 4: Heizkosten nach HKVO (Verbrauchsanteil mind. 30-50%)</w:t>
      </w:r>
      <w:r>
        <w:br/>
      </w:r>
      <w:r>
        <w:rPr>
          <w:color w:val="546E7A"/>
        </w:rPr>
        <w:t xml:space="preserve">• </w:t>
      </w:r>
      <w:r>
        <w:t>Pruefung 5: Keine Instandhaltungs-/Reparaturkosten enthalten</w:t>
      </w:r>
      <w:r>
        <w:br/>
      </w:r>
      <w:r>
        <w:rPr>
          <w:color w:val="546E7A"/>
        </w:rPr>
        <w:t xml:space="preserve">• </w:t>
      </w:r>
      <w:r>
        <w:t>Pruefung 6: Fristgerechte Zustellung (Zugang bis 31.12. Folgejahr)</w:t>
      </w:r>
      <w:r>
        <w:br/>
      </w:r>
      <w:r>
        <w:rPr>
          <w:color w:val="546E7A"/>
        </w:rPr>
        <w:t xml:space="preserve">• </w:t>
      </w:r>
      <w:r>
        <w:t>Pruefung 7: Leerstandsanteile korrekt abgezogen</w:t>
      </w:r>
      <w:r>
        <w:br/>
      </w:r>
      <w:r>
        <w:rPr>
          <w:color w:val="546E7A"/>
        </w:rPr>
        <w:t xml:space="preserve">• </w:t>
      </w:r>
      <w:r>
        <w:t>Pruefung 8: Vorauszahlungen mit tatsaechlichen Kosten verrechnet</w:t>
      </w:r>
      <w:r>
        <w:br/>
      </w:r>
      <w:r>
        <w:rPr>
          <w:color w:val="546E7A"/>
        </w:rPr>
        <w:t xml:space="preserve">• </w:t>
      </w:r>
      <w:r>
        <w:t>Pruefung 9: Mathematische Korrektheit (Summen, Prozentsaetze)</w:t>
      </w:r>
    </w:p>
    <w:p>
      <w:pPr>
        <w:pStyle w:val="Heading3"/>
      </w:pPr>
      <w:r>
        <w:t>Ergebnis-Report</w:t>
      </w:r>
    </w:p>
    <w:p>
      <w:r>
        <w:rPr>
          <w:color w:val="546E7A"/>
        </w:rPr>
        <w:t xml:space="preserve">• </w:t>
      </w:r>
      <w:r>
        <w:t>Strukturierter Ueberblick: OK / Auffaellig / Pruefen</w:t>
      </w:r>
      <w:r>
        <w:br/>
      </w:r>
      <w:r>
        <w:rPr>
          <w:color w:val="546E7A"/>
        </w:rPr>
        <w:t xml:space="preserve">• </w:t>
      </w:r>
      <w:r>
        <w:t>Markierte Kostenpositionen mit Betraegen und Hinweisen</w:t>
      </w:r>
      <w:r>
        <w:br/>
      </w:r>
      <w:r>
        <w:rPr>
          <w:color w:val="546E7A"/>
        </w:rPr>
        <w:t xml:space="preserve">• </w:t>
      </w:r>
      <w:r>
        <w:t>PDF-Pruefbericht zum Download</w:t>
      </w:r>
      <w:r>
        <w:br/>
      </w:r>
      <w:r>
        <w:rPr>
          <w:color w:val="546E7A"/>
        </w:rPr>
        <w:t xml:space="preserve">• </w:t>
      </w:r>
      <w:r>
        <w:t>Vorlage fuer Klärungschreiben mit markierten Punkten</w:t>
      </w:r>
    </w:p>
    <w:p>
      <w:pPr>
        <w:pStyle w:val="Heading2"/>
      </w:pPr>
      <w:r>
        <w:t>3.3 Modul: KI-Assistent</w:t>
      </w:r>
    </w:p>
    <w:p>
      <w:r>
        <w:t>Der KI-Assistent nutzt das lokale LLM (Qwen 14B oder Mistral 32B) ueber die Ollama-API und bietet kontextbezogene Antworten zu allen Aspekten der Betriebskostenabrechnung.</w:t>
      </w:r>
    </w:p>
    <w:p>
      <w:r>
        <w:rPr>
          <w:color w:val="546E7A"/>
        </w:rPr>
        <w:t xml:space="preserve">• </w:t>
      </w:r>
      <w:r>
        <w:t>Fragbasierte Interaktion: Nutzer stellt Fragen zur eigenen Abrechnung</w:t>
      </w:r>
      <w:r>
        <w:br/>
      </w:r>
      <w:r>
        <w:rPr>
          <w:color w:val="546E7A"/>
        </w:rPr>
        <w:t xml:space="preserve">• </w:t>
      </w:r>
      <w:r>
        <w:t>Kontextbewusstsein: LLM hat Zugriff auf hochgeladene Dokumente</w:t>
      </w:r>
      <w:r>
        <w:br/>
      </w:r>
      <w:r>
        <w:rPr>
          <w:color w:val="546E7A"/>
        </w:rPr>
        <w:t xml:space="preserve">• </w:t>
      </w:r>
      <w:r>
        <w:t>Rechtliche Einordnung: Verweis auf BetrKV-Paragraphen ohne Rechtsberatung</w:t>
      </w:r>
      <w:r>
        <w:br/>
      </w:r>
      <w:r>
        <w:rPr>
          <w:color w:val="546E7A"/>
        </w:rPr>
        <w:t xml:space="preserve">• </w:t>
      </w:r>
      <w:r>
        <w:t>Formularvorschlaege: Hilfe beim Erstellen von Klärungschreiben</w:t>
      </w:r>
    </w:p>
    <w:p>
      <w:pPr>
        <w:pStyle w:val="Heading1"/>
      </w:pPr>
      <w:r>
        <w:t>4. Workflow-Planung</w:t>
      </w:r>
      <w:bookmarkStart w:name="_Toc004" w:id="5"/>
      <w:bookmarkEnd w:id="5"/>
    </w:p>
    <w:p>
      <w:pPr>
        <w:pStyle w:val="Heading2"/>
      </w:pPr>
      <w:r>
        <w:t>4.1 Vermieter-Workflow</w:t>
      </w:r>
    </w:p>
    <w:tbl>
      <w:tblPr>
        <w:tblW w:w="5000" w:type="pct"/>
        <w:tblBorders>
          <w:top w:val="single" w:color="546E7A" w:sz="12"/>
          <w:bottom w:val="single" w:color="546E7A" w:sz="12"/>
          <w:insideH w:val="single" w:color="CFD8DC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w="8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Nr.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Schritt</w:t>
            </w:r>
          </w:p>
        </w:tc>
        <w:tc>
          <w:tcPr>
            <w:tcW w:w="60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Beschreibung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Login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Authentifizierung (lokaler Account)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Objekt anlegen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Adresse, Wohnflaeche, Einheiten definieren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Mieter erfassen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Name, Einzugsdatum, Vorauszahlungen, qm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Belege hochladen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Rechnungen, Heizkostenabrechnung per Drag &amp; Drop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KI liest Belege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Automatische Extraktion &amp; BetrKV-Zuordnung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Verteilerschluessel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Auswahl/Anpassung pro Kostenart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7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Vorschau pruefen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Ueberblick aller Positionen &amp; Summen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8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PDF generieren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Download fertige Abrechnung + Anschreiben</w:t>
            </w:r>
          </w:p>
        </w:tc>
      </w:tr>
    </w:tbl>
    <w:p>
      <w:pPr>
        <w:pStyle w:val="Heading2"/>
      </w:pPr>
      <w:r>
        <w:t>4.2 Mieter-Workflow</w:t>
      </w:r>
    </w:p>
    <w:tbl>
      <w:tblPr>
        <w:tblW w:w="5000" w:type="pct"/>
        <w:tblBorders>
          <w:top w:val="single" w:color="546E7A" w:sz="12"/>
          <w:bottom w:val="single" w:color="546E7A" w:sz="12"/>
          <w:insideH w:val="single" w:color="CFD8DC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w="8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Nr.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Schritt</w:t>
            </w:r>
          </w:p>
        </w:tc>
        <w:tc>
          <w:tcPr>
            <w:tcW w:w="60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Beschreibung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Login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Authentifizierung (lokaler Account)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2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Abrechnung hochladen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PDF der Nebenkostenabrechnung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3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Mietvertragdaten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Eingabe Wohnflaeche, Personen, Vorauszahlungen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4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KI-Analyse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9 regelbasierte Pruefungen automatisch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5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Vorschau ansehen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Kostenlose Uebersicht der Auffaelligkeiten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6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Detail-Report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Vollstaendiger Pruefbericht mit Hinweisen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7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KI-Assistent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Fragen zur eigenen Abrechnung stellen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8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Klaerungsschreiben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Vorlage fuer Anfrage an Vermieter</w:t>
            </w:r>
          </w:p>
        </w:tc>
      </w:tr>
    </w:tbl>
    <w:p>
      <w:pPr>
        <w:pStyle w:val="Heading1"/>
      </w:pPr>
      <w:r>
        <w:t>5. Technologie-Stack</w:t>
      </w:r>
      <w:bookmarkStart w:name="_Toc005" w:id="6"/>
      <w:bookmarkEnd w:id="6"/>
    </w:p>
    <w:p>
      <w:r>
        <w:t>Der Stack wurde bewusst auf Einfachheit und Wartbarkeit optimiert. HTMX ermoeglicht interaktive Web-Oberflaechen ohne JavaScript-Framework-Overhead. Alle Komponenten laufen lokal und sind fuer maximal 10 gleichzeitige Nutzer dimensioniert.</w:t>
      </w:r>
    </w:p>
    <w:p>
      <w:pPr>
        <w:pStyle w:val="Heading2"/>
      </w:pPr>
      <w:r>
        <w:t>5.1 Backend-Stack</w:t>
      </w:r>
    </w:p>
    <w:tbl>
      <w:tblPr>
        <w:tblW w:w="5000" w:type="pct"/>
        <w:tblBorders>
          <w:top w:val="single" w:color="37474F" w:sz="12"/>
          <w:bottom w:val="single" w:color="37474F" w:sz="12"/>
          <w:insideH w:val="single" w:color="CFD8DC" w:sz="4"/>
        </w:tblBorders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w="22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Komponente</w:t>
            </w:r>
          </w:p>
        </w:tc>
        <w:tc>
          <w:tcPr>
            <w:tcW w:w="26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Technologie</w:t>
            </w:r>
          </w:p>
        </w:tc>
        <w:tc>
          <w:tcPr>
            <w:tcW w:w="42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Begruendung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Web-Framework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Flask (Python)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Einfach, reif, grosse Community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Frontend-Interaktion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HTMX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Kein JS-Framework, Server-rendered HTML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Template-Engine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Jinja2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Integriert in Flask, bekannt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Datenbank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SQLite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Zero-config, file-based, 10 Nutzer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OCR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Tesseract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Open-source, deutsche Sprache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LLM-API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Ollama (lokal)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OpenAI-kompatibel, offline-faehig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PDF-Generierung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WeasyPrint / ReportLab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Python-native, HTML-to-PDF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Webserver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Gunicorn + Nginx</w:t>
            </w:r>
          </w:p>
        </w:tc>
        <w:tc>
          <w:tcPr>
            <w:tcW w:w="42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Production-ready, reverse proxy</w:t>
            </w:r>
          </w:p>
        </w:tc>
      </w:tr>
    </w:tbl>
    <w:p>
      <w:pPr>
        <w:pStyle w:val="Heading2"/>
      </w:pPr>
      <w:r>
        <w:t>5.2 KI-Integration (Lokale LLMs)</w:t>
      </w:r>
    </w:p>
    <w:p>
      <w:r>
        <w:t>Die KI-Funktionalitaet basiert ausschliesslich auf lokal betriebenen Open-Source-Modellen. Die Kommunikation erfolgt ueber die Ollama-API, die einen OpenAI-kompatiblen Endpunkt bereitstellt.</w:t>
      </w:r>
    </w:p>
    <w:p>
      <w:pPr>
        <w:pStyle w:val="Heading3"/>
      </w:pPr>
      <w:r>
        <w:t>Empfohlene Modelle</w:t>
      </w:r>
    </w:p>
    <w:tbl>
      <w:tblPr>
        <w:tblW w:w="5000" w:type="pct"/>
        <w:tblBorders>
          <w:top w:val="single" w:color="37474F" w:sz="12"/>
          <w:bottom w:val="single" w:color="37474F" w:sz="12"/>
          <w:insideH w:val="single" w:color="CFD8DC" w:sz="4"/>
        </w:tblBorders>
      </w:tblPr>
      <w:tblGrid>
        <w:gridCol w:w="2500"/>
        <w:gridCol w:w="1600"/>
        <w:gridCol w:w="2400"/>
        <w:gridCol w:w="2500"/>
      </w:tblGrid>
      <w:tr>
        <w:trPr>
          <w:tblHeader/>
        </w:trPr>
        <w:tc>
          <w:tcPr>
            <w:tcW w:w="25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Modell</w:t>
            </w:r>
          </w:p>
        </w:tc>
        <w:tc>
          <w:tcPr>
            <w:tcW w:w="16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Parameter</w:t>
            </w:r>
          </w:p>
        </w:tc>
        <w:tc>
          <w:tcPr>
            <w:tcW w:w="24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VRAM</w:t>
            </w:r>
          </w:p>
        </w:tc>
        <w:tc>
          <w:tcPr>
            <w:tcW w:w="25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Staerken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Qwen2.5 14B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14 Mrd.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~10 GB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Dokumentenanalyse, multilingual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Mistral 7B / Nemo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12B (Nemo)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~8-10 GB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Deutsch, reasoning, schnell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Llama 3.1 8B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8 Mrd.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~6 GB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Allround, gut verfuegbar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Qwen2.5 32B (Q4)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32 Mrd.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~20 GB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Hoechste Qualitaet, langsame</w:t>
            </w:r>
          </w:p>
        </w:tc>
      </w:tr>
    </w:tbl>
    <w:p>
      <w:pPr>
        <w:pStyle w:val="Heading3"/>
      </w:pPr>
      <w:r>
        <w:t>KI-Verwendung in der Software</w:t>
      </w:r>
    </w:p>
    <w:p>
      <w:r>
        <w:rPr>
          <w:color w:val="546E7A"/>
        </w:rPr>
        <w:t xml:space="preserve">• </w:t>
      </w:r>
      <w:r>
        <w:t>Dokumentenverarbeitung: OCR (Tesseract) + LLM fuer strukturierte Datenextraktion</w:t>
      </w:r>
      <w:r>
        <w:br/>
      </w:r>
      <w:r>
        <w:rPr>
          <w:color w:val="546E7A"/>
        </w:rPr>
        <w:t xml:space="preserve">• </w:t>
      </w:r>
      <w:r>
        <w:t>Kostenarten-Klassifikation: LLM ordnet Rechnungstext BetrKV-Nr. 1-17 zu</w:t>
      </w:r>
      <w:r>
        <w:br/>
      </w:r>
      <w:r>
        <w:rPr>
          <w:color w:val="546E7A"/>
        </w:rPr>
        <w:t xml:space="preserve">• </w:t>
      </w:r>
      <w:r>
        <w:t>Plausibilitaetspruefung: LLM prueft mathematische Konsistenz</w:t>
      </w:r>
      <w:r>
        <w:br/>
      </w:r>
      <w:r>
        <w:rPr>
          <w:color w:val="546E7A"/>
        </w:rPr>
        <w:t xml:space="preserve">• </w:t>
      </w:r>
      <w:r>
        <w:t>KI-Assistent: Chat-Interface fuer Fragen zu Abrechnungen und Mietrecht</w:t>
      </w:r>
      <w:r>
        <w:br/>
      </w:r>
      <w:r>
        <w:rPr>
          <w:color w:val="546E7A"/>
        </w:rPr>
        <w:t xml:space="preserve">• </w:t>
      </w:r>
      <w:r>
        <w:t>Report-Generierung: Strukturierte Zusammenfassung in natuerlicher Sprache</w:t>
      </w:r>
    </w:p>
    <w:tbl>
      <w:tblPr>
        <w:tblW w:w="5000" w:type="pct"/>
        <w:tblBorders>
          <w:top w:val="single" w:color="78909C" w:sz="8"/>
          <w:left w:val="single" w:color="78909C" w:sz="8"/>
          <w:bottom w:val="single" w:color="78909C" w:sz="8"/>
          <w:right w:val="single" w:color="78909C" w:sz="8"/>
        </w:tblBorders>
        <w:shd w:val="clear" w:fill="FAFAFA"/>
      </w:tblPr>
      <w:tblGrid>
        <w:gridCol w:w="10000"/>
      </w:tblGrid>
      <w:tr>
        <w:tc>
          <w:tcPr>
            <w:tcW w:w="1000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60" w:after="60"/>
            </w:pPr>
            <w:r>
              <w:rPr>
                <w:b/>
                <w:color w:val="37474F"/>
                <w:sz w:val="21"/>
              </w:rPr>
              <w:t xml:space="preserve">⚠ Hinweis zur GPU</w:t>
            </w:r>
          </w:p>
          <w:p>
            <w:pPr>
              <w:spacing w:before="40" w:after="60"/>
            </w:pPr>
            <w:r>
              <w:rPr>
                <w:color w:val="455A64"/>
                <w:sz w:val="20"/>
              </w:rPr>
              <w:t>Fuer Qwen 14B oder Mistral 32B wird mindestens eine GPU mit 16-24 GB VRAM empfohlen (z.B. RTX 4090, RTX 3090 Ti). Alternativ reicht fuer kleinere Modelle (Qwen 7B) auch eine GPU mit 8 GB VRAM, allerdings mit Qualitaetseinbussen bei der Dokumentenanalyse.</w:t>
            </w:r>
          </w:p>
        </w:tc>
      </w:tr>
    </w:tbl>
    <w:p>
      <w:pPr>
        <w:pStyle w:val="Heading1"/>
      </w:pPr>
      <w:r>
        <w:t>6. Datenbank-Schema</w:t>
      </w:r>
      <w:bookmarkStart w:name="_Toc006" w:id="7"/>
      <w:bookmarkEnd w:id="7"/>
    </w:p>
    <w:p>
      <w:r>
        <w:t>SQLite wird als Datenbank eingesetzt - fuer bis zu 10 Nutzer voellig ausreichend, zero-config und backup-freundlich. Die wichtigsten Entitaeten:</w:t>
      </w:r>
    </w:p>
    <w:tbl>
      <w:tblPr>
        <w:tblW w:w="5000" w:type="pct"/>
        <w:tblBorders>
          <w:top w:val="single" w:color="37474F" w:sz="12"/>
          <w:bottom w:val="single" w:color="37474F" w:sz="12"/>
          <w:insideH w:val="single" w:color="CFD8DC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Tabelle</w:t>
            </w:r>
          </w:p>
        </w:tc>
        <w:tc>
          <w:tcPr>
            <w:tcW w:w="66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Felder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users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id, username, password_hash, role (vermieter/mieter/admin), created_at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properties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id, user_id, address, total_sqm, units, created_at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tenants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id, property_id, name, move_in_date, move_out_date, sqm, persons, vorauszahlung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invoices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id, property_id, betrkv_nr, category, amount, date, vendor, document_path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allocations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id, invoice_id, tenant_id, amount, allocation_key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abrechnungen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id, property_id, year, status, pdf_path, created_at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pruefberichte</w:t>
            </w:r>
          </w:p>
        </w:tc>
        <w:tc>
          <w:tcPr>
            <w:tcW w:w="6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id, user_id, abrechnung_id, findings_json, pdf_path</w:t>
            </w:r>
          </w:p>
        </w:tc>
      </w:tr>
    </w:tbl>
    <w:p>
      <w:pPr>
        <w:pStyle w:val="Heading1"/>
      </w:pPr>
      <w:r>
        <w:t>7. Hardware-Anforderungen</w:t>
      </w:r>
      <w:bookmarkStart w:name="_Toc007" w:id="8"/>
      <w:bookmarkEnd w:id="8"/>
    </w:p>
    <w:p>
      <w:r>
        <w:t>Die Software ist fuer lokalen Betrieb konzipiert. Es werden zwei Konfigurationsoptionen empfohlen:</w:t>
      </w:r>
    </w:p>
    <w:tbl>
      <w:tblPr>
        <w:tblW w:w="5000" w:type="pct"/>
        <w:tblBorders>
          <w:top w:val="single" w:color="37474F" w:sz="12"/>
          <w:bottom w:val="single" w:color="37474F" w:sz="12"/>
          <w:insideH w:val="single" w:color="CFD8DC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Komponente</w:t>
            </w:r>
          </w:p>
        </w:tc>
        <w:tc>
          <w:tcPr>
            <w:tcW w:w="35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Minimal (Qwen 7B)</w:t>
            </w:r>
          </w:p>
        </w:tc>
        <w:tc>
          <w:tcPr>
            <w:tcW w:w="35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Empfohlen (Qwen 14B+)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CPU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4 Kerne (x86_64)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6+ Kerne modern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RAM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16 GB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32 GB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GPU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8 GB VRAM (RTX 3070)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16-24 GB VRAM (RTX 4090)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Speicher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50 GB SSD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100 GB SSD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OS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Linux (Ubuntu 22.04+)</w:t>
            </w:r>
          </w:p>
        </w:tc>
        <w:tc>
          <w:tcPr>
            <w:tcW w:w="35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Linux (Ubuntu 22.04+)</w:t>
            </w:r>
          </w:p>
        </w:tc>
      </w:tr>
    </w:tbl>
    <w:p>
      <w:pPr>
        <w:pStyle w:val="Heading1"/>
      </w:pPr>
      <w:r>
        <w:t>8. Dateistruktur &amp; Architektur</w:t>
      </w:r>
      <w:bookmarkStart w:name="_Toc008" w:id="9"/>
      <w:bookmarkEnd w:id="9"/>
    </w:p>
    <w:p>
      <w:r>
        <w:t>Das Projekt folgt einer simplen, uebersichtlichen Struktur ohne ueberflüssige Abstraktionsschichten:</w:t>
      </w:r>
    </w:p>
    <w:tbl>
      <w:tblPr>
        <w:tblW w:w="5000" w:type="pct"/>
        <w:tblBorders>
          <w:top w:val="single" w:color="CFD8DC" w:sz="8"/>
          <w:left w:val="single" w:color="CFD8DC" w:sz="8"/>
          <w:bottom w:val="single" w:color="CFD8DC" w:sz="8"/>
          <w:right w:val="single" w:color="CFD8DC" w:sz="8"/>
        </w:tblBorders>
        <w:shd w:val="clear" w:fill="263238"/>
      </w:tblPr>
      <w:tblGrid>
        <w:gridCol w:w="10000"/>
      </w:tblGrid>
      <w:tr>
        <w:tc>
          <w:tcPr>
            <w:tcW w:w="1000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FFFFFF"/>
                <w:sz w:val="17"/>
              </w:rPr>
              <w:t xml:space="preserve">nebenkosten-app/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app.py                  # Flask-App, Routen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config.py               # Konfiguration (.env-basiert)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requirements.txt        # Python-Abhaengigkeiten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.env                    # API-Keys, Pfade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database/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schema.sql          # SQLite-Schema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└── app.db              # Datenbank-Datei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models/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user.py             # User-Auth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property.py         # Objekte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tenant.py           # Mieter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invoice.py          # Rechnungen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└── abrechnung.py       # Abrechnungslogik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services/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ocr_service.py      # Tesseract OCR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llm_service.py      # Ollama-API-Client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pdf_service.py      # PDF-Generierung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└── betrkv_service.py   # BetrKV-Regeln &amp; Pruefungen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templates/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base.html           # Layout-Template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dashboard.html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abrechnung/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│   ├── erstellen.html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│   ├── pruefen.html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│   └── report.html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└── components/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    ├── upload.html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    ├── kostenarten.html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    └── verteiler.html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static/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├── css/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│   └── style.css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└── js/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│       └── htmx.min.js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├── uploads/                # Hochgeladene Dokumente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B0BEC5"/>
                <w:sz w:val="17"/>
              </w:rPr>
              <w:t xml:space="preserve">└── prompts/                # LLM-Prompts (JSON)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FFFFFF"/>
                <w:sz w:val="17"/>
              </w:rPr>
              <w:t xml:space="preserve">    ├── classify_invoice.txt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FFFFFF"/>
                <w:sz w:val="17"/>
              </w:rPr>
              <w:t xml:space="preserve">    ├── extract_invoice.txt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FFFFFF"/>
                <w:sz w:val="17"/>
              </w:rPr>
              <w:t xml:space="preserve">    ├── check_abrechnung.txt</w:t>
            </w:r>
          </w:p>
          <w:p>
            <w:pPr>
              <w:spacing w:before="0" w:after="0" w:line="260" w:lineRule="auto"/>
            </w:pPr>
            <w:r>
              <w:rPr>
                <w:rFonts w:ascii="Consolas" w:hAnsi="Consolas"/>
                <w:color w:val="FFFFFF"/>
                <w:sz w:val="17"/>
              </w:rPr>
              <w:t xml:space="preserve">    └── assistant_system.txt</w:t>
            </w:r>
          </w:p>
        </w:tc>
      </w:tr>
    </w:tbl>
    <w:p>
      <w:r>
        <w:t>Schluesseldesignentscheidungen:</w:t>
      </w:r>
    </w:p>
    <w:p>
      <w:r>
        <w:rPr>
          <w:color w:val="546E7A"/>
        </w:rPr>
        <w:t xml:space="preserve">• </w:t>
      </w:r>
      <w:r>
        <w:t>Monolithisches Pattern: Ein Python-Prozess, keine Microservices</w:t>
      </w:r>
      <w:r>
        <w:br/>
      </w:r>
      <w:r>
        <w:rPr>
          <w:color w:val="546E7A"/>
        </w:rPr>
        <w:t xml:space="preserve">• </w:t>
      </w:r>
      <w:r>
        <w:t>HTMX-Server-Rendering: Kein SPA-Framework, HTML wird serverseitig generiert</w:t>
      </w:r>
      <w:r>
        <w:br/>
      </w:r>
      <w:r>
        <w:rPr>
          <w:color w:val="546E7A"/>
        </w:rPr>
        <w:t xml:space="preserve">• </w:t>
      </w:r>
      <w:r>
        <w:t>Jinja2-Templates: Wiederverwendbare Komponenten fuer UI-Elemente</w:t>
      </w:r>
      <w:r>
        <w:br/>
      </w:r>
      <w:r>
        <w:rPr>
          <w:color w:val="546E7A"/>
        </w:rPr>
        <w:t xml:space="preserve">• </w:t>
      </w:r>
      <w:r>
        <w:t>Static Files: Vanilla CSS + HTMX aus CDN oder lokal</w:t>
      </w:r>
      <w:r>
        <w:br/>
      </w:r>
      <w:r>
        <w:rPr>
          <w:color w:val="546E7A"/>
        </w:rPr>
        <w:t xml:space="preserve">• </w:t>
      </w:r>
      <w:r>
        <w:t>Config via Environment: API-Keys, Pfade, Modellnamen in .env</w:t>
      </w:r>
    </w:p>
    <w:p>
      <w:pPr>
        <w:pStyle w:val="Heading1"/>
      </w:pPr>
      <w:r>
        <w:t>9. Sicherheit &amp; Datenschutz</w:t>
      </w:r>
      <w:bookmarkStart w:name="_Toc009" w:id="10"/>
      <w:bookmarkEnd w:id="10"/>
    </w:p>
    <w:p>
      <w:r>
        <w:rPr>
          <w:color w:val="546E7A"/>
        </w:rPr>
        <w:t xml:space="preserve">• </w:t>
      </w:r>
      <w:r>
        <w:t>Lokale Datenverarbeitung: Keine Uebertragung von Dokumenten an externe APIs</w:t>
      </w:r>
      <w:r>
        <w:br/>
      </w:r>
      <w:r>
        <w:rPr>
          <w:color w:val="546E7A"/>
        </w:rPr>
        <w:t xml:space="preserve">• </w:t>
      </w:r>
      <w:r>
        <w:t>Verschluesselte Speicherung: Passwoerter via bcrypt, Dokumente optional verschluesselt</w:t>
      </w:r>
      <w:r>
        <w:br/>
      </w:r>
      <w:r>
        <w:rPr>
          <w:color w:val="546E7A"/>
        </w:rPr>
        <w:t xml:space="preserve">• </w:t>
      </w:r>
      <w:r>
        <w:t>Session-Management: Secure HTTP-only Cookies, CSRF-Schutz</w:t>
      </w:r>
      <w:r>
        <w:br/>
      </w:r>
      <w:r>
        <w:rPr>
          <w:color w:val="546E7A"/>
        </w:rPr>
        <w:t xml:space="preserve">• </w:t>
      </w:r>
      <w:r>
        <w:t>Backup-faehig: SQLite-Datei einfach kopierbar, Uploads als normale Dateien</w:t>
      </w:r>
      <w:r>
        <w:br/>
      </w:r>
      <w:r>
        <w:rPr>
          <w:color w:val="546E7A"/>
        </w:rPr>
        <w:t xml:space="preserve">• </w:t>
      </w:r>
      <w:r>
        <w:t>DSGVO-konform: Kein Cloud-Transfer, Daten bleiben auf lokaler Hardware</w:t>
      </w:r>
    </w:p>
    <w:p>
      <w:pPr>
        <w:pStyle w:val="Heading1"/>
      </w:pPr>
      <w:r>
        <w:t>10. Implementierungsphasen</w:t>
      </w:r>
      <w:bookmarkStart w:name="_Toc010" w:id="11"/>
      <w:bookmarkEnd w:id="11"/>
    </w:p>
    <w:tbl>
      <w:tblPr>
        <w:tblW w:w="5000" w:type="pct"/>
        <w:tblBorders>
          <w:top w:val="single" w:color="37474F" w:sz="12"/>
          <w:bottom w:val="single" w:color="37474F" w:sz="12"/>
          <w:insideH w:val="single" w:color="CFD8DC" w:sz="4"/>
        </w:tblBorders>
      </w:tblPr>
      <w:tblGrid>
        <w:gridCol w:w="1600"/>
        <w:gridCol w:w="3800"/>
        <w:gridCol w:w="1600"/>
        <w:gridCol w:w="2000"/>
      </w:tblGrid>
      <w:tr>
        <w:trPr>
          <w:tblHeader/>
        </w:trPr>
        <w:tc>
          <w:tcPr>
            <w:tcW w:w="16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Phase</w:t>
            </w:r>
          </w:p>
        </w:tc>
        <w:tc>
          <w:tcPr>
            <w:tcW w:w="38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Liefergegenstand</w:t>
            </w:r>
          </w:p>
        </w:tc>
        <w:tc>
          <w:tcPr>
            <w:tcW w:w="16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Dauer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</w:pPr>
            <w:r>
              <w:rPr>
                <w:b/>
                <w:color w:val="263238"/>
                <w:sz w:val="20"/>
              </w:rPr>
              <w:t>Prioritaet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Phase 1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Projektsetup: Flask, HTMX, SQLite, Ollama-Integration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 Woche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Kritisch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Phase 2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Manuelle Abrechnung: Objekte, Mieter, Kosten eingeben, PDF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2 Wochen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Kritisch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Phase 3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KI-Dokumentenverarbeitung: OCR, Klassifikation, Extraktion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2 Wochen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Hoch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Phase 4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Pruefmodul: 9 regelbasierte Pruefungen, Report-Generator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 Woche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Hoch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Phase 5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KI-Assistent: Chat-Interface, Kontext aus Dokumenten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 Woche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Mittel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Phase 6</w:t>
            </w:r>
          </w:p>
        </w:tc>
        <w:tc>
          <w:tcPr>
            <w:tcW w:w="38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Polish: UI/UX, Testing, Deployment-Doku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1 Woche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55A64"/>
                <w:sz w:val="20"/>
              </w:rPr>
              <w:t>Mittel</w:t>
            </w:r>
          </w:p>
        </w:tc>
      </w:tr>
    </w:tbl>
    <w:p>
      <w:pPr>
        <w:pStyle w:val="Heading1"/>
      </w:pPr>
      <w:r>
        <w:t>11. Fazit &amp; Empfehlungen</w:t>
      </w:r>
      <w:bookmarkStart w:name="_Toc011" w:id="12"/>
      <w:bookmarkEnd w:id="12"/>
    </w:p>
    <w:p>
      <w:r>
        <w:t>Die geplante Software schliesst eine Marktluecke zwischen teuren Hausverwaltungs-Suiten und manueller Excel-Abrechnung. Durch den Einsatz lokaler KI-Modelle entsteht eine kostenguenstige Alternative zu Cloud-Diensten wie NebenkostenPro.de bei voller Datensouveraenitaet.</w:t>
      </w:r>
    </w:p>
    <w:p>
      <w:pPr>
        <w:pStyle w:val="Heading3"/>
      </w:pPr>
      <w:r>
        <w:t>Wettbewerbsvorteile</w:t>
      </w:r>
    </w:p>
    <w:p>
      <w:r>
        <w:rPr>
          <w:color w:val="546E7A"/>
        </w:rPr>
        <w:t xml:space="preserve">• </w:t>
      </w:r>
      <w:r>
        <w:t>Einmalige Hardwareanschaffung statt laufender Abo-Kosten (ab 7,90 EUR/Monat bei NebenkostenPro)</w:t>
      </w:r>
      <w:r>
        <w:br/>
      </w:r>
      <w:r>
        <w:rPr>
          <w:color w:val="546E7A"/>
        </w:rPr>
        <w:t xml:space="preserve">• </w:t>
      </w:r>
      <w:r>
        <w:t>Keine Cloud-Abhaengigkeit oder Internetverbindung fuer Abrechnung noetig</w:t>
      </w:r>
      <w:r>
        <w:br/>
      </w:r>
      <w:r>
        <w:rPr>
          <w:color w:val="546E7A"/>
        </w:rPr>
        <w:t xml:space="preserve">• </w:t>
      </w:r>
      <w:r>
        <w:t>Unbegrenzte Abrechnungen ohne Extrakosten</w:t>
      </w:r>
      <w:r>
        <w:br/>
      </w:r>
      <w:r>
        <w:rPr>
          <w:color w:val="546E7A"/>
        </w:rPr>
        <w:t xml:space="preserve">• </w:t>
      </w:r>
      <w:r>
        <w:t>Vollstaendige Kontrolle ueber sensible Miet- und Finanzdaten</w:t>
      </w:r>
      <w:r>
        <w:br/>
      </w:r>
      <w:r>
        <w:rPr>
          <w:color w:val="546E7A"/>
        </w:rPr>
        <w:t xml:space="preserve">• </w:t>
      </w:r>
      <w:r>
        <w:t>Erweiterbar durch eigene KI-Prompts und Regeln</w:t>
      </w:r>
    </w:p>
    <w:p>
      <w:pPr>
        <w:pStyle w:val="Heading3"/>
      </w:pPr>
      <w:r>
        <w:t>Empfohlene naechste Schritte</w:t>
      </w:r>
    </w:p>
    <w:p>
      <w:r>
        <w:rPr>
          <w:b/>
          <w:color w:val="546E7A"/>
        </w:rPr>
        <w:t xml:space="preserve">1. </w:t>
      </w:r>
      <w:r>
        <w:t>Proof-of-Concept: Lokales LLM mit Ollama einrichten und erste OCR-Tests durchfuehren</w:t>
      </w:r>
      <w:r>
        <w:br/>
      </w:r>
      <w:r>
        <w:rPr>
          <w:b/>
          <w:color w:val="546E7A"/>
        </w:rPr>
        <w:t xml:space="preserve">2. </w:t>
      </w:r>
      <w:r>
        <w:t>MVP: Modul 'Abrechnung Erstellen' mit manueller Dateneingabe (ohne KI)</w:t>
      </w:r>
      <w:r>
        <w:br/>
      </w:r>
      <w:r>
        <w:rPr>
          <w:b/>
          <w:color w:val="546E7A"/>
        </w:rPr>
        <w:t xml:space="preserve">3. </w:t>
      </w:r>
      <w:r>
        <w:t>KI-Integration: Dokumenten-Upload + Klassifikation der Kostenarten</w:t>
      </w:r>
      <w:r>
        <w:br/>
      </w:r>
      <w:r>
        <w:rPr>
          <w:b/>
          <w:color w:val="546E7A"/>
        </w:rPr>
        <w:t xml:space="preserve">4. </w:t>
      </w:r>
      <w:r>
        <w:t>Pruefmodul: Regelbasierte Pruefungen implementieren</w:t>
      </w:r>
      <w:r>
        <w:br/>
      </w:r>
      <w:r>
        <w:rPr>
          <w:b/>
          <w:color w:val="546E7A"/>
        </w:rPr>
        <w:t xml:space="preserve">5. </w:t>
      </w:r>
      <w:r>
        <w:t>KI-Assistent: Chat-Interface mit Kontext der hochgeladenen Dokumente</w:t>
      </w:r>
    </w:p>
    <w:p>
      <w:pPr>
        <w:sectPr>
          <w:headerReference w:type="default" r:id="R351528d173b04d4a"/>
          <w:footerReference w:type="default" r:id="R3c6e58d09a984b3b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dd9894ebcc5341c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500"/>
        <w:jc w:val="center"/>
      </w:pPr>
      <w:r>
        <w:rPr>
          <w:b/>
          <w:color w:val="FFFFFF"/>
          <w:sz w:val="48"/>
        </w:rPr>
        <w:t>Software-Planung</w:t>
      </w:r>
    </w:p>
    <w:p>
      <w:pPr>
        <w:spacing w:before="300"/>
        <w:jc w:val="center"/>
      </w:pPr>
      <w:r>
        <w:rPr>
          <w:color w:val="B0BEC5"/>
          <w:sz w:val="22"/>
        </w:rPr>
        <w:t>KI-gestuetzte Betriebskostenabrechnung</w:t>
      </w:r>
    </w:p>
    <w:p>
      <w:pPr>
        <w:spacing w:before="200"/>
        <w:jc w:val="center"/>
      </w:pPr>
      <w:r>
        <w:rPr>
          <w:color w:val="78909C"/>
          <w:sz w:val="16"/>
        </w:rPr>
        <w:t>Konzeptdokument  |  Juni 2026  |  Vertraulich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0A4AE"/>
        <w:sz w:val="18"/>
      </w:rPr>
      <w:fldChar w:fldCharType="begin"/>
    </w:r>
    <w:r>
      <w:rPr>
        <w:color w:val="90A4AE"/>
        <w:sz w:val="18"/>
      </w:rPr>
      <w:instrText xml:space="preserve"> PAGE </w:instrText>
    </w:r>
    <w:r>
      <w:rPr>
        <w:color w:val="90A4AE"/>
        <w:sz w:val="18"/>
      </w:rPr>
      <w:fldChar w:fldCharType="separate"/>
    </w:r>
    <w:r>
      <w:rPr>
        <w:color w:val="90A4AE"/>
        <w:sz w:val="18"/>
      </w:rPr>
      <w:t>1</w:t>
    </w:r>
    <w:r>
      <w:rPr>
        <w:color w:val="90A4AE"/>
        <w:sz w:val="18"/>
      </w:rPr>
      <w:fldChar w:fldCharType="end"/>
    </w:r>
    <w:r>
      <w:rPr>
        <w:color w:val="90A4AE"/>
        <w:sz w:val="18"/>
      </w:rPr>
      <w:t xml:space="preserve"> / </w:t>
    </w:r>
    <w:r>
      <w:rPr>
        <w:color w:val="90A4AE"/>
        <w:sz w:val="18"/>
      </w:rPr>
      <w:fldChar w:fldCharType="begin"/>
    </w:r>
    <w:r>
      <w:rPr>
        <w:color w:val="90A4AE"/>
        <w:sz w:val="18"/>
      </w:rPr>
      <w:instrText xml:space="preserve"> NUMPAGES </w:instrText>
    </w:r>
    <w:r>
      <w:rPr>
        <w:color w:val="90A4AE"/>
        <w:sz w:val="18"/>
      </w:rPr>
      <w:fldChar w:fldCharType="separate"/>
    </w:r>
    <w:r>
      <w:rPr>
        <w:color w:val="90A4AE"/>
        <w:sz w:val="18"/>
      </w:rPr>
      <w:t>1</w:t>
    </w:r>
    <w:r>
      <w:rPr>
        <w:color w:val="90A4AE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a773c707eed74e3b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90A4AE"/>
        <w:sz w:val="18"/>
      </w:rPr>
      <w:t>Software-Planung: KI-Betriebskostenabrechnung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263238"/>
      <w:sz w:val="22"/>
    </w:rPr>
  </w:style>
  <w:style w:type="paragraph" w:styleId="Heading1">
    <w:name w:val="heading 1"/>
    <w:basedOn w:val="Normal"/>
    <w:pPr>
      <w:keepNext/>
      <w:keepLines/>
      <w:spacing w:before="500" w:after="200"/>
      <w:outlineLvl w:val="0"/>
    </w:pPr>
    <w:rPr>
      <w:rFonts w:ascii="Calibri" w:hAnsi="Calibri" w:eastAsia="Microsoft YaHei"/>
      <w:b/>
      <w:color w:val="37474F"/>
      <w:sz w:val="40"/>
    </w:rPr>
  </w:style>
  <w:style w:type="paragraph" w:styleId="Heading2">
    <w:name w:val="heading 2"/>
    <w:basedOn w:val="Normal"/>
    <w:pPr>
      <w:keepNext/>
      <w:keepLines/>
      <w:spacing w:before="360" w:after="140"/>
      <w:outlineLvl w:val="1"/>
    </w:pPr>
    <w:rPr>
      <w:rFonts w:ascii="Calibri" w:hAnsi="Calibri" w:eastAsia="Microsoft YaHei"/>
      <w:b/>
      <w:color w:val="263238"/>
      <w:sz w:val="28"/>
    </w:rPr>
  </w:style>
  <w:style w:type="paragraph" w:styleId="Heading3">
    <w:name w:val="heading 3"/>
    <w:basedOn w:val="Normal"/>
    <w:pPr>
      <w:keepNext/>
      <w:keepLines/>
      <w:spacing w:before="240" w:after="100"/>
      <w:outlineLvl w:val="2"/>
    </w:pPr>
    <w:rPr>
      <w:rFonts w:ascii="Calibri" w:hAnsi="Calibri" w:eastAsia="Microsoft YaHei"/>
      <w:b/>
      <w:color w:val="455A64"/>
      <w:sz w:val="24"/>
    </w:rPr>
  </w:style>
  <w:style w:type="paragraph" w:styleId="Caption">
    <w:name w:val="Caption"/>
    <w:basedOn w:val="Normal"/>
    <w:pPr>
      <w:spacing w:before="60" w:after="300"/>
      <w:jc w:val="center"/>
    </w:pPr>
    <w:rPr>
      <w:color w:val="90A4A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263238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55A64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55A6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a20b1b8f19a443ad" /><Relationship Type="http://schemas.openxmlformats.org/officeDocument/2006/relationships/numbering" Target="numbering.xml" Id="Ra21790e8dcf64b17" /><Relationship Type="http://schemas.openxmlformats.org/officeDocument/2006/relationships/image" Target="media/image.png" Id="R90e720a2c2cc45fd" /><Relationship Type="http://schemas.openxmlformats.org/officeDocument/2006/relationships/image" Target="media/image2.png" Id="Rdd9894ebcc5341c6" /><Relationship Type="http://schemas.openxmlformats.org/officeDocument/2006/relationships/header" Target="header1.xml" Id="R351528d173b04d4a" /><Relationship Type="http://schemas.openxmlformats.org/officeDocument/2006/relationships/footer" Target="footer1.xml" Id="R3c6e58d09a984b3b" /><Relationship Type="http://schemas.openxmlformats.org/officeDocument/2006/relationships/settings" Target="settings.xml" Id="R3838768557144dbd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a773c707eed74e3b" /></Relationships>
</file>