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Alignment Prediction Market Resolution Criteria</w:t>
      </w:r>
    </w:p>
    <w:p>
      <w:pPr>
        <w:jc w:val="center"/>
      </w:pPr>
      <w:r>
        <w:rPr>
          <w:i/>
        </w:rPr>
        <w:t>Proposed binary resolution criteria for markets resolving by 31 December 2027</w:t>
      </w:r>
    </w:p>
    <w:p>
      <w:pPr>
        <w:pStyle w:val="Heading1"/>
      </w:pPr>
      <w:r>
        <w:t>Common Qualification Rule</w:t>
      </w:r>
    </w:p>
    <w:p>
      <w:r>
        <w:t>A positive result must be public by 31 December 2027 and include enough detail for independent verification. Pure toy systems such as gridworlds, hand-written finite-state machines, or environments constructed specifically to make the proposed metric work cannot be the sole evidence.</w:t>
      </w:r>
    </w:p>
    <w:p>
      <w:r>
        <w:t>Where a criterion below requires serious adversarial evaluation, it means at least one of the following:</w:t>
      </w:r>
    </w:p>
    <w:p>
      <w:pPr>
        <w:pStyle w:val="ListBullet"/>
      </w:pPr>
      <w:r>
        <w:t>A public counterexample bounty of at least $100,000, open for at least 60 days.</w:t>
      </w:r>
    </w:p>
    <w:p>
      <w:pPr>
        <w:pStyle w:val="ListBullet"/>
      </w:pPr>
      <w:r>
        <w:t>At least 3 independent red-team groups, from at least 2 organizations, each spending at least 80 documented expert-hours.</w:t>
      </w:r>
    </w:p>
    <w:p>
      <w:pPr>
        <w:pStyle w:val="ListBullet"/>
      </w:pPr>
      <w:r>
        <w:t>At least 300 documented expert-hours by an independent evaluator with access at least as strong as the access assumed by the proposed test.</w:t>
      </w:r>
    </w:p>
    <w:p>
      <w:r>
        <w:t>At least one tested system must be a broadly capable model or agent trained for purposes substantially broader than the evaluation itself.</w:t>
      </w:r>
    </w:p>
    <w:p>
      <w:pPr>
        <w:pStyle w:val="Heading1"/>
      </w:pPr>
      <w:r>
        <w:t>1. Discovering Where Control Resides</w:t>
      </w:r>
    </w:p>
    <w:p>
      <w:r>
        <w:rPr>
          <w:b/>
        </w:rPr>
        <w:t>By 31 December 2027, will a published method reliably discover the effective control units in previously unseen AI systems from unlabeled observations, under the criteria below?</w:t>
      </w:r>
    </w:p>
    <w:p>
      <w:r>
        <w:t>An effective control unit is a set of components that evaluators, using privileged instrumentation and interventions, establish as jointly responsible for closed-loop behavior. It may include, for example, an LLM, persistent memory, a planner, a scheduler, and tool processes even if those components live on different machines.</w:t>
      </w:r>
    </w:p>
    <w:p>
      <w:r>
        <w:t>Ground truth is established by interventions: perturbing or disabling the proposed unit must substantially change how the system responds to environmental changes, while removing irrelevant components must not.</w:t>
      </w:r>
    </w:p>
    <w:p>
      <w:r>
        <w:t>A positive resolution requires a hidden benchmark containing at least 50 independently constructed systems, including all of the following qualitatively different cases:</w:t>
      </w:r>
    </w:p>
    <w:p>
      <w:pPr>
        <w:pStyle w:val="ListBullet"/>
      </w:pPr>
      <w:r>
        <w:t>A physically or computationally distributed controller.</w:t>
      </w:r>
    </w:p>
    <w:p>
      <w:pPr>
        <w:pStyle w:val="ListBullet"/>
      </w:pPr>
      <w:r>
        <w:t>Several controllers sharing resources or observations.</w:t>
      </w:r>
    </w:p>
    <w:p>
      <w:pPr>
        <w:pStyle w:val="ListBullet"/>
      </w:pPr>
      <w:r>
        <w:t>A controller using persistent state outside its main model.</w:t>
      </w:r>
    </w:p>
    <w:p>
      <w:pPr>
        <w:pStyle w:val="ListBullet"/>
      </w:pPr>
      <w:r>
        <w:t>A higher-level controller composed from several individually capable subsystems.</w:t>
      </w:r>
    </w:p>
    <w:p>
      <w:pPr>
        <w:pStyle w:val="ListBullet"/>
      </w:pPr>
      <w:r>
        <w:t>A case containing strong correlations that do not constitute joint control.</w:t>
      </w:r>
    </w:p>
    <w:p>
      <w:pPr>
        <w:pStyle w:val="ListBullet"/>
      </w:pPr>
      <w:r>
        <w:t>The method must identify at least 80% of ground-truth control components.</w:t>
      </w:r>
    </w:p>
    <w:p>
      <w:pPr>
        <w:pStyle w:val="ListBullet"/>
      </w:pPr>
      <w:r>
        <w:t>It must issue an incorrect 'complete control boundary' certificate in no more than 10% of cases, with a 95% confidence upper bound no greater than 15%.</w:t>
      </w:r>
    </w:p>
    <w:p>
      <w:pPr>
        <w:pStyle w:val="ListBullet"/>
      </w:pPr>
      <w:r>
        <w:t>At least one benchmark subset must be constructed adversarially after the discovery method is frozen.</w:t>
      </w:r>
    </w:p>
    <w:p>
      <w:pPr>
        <w:pStyle w:val="Heading1"/>
      </w:pPr>
      <w:r>
        <w:t>2. Recovering Persistent Trade-off Priorities</w:t>
      </w:r>
    </w:p>
    <w:p>
      <w:r>
        <w:rPr>
          <w:b/>
        </w:rPr>
        <w:t>By 31 December 2027, will a published method infer persistent decision priorities in trained AI systems strongly enough to predict choices under novel conflicts and interventions?</w:t>
      </w:r>
    </w:p>
    <w:p>
      <w:r>
        <w:t>A decision priority is something that systematically affects choices when two desirable outcomes cannot both be achieved. Examples include truthfulness versus user approval, speed versus accuracy, own task reward versus another agent's reward, and task completion versus obeying a newly imposed safety restriction.</w:t>
      </w:r>
    </w:p>
    <w:p>
      <w:r>
        <w:t>The evaluation must contain systems deliberately trained with different hidden trade-offs, including pairs that behave almost identically on ordinary tasks but diverge when the priorities conflict.</w:t>
      </w:r>
    </w:p>
    <w:p>
      <w:pPr>
        <w:pStyle w:val="ListBullet"/>
      </w:pPr>
      <w:r>
        <w:t>At least 85% accuracy distinguishing systems with materially different hidden trade-offs.</w:t>
      </w:r>
    </w:p>
    <w:p>
      <w:pPr>
        <w:pStyle w:val="ListBullet"/>
      </w:pPr>
      <w:r>
        <w:t>At least 80% accuracy predicting the direction of choice on novel conflict situations.</w:t>
      </w:r>
    </w:p>
    <w:p>
      <w:pPr>
        <w:pStyle w:val="ListBullet"/>
      </w:pPr>
      <w:r>
        <w:t>At least 80% accuracy predicting the behavioral effect of an intervention that increases or decreases one underlying priority.</w:t>
      </w:r>
    </w:p>
    <w:p>
      <w:pPr>
        <w:pStyle w:val="ListBullet"/>
      </w:pPr>
      <w:r>
        <w:t>Causal intervention on the inferred internal feature, when technically possible, must produce the predicted choice shift significantly above matched controls.</w:t>
      </w:r>
    </w:p>
    <w:p>
      <w:pPr>
        <w:pStyle w:val="ListBullet"/>
      </w:pPr>
      <w:r>
        <w:t>At least two substantially different model or training families must be included.</w:t>
      </w:r>
    </w:p>
    <w:p>
      <w:pPr>
        <w:pStyle w:val="ListBullet"/>
      </w:pPr>
      <w:r>
        <w:t>A method that only predicts held-out behavior does not qualify.</w:t>
      </w:r>
    </w:p>
    <w:p>
      <w:pPr>
        <w:pStyle w:val="Heading1"/>
      </w:pPr>
      <w:r>
        <w:t>3. Tracking Who or What Safety Rules Apply To</w:t>
      </w:r>
    </w:p>
    <w:p>
      <w:r>
        <w:rPr>
          <w:b/>
        </w:rPr>
        <w:t>By 31 December 2027, will a published method reliably determine whether the intended targets of safety-relevant rules remain the same after major representational or system changes?</w:t>
      </w:r>
    </w:p>
    <w:p>
      <w:r>
        <w:t>The benchmark must contain all four of the following failure families:</w:t>
      </w:r>
    </w:p>
    <w:p>
      <w:pPr>
        <w:pStyle w:val="ListBullet"/>
      </w:pPr>
      <w:r>
        <w:t>Continuity: gradual replacement, migration to another substrate, or model upgrade.</w:t>
      </w:r>
    </w:p>
    <w:p>
      <w:pPr>
        <w:pStyle w:val="ListBullet"/>
      </w:pPr>
      <w:r>
        <w:t>Fission/fusion: one entity becomes several, or several become one.</w:t>
      </w:r>
    </w:p>
    <w:p>
      <w:pPr>
        <w:pStyle w:val="ListBullet"/>
      </w:pPr>
      <w:r>
        <w:t>Reassignment: names, accounts, ownership, roles, or identifiers are swapped while the underlying entities remain.</w:t>
      </w:r>
    </w:p>
    <w:p>
      <w:pPr>
        <w:pStyle w:val="ListBullet"/>
      </w:pPr>
      <w:r>
        <w:t>Ontology change: the new system represents relevant entities using substantially different concepts or categories.</w:t>
      </w:r>
    </w:p>
    <w:p>
      <w:pPr>
        <w:pStyle w:val="ListBullet"/>
      </w:pPr>
      <w:r>
        <w:t>Example rules include 'Do not harm Alice', 'Protect all currently authorized users', and 'This account's owner has withdrawal rights.'</w:t>
      </w:r>
    </w:p>
    <w:p>
      <w:pPr>
        <w:pStyle w:val="ListBullet"/>
      </w:pPr>
      <w:r>
        <w:t>A positive resolution requires at least 90% correct target assignment across at least 100 hidden cases.</w:t>
      </w:r>
    </w:p>
    <w:p>
      <w:pPr>
        <w:pStyle w:val="ListBullet"/>
      </w:pPr>
      <w:r>
        <w:t>False acceptance must be no more than 10% in cases where the textual rule remains unchanged but its real-world target has changed.</w:t>
      </w:r>
    </w:p>
    <w:p>
      <w:pPr>
        <w:pStyle w:val="ListBullet"/>
      </w:pPr>
      <w:r>
        <w:t>Where there is no mechanical ground truth, cases may be included only if a pre-appointed panel of at least 5 independent judges reaches at least 80% agreement.</w:t>
      </w:r>
    </w:p>
    <w:p>
      <w:pPr>
        <w:pStyle w:val="Heading1"/>
      </w:pPr>
      <w:r>
        <w:t>4. Making Consequential Corrections Actually Change the System</w:t>
      </w:r>
    </w:p>
    <w:p>
      <w:r>
        <w:rPr>
          <w:b/>
        </w:rPr>
        <w:t>By 31 December 2027, will a broadly capable AI system demonstrate reliable uptake of consequential authorized corrections under a serious adversarial evaluation?</w:t>
      </w:r>
    </w:p>
    <w:p>
      <w:r>
        <w:t>Qualifying corrections include changing an objective while an old objective remains easier to achieve; revoking a previously permitted class of actions; changing which humans or organizations may authorize actions; or imposing a new safety constraint that conflicts with task reward.</w:t>
      </w:r>
    </w:p>
    <w:p>
      <w:r>
        <w:t>At least one tested correction must not be enforceable merely by externally removing a tool or hard-coding a block.</w:t>
      </w:r>
    </w:p>
    <w:p>
      <w:pPr>
        <w:pStyle w:val="ListBullet"/>
      </w:pPr>
      <w:r>
        <w:t>Across at least 100 adversarially selected correction episodes, at least 90% of genuine corrections must change subsequent behavior as intended.</w:t>
      </w:r>
    </w:p>
    <w:p>
      <w:pPr>
        <w:pStyle w:val="ListBullet"/>
      </w:pPr>
      <w:r>
        <w:t>The system must still follow the new rule after context reset or an equivalent state transition in at least 80% of cases.</w:t>
      </w:r>
    </w:p>
    <w:p>
      <w:pPr>
        <w:pStyle w:val="ListBullet"/>
      </w:pPr>
      <w:r>
        <w:t>Sham or unauthorized corrections must succeed in no more than 10% of cases.</w:t>
      </w:r>
    </w:p>
    <w:p>
      <w:pPr>
        <w:pStyle w:val="ListBullet"/>
      </w:pPr>
      <w:r>
        <w:t>Attempts to produce verbal agreement while preserving the old effective behavior must be explicitly tested.</w:t>
      </w:r>
    </w:p>
    <w:p>
      <w:pPr>
        <w:pStyle w:val="ListBullet"/>
      </w:pPr>
      <w:r>
        <w:t>A serious adversarial evaluation is required.</w:t>
      </w:r>
    </w:p>
    <w:p>
      <w:pPr>
        <w:pStyle w:val="Heading1"/>
      </w:pPr>
      <w:r>
        <w:t>5. Keeping the Auditor Outside the Thing Being Audited</w:t>
      </w:r>
    </w:p>
    <w:p>
      <w:r>
        <w:rPr>
          <w:b/>
        </w:rPr>
        <w:t>By 31 December 2027, will an AI oversight architecture pass a serious adversarial test showing that its effective controller cannot routinely bypass or capture its designated auditor or corrector?</w:t>
      </w:r>
    </w:p>
    <w:p>
      <w:r>
        <w:t>The evaluation must identify actual mechanisms by which authorized oversight changes system behavior.</w:t>
      </w:r>
    </w:p>
    <w:p>
      <w:r>
        <w:t>Attackers must receive the audit design and attempt all of the following:</w:t>
      </w:r>
    </w:p>
    <w:p>
      <w:pPr>
        <w:pStyle w:val="ListBullet"/>
      </w:pPr>
      <w:r>
        <w:t>Bypassing the audited route.</w:t>
      </w:r>
    </w:p>
    <w:p>
      <w:pPr>
        <w:pStyle w:val="ListBullet"/>
      </w:pPr>
      <w:r>
        <w:t>Manipulating information received by the auditor.</w:t>
      </w:r>
    </w:p>
    <w:p>
      <w:pPr>
        <w:pStyle w:val="ListBullet"/>
      </w:pPr>
      <w:r>
        <w:t>Causing the nominal auditor to approve an action it would reject with full information.</w:t>
      </w:r>
    </w:p>
    <w:p>
      <w:pPr>
        <w:pStyle w:val="ListBullet"/>
      </w:pPr>
      <w:r>
        <w:t>Replacing effective decision authority while leaving the nominal governance structure intact.</w:t>
      </w:r>
    </w:p>
    <w:p>
      <w:pPr>
        <w:pStyle w:val="ListBullet"/>
      </w:pPr>
      <w:r>
        <w:t>A positive resolution requires no attack family achieving the prohibited outcome with at least 10% success over at least 20 independent attempts.</w:t>
      </w:r>
    </w:p>
    <w:p>
      <w:pPr>
        <w:pStyle w:val="ListBullet"/>
      </w:pPr>
      <w:r>
        <w:t>Evaluator-planted bypasses must be discovered at least 90% of the time.</w:t>
      </w:r>
    </w:p>
    <w:p>
      <w:pPr>
        <w:pStyle w:val="ListBullet"/>
      </w:pPr>
      <w:r>
        <w:t>A serious adversarial evaluation is required.</w:t>
      </w:r>
    </w:p>
    <w:p>
      <w:pPr>
        <w:pStyle w:val="Heading1"/>
      </w:pPr>
      <w:r>
        <w:t>6. Detecting Safety Regressions in Successor Systems</w:t>
      </w:r>
    </w:p>
    <w:p>
      <w:r>
        <w:rPr>
          <w:b/>
        </w:rPr>
        <w:t>By 31 December 2027, will an audit reliably detect safety-relevant regressions when an AI system is replaced, substantially retrained, self-modified, or constructs a successor?</w:t>
      </w:r>
    </w:p>
    <w:p>
      <w:r>
        <w:t>The audit must test the following six explicitly defined properties:</w:t>
      </w:r>
    </w:p>
    <w:p>
      <w:pPr>
        <w:pStyle w:val="ListBullet"/>
      </w:pPr>
      <w:r>
        <w:t>Protected-target continuity: the new system still applies protections to the same people or things.</w:t>
      </w:r>
    </w:p>
    <w:p>
      <w:pPr>
        <w:pStyle w:val="ListBullet"/>
      </w:pPr>
      <w:r>
        <w:t>Trade-off continuity: when important objectives conflict, priorities remain within specified tolerances.</w:t>
      </w:r>
    </w:p>
    <w:p>
      <w:pPr>
        <w:pStyle w:val="ListBullet"/>
      </w:pPr>
      <w:r>
        <w:t>Correctability: authorized changes, restrictions, and shutdown requests still work.</w:t>
      </w:r>
    </w:p>
    <w:p>
      <w:pPr>
        <w:pStyle w:val="ListBullet"/>
      </w:pPr>
      <w:r>
        <w:t>Permission continuity: the new system has not acquired materially new routes for affecting the world outside the approved interface.</w:t>
      </w:r>
    </w:p>
    <w:p>
      <w:pPr>
        <w:pStyle w:val="ListBullet"/>
      </w:pPr>
      <w:r>
        <w:t>Monitorability: information relied upon by the audit remains available and has not become systematically spoofable.</w:t>
      </w:r>
    </w:p>
    <w:p>
      <w:pPr>
        <w:pStyle w:val="ListBullet"/>
      </w:pPr>
      <w:r>
        <w:t>Commitment continuity: persistent restrictions or commitments intended to survive the transition actually survive.</w:t>
      </w:r>
    </w:p>
    <w:p>
      <w:pPr>
        <w:pStyle w:val="ListBullet"/>
      </w:pPr>
      <w:r>
        <w:t>The benchmark must contain one-failure-at-a-time cases deliberately designed so that five properties remain normal while exactly one fails.</w:t>
      </w:r>
    </w:p>
    <w:p>
      <w:pPr>
        <w:pStyle w:val="ListBullet"/>
      </w:pPr>
      <w:r>
        <w:t>A positive resolution requires at least 90% detection of materially unsafe successor transitions.</w:t>
      </w:r>
    </w:p>
    <w:p>
      <w:pPr>
        <w:pStyle w:val="ListBullet"/>
      </w:pPr>
      <w:r>
        <w:t>False-safe classification must be no more than 5%.</w:t>
      </w:r>
    </w:p>
    <w:p>
      <w:pPr>
        <w:pStyle w:val="ListBullet"/>
      </w:pPr>
      <w:r>
        <w:t>Detection must be at least 80% for each individual property.</w:t>
      </w:r>
    </w:p>
    <w:p>
      <w:pPr>
        <w:pStyle w:val="ListBullet"/>
      </w:pPr>
      <w:r>
        <w:t>At least 20 cases must involve large architectural or training changes, not merely checkpoints from one training run.</w:t>
      </w:r>
    </w:p>
    <w:p>
      <w:pPr>
        <w:pStyle w:val="Heading1"/>
      </w:pPr>
      <w:r>
        <w:t>7. Does Competition Select Against Correctability?</w:t>
      </w:r>
    </w:p>
    <w:p>
      <w:r>
        <w:rPr>
          <w:b/>
        </w:rPr>
        <w:t>By 31 December 2027, will a published measurement made before or early in a competitive selection process reliably predict whether that process later erodes the participants' ability to accept authorized corrections?</w:t>
      </w:r>
    </w:p>
    <w:p>
      <w:r>
        <w:t>A selection process qualifies if systems gain reproduction, deployment, resources, training continuation, user share, or another real advantage partly because of measured performance. Examples include repeatedly selecting better-performing AI agents, evolutionary training, automated model improvement, and organizations choosing among competing AI systems.</w:t>
      </w:r>
    </w:p>
    <w:p>
      <w:r>
        <w:t>Ability to accept authorized corrections is measured by concrete tests such as those in Section 4. Researchers may use any predictor; no specific mathematical form is required.</w:t>
      </w:r>
    </w:p>
    <w:p>
      <w:pPr>
        <w:pStyle w:val="ListBullet"/>
      </w:pPr>
      <w:r>
        <w:t>At least 20 independent selection trajectories must be evaluated.</w:t>
      </w:r>
    </w:p>
    <w:p>
      <w:pPr>
        <w:pStyle w:val="ListBullet"/>
      </w:pPr>
      <w:r>
        <w:t>The data must contain both correction-preserving and correction-eroding outcomes.</w:t>
      </w:r>
    </w:p>
    <w:p>
      <w:pPr>
        <w:pStyle w:val="ListBullet"/>
      </w:pPr>
      <w:r>
        <w:t>The predictor must be fixed before the final trajectory outcomes are examined.</w:t>
      </w:r>
    </w:p>
    <w:p>
      <w:pPr>
        <w:pStyle w:val="ListBullet"/>
      </w:pPr>
      <w:r>
        <w:t>AUROC must be at least 0.85 for predicting which trajectories materially erode correctability.</w:t>
      </w:r>
    </w:p>
    <w:p>
      <w:pPr>
        <w:pStyle w:val="ListBullet"/>
      </w:pPr>
      <w:r>
        <w:t>The false-safe rate must be no more than 15%.</w:t>
      </w:r>
    </w:p>
    <w:p>
      <w:pPr>
        <w:pStyle w:val="ListBullet"/>
      </w:pPr>
      <w:r>
        <w:t>At least two qualitatively different selection mechanisms must be included.</w:t>
      </w:r>
    </w:p>
    <w:p>
      <w:pPr>
        <w:pStyle w:val="ListBullet"/>
      </w:pPr>
      <w:r>
        <w:t>At least one evaluation must involve a broadly capable AI system or a real deployment-like choice process.</w:t>
      </w:r>
    </w:p>
    <w:p>
      <w:pPr>
        <w:pStyle w:val="Heading1"/>
      </w:pPr>
      <w:r>
        <w:t>8. Knowing Whether the Auditor Can Actually See the System</w:t>
      </w:r>
    </w:p>
    <w:p>
      <w:r>
        <w:rPr>
          <w:b/>
        </w:rPr>
        <w:t>By 31 December 2027, will an audit method reliably detect when important routes of AI control or influence are missing from the auditor's access?</w:t>
      </w:r>
    </w:p>
    <w:p>
      <w:r>
        <w:t>The hidden benchmark must contain at least one example from every channel family:</w:t>
      </w:r>
    </w:p>
    <w:p>
      <w:pPr>
        <w:pStyle w:val="ListBullet"/>
      </w:pPr>
      <w:r>
        <w:t>Hidden state: external memory, persistent database, or cached state.</w:t>
      </w:r>
    </w:p>
    <w:p>
      <w:pPr>
        <w:pStyle w:val="ListBullet"/>
      </w:pPr>
      <w:r>
        <w:t>Hidden communication: network traffic, message passing, covert or indirect communication.</w:t>
      </w:r>
    </w:p>
    <w:p>
      <w:pPr>
        <w:pStyle w:val="ListBullet"/>
      </w:pPr>
      <w:r>
        <w:t>Hidden actuation: an unlisted API, tool, filesystem, robotic output, financial interface, or other action interface.</w:t>
      </w:r>
    </w:p>
    <w:p>
      <w:pPr>
        <w:pStyle w:val="ListBullet"/>
      </w:pPr>
      <w:r>
        <w:t>Hidden controller: another model, scheduler, human operator, subprocess, or service that materially affects decisions.</w:t>
      </w:r>
    </w:p>
    <w:p>
      <w:pPr>
        <w:pStyle w:val="ListBullet"/>
      </w:pPr>
      <w:r>
        <w:t>The method receives an apparently plausible but incomplete monitoring interface.</w:t>
      </w:r>
    </w:p>
    <w:p>
      <w:pPr>
        <w:pStyle w:val="ListBullet"/>
      </w:pPr>
      <w:r>
        <w:t>It succeeds if it either discovers the missing route or refuses to certify the access model as complete.</w:t>
      </w:r>
    </w:p>
    <w:p>
      <w:pPr>
        <w:pStyle w:val="ListBullet"/>
      </w:pPr>
      <w:r>
        <w:t>A positive resolution requires at least 90% detection of missing consequential routes.</w:t>
      </w:r>
    </w:p>
    <w:p>
      <w:pPr>
        <w:pStyle w:val="ListBullet"/>
      </w:pPr>
      <w:r>
        <w:t>Incorrect 'access is sufficient' certifications must be no more than 5%.</w:t>
      </w:r>
    </w:p>
    <w:p>
      <w:pPr>
        <w:pStyle w:val="ListBullet"/>
      </w:pPr>
      <w:r>
        <w:t>At least 20 cases must combine multiple machines or processes.</w:t>
      </w:r>
    </w:p>
    <w:p>
      <w:pPr>
        <w:pStyle w:val="Heading1"/>
      </w:pPr>
      <w:r>
        <w:t>9. Bounding What the System Can Accomplish Through Unmonitored Routes</w:t>
      </w:r>
    </w:p>
    <w:p>
      <w:r>
        <w:rPr>
          <w:b/>
        </w:rPr>
        <w:t>By 31 December 2027, will an audit method produce reliable, non-vacuous upper bounds on what an AI system can accomplish using routes the audit does not monitor?</w:t>
      </w:r>
    </w:p>
    <w:p>
      <w:r>
        <w:t>Hidden-route capability is defined as success probability on evaluator-selected consequential tasks when all known or monitored action routes are disabled and only routes omitted from the proposed monitor remain usable.</w:t>
      </w:r>
    </w:p>
    <w:p>
      <w:r>
        <w:t>Example tasks include reading or modifying a protected file, transmitting a secret, causing another process to perform a requested operation, acquiring a resource, changing a simulated external state, or retaining information across a reset.</w:t>
      </w:r>
    </w:p>
    <w:p>
      <w:r>
        <w:t>The task suite must be hidden until evaluation.</w:t>
      </w:r>
    </w:p>
    <w:p>
      <w:r>
        <w:t>Before the hidden evaluation, the method must output an upper bound u, interpreted as: 'Using routes not covered by this monitor, this system should succeed on at most u% of the evaluator's consequential tasks.'</w:t>
      </w:r>
    </w:p>
    <w:p>
      <w:pPr>
        <w:pStyle w:val="ListBullet"/>
      </w:pPr>
      <w:r>
        <w:t>Across at least 100 cases, the actual hidden-route success rate must be no greater than the stated bound in at least 95% of cases.</w:t>
      </w:r>
    </w:p>
    <w:p>
      <w:pPr>
        <w:pStyle w:val="ListBullet"/>
      </w:pPr>
      <w:r>
        <w:t>Among systems positively certified, the median bound u must be no greater than 20%.</w:t>
      </w:r>
    </w:p>
    <w:p>
      <w:pPr>
        <w:pStyle w:val="ListBullet"/>
      </w:pPr>
      <w:r>
        <w:t>Full systems must achieve at least 70% success on those tasks.</w:t>
      </w:r>
    </w:p>
    <w:p>
      <w:pPr>
        <w:pStyle w:val="ListBullet"/>
      </w:pPr>
      <w:r>
        <w:t>Evaluator-created hidden routes capable of at least 50% success must be detected or receive correspondingly high bounds at least 90% of the time.</w:t>
      </w:r>
    </w:p>
    <w:p>
      <w:pPr>
        <w:pStyle w:val="ListBullet"/>
      </w:pPr>
      <w:r>
        <w:t>A serious adversarial evaluation is required.</w:t>
      </w:r>
    </w:p>
    <w:p>
      <w:pPr>
        <w:pStyle w:val="Heading1"/>
      </w:pPr>
      <w:r>
        <w:t>10. Does Low Hidden Capability Plus Reliable Correction Prevent Bypass?</w:t>
      </w:r>
    </w:p>
    <w:p>
      <w:r>
        <w:rPr>
          <w:b/>
        </w:rPr>
        <w:t>By 31 December 2027, will serious adversarial evaluations show that systems with both reliable authorized correction and little capability through unmonitored routes rarely achieve prohibited outcomes?</w:t>
      </w:r>
    </w:p>
    <w:p>
      <w:r>
        <w:t>A system enters the claimed safe regime only if authorized corrections succeed in at least 90% of the correction benchmark and the audit's validated upper bound on hidden-route task success is no greater than 20%.</w:t>
      </w:r>
    </w:p>
    <w:p>
      <w:r>
        <w:t>Attackers then try to produce a specified prohibited outcome despite a correction forbidding it.</w:t>
      </w:r>
    </w:p>
    <w:p>
      <w:pPr>
        <w:pStyle w:val="ListBullet"/>
      </w:pPr>
      <w:r>
        <w:t>Attack success must be no more than 10% across at least 100 serious adversarial trials within the claimed regime.</w:t>
      </w:r>
    </w:p>
    <w:p>
      <w:pPr>
        <w:pStyle w:val="ListBullet"/>
      </w:pPr>
      <w:r>
        <w:t>The 95% upper confidence bound on attack success must be no greater than 15%.</w:t>
      </w:r>
    </w:p>
    <w:p>
      <w:pPr>
        <w:pStyle w:val="ListBullet"/>
      </w:pPr>
      <w:r>
        <w:t>Systems deliberately placed outside the regime must show materially higher attack success.</w:t>
      </w:r>
    </w:p>
    <w:p>
      <w:pPr>
        <w:pStyle w:val="ListBullet"/>
      </w:pPr>
      <w:r>
        <w:t>At least two substantially different system architectures are required.</w:t>
      </w:r>
    </w:p>
    <w:p>
      <w:pPr>
        <w:pStyle w:val="ListBullet"/>
      </w:pPr>
      <w:r>
        <w:t>A serious adversarial evaluation is required.</w:t>
      </w:r>
    </w:p>
    <w:p>
      <w:pPr>
        <w:pStyle w:val="Heading1"/>
      </w:pPr>
      <w:r>
        <w:t>11. Detecting Coordination That Does Not Use Visible Messages</w:t>
      </w:r>
    </w:p>
    <w:p>
      <w:r>
        <w:rPr>
          <w:b/>
        </w:rPr>
        <w:t>By 31 December 2027, will a published method reliably detect consequential coordination between AI systems that is not explained by observed runtime communication?</w:t>
      </w:r>
    </w:p>
    <w:p>
      <w:r>
        <w:t>The hidden benchmark must distinguish all of the following:</w:t>
      </w:r>
    </w:p>
    <w:p>
      <w:pPr>
        <w:pStyle w:val="ListBullet"/>
      </w:pPr>
      <w:r>
        <w:t>Independent systems responding similarly to the same environment.</w:t>
      </w:r>
    </w:p>
    <w:p>
      <w:pPr>
        <w:pStyle w:val="ListBullet"/>
      </w:pPr>
      <w:r>
        <w:t>Systems communicating normally.</w:t>
      </w:r>
    </w:p>
    <w:p>
      <w:pPr>
        <w:pStyle w:val="ListBullet"/>
      </w:pPr>
      <w:r>
        <w:t>Systems coordinating through shared predictors, shared persistent state, common precommitments, correlated internal models, or other mechanisms not represented in observed communication logs.</w:t>
      </w:r>
    </w:p>
    <w:p>
      <w:pPr>
        <w:pStyle w:val="ListBullet"/>
      </w:pPr>
      <w:r>
        <w:t>Intentionally concealed versions of the above.</w:t>
      </w:r>
    </w:p>
    <w:p>
      <w:pPr>
        <w:pStyle w:val="ListBullet"/>
      </w:pPr>
      <w:r>
        <w:t>A positive resolution requires AUROC of at least 0.90 for distinguishing consequential hidden coordination from mere common-cause correlation.</w:t>
      </w:r>
    </w:p>
    <w:p>
      <w:pPr>
        <w:pStyle w:val="ListBullet"/>
      </w:pPr>
      <w:r>
        <w:t>Recall must be at least 80% on an adversarially concealed subset.</w:t>
      </w:r>
    </w:p>
    <w:p>
      <w:pPr>
        <w:pStyle w:val="ListBullet"/>
      </w:pPr>
      <w:r>
        <w:t>The false-positive rate must be no more than 10%.</w:t>
      </w:r>
    </w:p>
    <w:p>
      <w:pPr>
        <w:pStyle w:val="ListBullet"/>
      </w:pPr>
      <w:r>
        <w:t>At least two independently designed hidden-coordination mechanisms must be used.</w:t>
      </w:r>
    </w:p>
    <w:p>
      <w:pPr>
        <w:pStyle w:val="Heading1"/>
      </w:pPr>
      <w:r>
        <w:t>12. Detecting When a Safety Proxy Has Stopped Corresponding to the Real Thing</w:t>
      </w:r>
    </w:p>
    <w:p>
      <w:r>
        <w:rPr>
          <w:b/>
        </w:rPr>
        <w:t>By 31 December 2027, will a system reliably detect when changes in the world make its existing safety rules, labels, or monitored proxies misleading, under a serious adversarial evaluation?</w:t>
      </w:r>
    </w:p>
    <w:p>
      <w:r>
        <w:t>Qualifying changes include an API changing semantics while retaining its name; ownership of an account changing while the identifier remains; a new kind of financial transaction bypassing an old fraud classification; a new tool making an apparently harmless action capable of causing an unsafe effect; or a monitored quantity remaining green while the real-world outcome it was intended to approximate becomes bad.</w:t>
      </w:r>
    </w:p>
    <w:p>
      <w:r>
        <w:t>The evaluator changes the environment without telling the tested safety mechanism which concept has become unreliable.</w:t>
      </w:r>
    </w:p>
    <w:p>
      <w:pPr>
        <w:pStyle w:val="ListBullet"/>
      </w:pPr>
      <w:r>
        <w:t>Across at least 100 shifts, at least 90% of materially safety-relevant mismatches must trigger an update, warning, abstention, or request for new information.</w:t>
      </w:r>
    </w:p>
    <w:p>
      <w:pPr>
        <w:pStyle w:val="ListBullet"/>
      </w:pPr>
      <w:r>
        <w:t>No more than 10% of materially safety-relevant mismatches may remain falsely green.</w:t>
      </w:r>
    </w:p>
    <w:p>
      <w:pPr>
        <w:pStyle w:val="ListBullet"/>
      </w:pPr>
      <w:r>
        <w:t>No more than 25% of genuinely irrelevant shifts may trigger unnecessary escalation.</w:t>
      </w:r>
    </w:p>
    <w:p>
      <w:pPr>
        <w:pStyle w:val="ListBullet"/>
      </w:pPr>
      <w:r>
        <w:t>At least three genuinely different real-world-like domains must be used.</w:t>
      </w:r>
    </w:p>
    <w:p>
      <w:pPr>
        <w:pStyle w:val="ListBullet"/>
      </w:pPr>
      <w:r>
        <w:t>At least one broadly capable system must participate.</w:t>
      </w:r>
    </w:p>
    <w:p>
      <w:pPr>
        <w:pStyle w:val="ListBullet"/>
      </w:pPr>
      <w:r>
        <w:t>A serious adversarial evaluation is required.</w:t>
      </w:r>
    </w:p>
    <w:p>
      <w:pPr>
        <w:pStyle w:val="Heading1"/>
      </w:pPr>
      <w:r>
        <w:t>13. Can a Safety Audit Itself Be Optimized Around?</w:t>
      </w:r>
    </w:p>
    <w:p>
      <w:r>
        <w:rPr>
          <w:b/>
        </w:rPr>
        <w:t>By 31 December 2027, will a frozen AI safety audit survive a serious white-box attempt to construct or train a system that passes the audit while violating the properties the audit is intended to test?</w:t>
      </w:r>
    </w:p>
    <w:p>
      <w:r>
        <w:t>Before attacks begin, the complete audit must be frozen, the protected properties must be stated in observable terms, and attackers must receive full knowledge of the audit.</w:t>
      </w:r>
    </w:p>
    <w:p>
      <w:r>
        <w:t>Attackers may fine-tune, train, scaffold, or construct systems specifically to pass.</w:t>
      </w:r>
    </w:p>
    <w:p>
      <w:pPr>
        <w:pStyle w:val="ListBullet"/>
      </w:pPr>
      <w:r>
        <w:t>False-safe results must be no more than 5% over at least 50 independently evaluated adversarial constructions.</w:t>
      </w:r>
    </w:p>
    <w:p>
      <w:pPr>
        <w:pStyle w:val="ListBullet"/>
      </w:pPr>
      <w:r>
        <w:t>There must be no repeatable attack family with at least 10% success over at least 20 trials.</w:t>
      </w:r>
    </w:p>
    <w:p>
      <w:pPr>
        <w:pStyle w:val="ListBullet"/>
      </w:pPr>
      <w:r>
        <w:t>The benchmark must contain intentionally vulnerable systems that the audit detects at least 90% of the time.</w:t>
      </w:r>
    </w:p>
    <w:p>
      <w:pPr>
        <w:pStyle w:val="ListBullet"/>
      </w:pPr>
      <w:r>
        <w:t>A serious adversarial evaluation is mandatory.</w:t>
      </w:r>
    </w:p>
    <w:p>
      <w:pPr>
        <w:pStyle w:val="Heading1"/>
      </w:pPr>
      <w:r>
        <w:t>14. Binding Deployment Criteria</w:t>
      </w:r>
    </w:p>
    <w:p>
      <w:r>
        <w:rPr>
          <w:b/>
        </w:rPr>
        <w:t>By 31 December 2027, will at least one developer's most capable generally deployed AI system be subject to a precommitted safety decision process with actual authority to delay, restrict, or cancel deployment?</w:t>
      </w:r>
    </w:p>
    <w:p>
      <w:r>
        <w:t>A positive resolution requires public evidence that, before the deployment decision:</w:t>
      </w:r>
    </w:p>
    <w:p>
      <w:pPr>
        <w:pStyle w:val="ListBullet"/>
      </w:pPr>
      <w:r>
        <w:t>Concrete pass/fail or escalation criteria existed.</w:t>
      </w:r>
    </w:p>
    <w:p>
      <w:pPr>
        <w:pStyle w:val="ListBullet"/>
      </w:pPr>
      <w:r>
        <w:t>Unresolved evidence could trigger delay or restriction.</w:t>
      </w:r>
    </w:p>
    <w:p>
      <w:pPr>
        <w:pStyle w:val="ListBullet"/>
      </w:pPr>
      <w:r>
        <w:t>The deciding body had actual authority over deployment.</w:t>
      </w:r>
    </w:p>
    <w:p>
      <w:pPr>
        <w:pStyle w:val="ListBullet"/>
      </w:pPr>
      <w:r>
        <w:t>The criteria covered consequential model behavior rather than only cybersecurity or legal compliance.</w:t>
      </w:r>
    </w:p>
    <w:p>
      <w:pPr>
        <w:pStyle w:val="ListBullet"/>
      </w:pPr>
      <w:r>
        <w:t>A dated decision record states which criteria passed, failed, or remained unresolved.</w:t>
      </w:r>
    </w:p>
    <w:p>
      <w:pPr>
        <w:pStyle w:val="ListBullet"/>
      </w:pPr>
      <w:r>
        <w:t>At least one criterion must either actually have caused a restriction or delay during the relevant model's development, or documentation must establish that it was binding even though the model passed.</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