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1461E" w14:textId="77777777" w:rsidR="000A5ED8" w:rsidRDefault="00000000">
      <w:pPr>
        <w:keepLines/>
        <w:spacing w:after="40"/>
        <w:jc w:val="center"/>
        <w:rPr>
          <w:rFonts w:hint="eastAsia"/>
        </w:rPr>
      </w:pPr>
      <w:r>
        <w:rPr>
          <w:rFonts w:ascii="Aptos Display" w:hAnsi="Aptos Display"/>
          <w:b/>
          <w:color w:val="193A5C"/>
          <w:sz w:val="36"/>
        </w:rPr>
        <w:t>MUC02 | CREDIT PRE-SCREENING ENGINE</w:t>
      </w:r>
    </w:p>
    <w:p w14:paraId="663BC670" w14:textId="77777777" w:rsidR="000A5ED8" w:rsidRDefault="00000000">
      <w:pPr>
        <w:keepLines/>
        <w:spacing w:after="200"/>
        <w:jc w:val="center"/>
        <w:rPr>
          <w:b/>
          <w:color w:val="007D7D"/>
        </w:rPr>
      </w:pPr>
      <w:r>
        <w:rPr>
          <w:b/>
          <w:color w:val="007D7D"/>
        </w:rPr>
        <w:t>BATCH 5 | MUC02 KLU TEAM INSIGHT SUMMARY</w:t>
      </w:r>
    </w:p>
    <w:p w14:paraId="357DE6AC" w14:textId="77777777" w:rsidR="00230CB4" w:rsidRDefault="00230CB4">
      <w:pPr>
        <w:keepLines/>
        <w:spacing w:after="200"/>
        <w:jc w:val="center"/>
        <w:rPr>
          <w:rFonts w:hint="eastAsia"/>
        </w:rPr>
      </w:pPr>
    </w:p>
    <w:p w14:paraId="3C502874" w14:textId="3D6B5992" w:rsidR="00230CB4" w:rsidRDefault="00000000">
      <w:pPr>
        <w:keepLines/>
        <w:spacing w:after="120"/>
      </w:pPr>
      <w:r>
        <w:rPr>
          <w:b/>
          <w:color w:val="193A5C"/>
        </w:rPr>
        <w:t xml:space="preserve">Project objective. </w:t>
      </w:r>
      <w:r>
        <w:t>Evaluate whether historical personal-loan decisions can support cautious pre-screening that reduces manual-review workload while keeping historically approved applicants to no more than 5% of the proposed auto-decline group. The dataset contains 12,000 applications; labels represent past Approved/Declined decisions, not actual repayment outcomes.</w:t>
      </w:r>
    </w:p>
    <w:p w14:paraId="7F465DD4" w14:textId="77777777" w:rsidR="00230CB4" w:rsidRDefault="00230CB4">
      <w:pPr>
        <w:keepLines/>
        <w:spacing w:after="120"/>
        <w:rPr>
          <w:rFonts w:hint="eastAsia"/>
        </w:rPr>
      </w:pPr>
    </w:p>
    <w:p w14:paraId="7B6678B4" w14:textId="77777777" w:rsidR="000A5ED8" w:rsidRDefault="00000000">
      <w:pPr>
        <w:pStyle w:val="Heading2"/>
      </w:pPr>
      <w:r>
        <w:t>Three key findings</w:t>
      </w:r>
    </w:p>
    <w:p w14:paraId="2531847C" w14:textId="77777777" w:rsidR="000A5ED8" w:rsidRDefault="00000000">
      <w:pPr>
        <w:keepLines/>
        <w:spacing w:after="60"/>
        <w:rPr>
          <w:rFonts w:hint="eastAsia"/>
        </w:rPr>
      </w:pPr>
      <w:r>
        <w:rPr>
          <w:b/>
          <w:color w:val="193A5C"/>
        </w:rPr>
        <w:t xml:space="preserve">1. Credit score and historical approval. </w:t>
      </w:r>
      <w:r>
        <w:t>Approval is very low below a score of 650 (approximately 3% across the below-650 group in the notebook analysis) and rises in higher score bands. Applicants without a score must not automatically be treated as declines; the NTC group has a historical approval rate of about 53.9%.</w:t>
      </w:r>
    </w:p>
    <w:p w14:paraId="77B43C85" w14:textId="77777777" w:rsidR="000A5ED8" w:rsidRDefault="00000000">
      <w:pPr>
        <w:keepLines/>
        <w:spacing w:after="60"/>
        <w:rPr>
          <w:rFonts w:hint="eastAsia"/>
        </w:rPr>
      </w:pPr>
      <w:r>
        <w:rPr>
          <w:b/>
          <w:color w:val="193A5C"/>
        </w:rPr>
        <w:t xml:space="preserve">2. Affordability matters. </w:t>
      </w:r>
      <w:r>
        <w:t>Historical approval falls as FOIR—(existing EMI + proposed EMI) divided by monthly income—increases. Reference results show approval decreasing from 65.4% below 30% FOIR to 15.5% above 55%, suggesting that existing repayment commitments are relevant to affordability assessment.</w:t>
      </w:r>
    </w:p>
    <w:p w14:paraId="4ED52EFB" w14:textId="531DE873" w:rsidR="00230CB4" w:rsidRDefault="00000000">
      <w:pPr>
        <w:keepLines/>
        <w:spacing w:after="60"/>
        <w:rPr>
          <w:rFonts w:hint="eastAsia"/>
        </w:rPr>
      </w:pPr>
      <w:r>
        <w:rPr>
          <w:b/>
          <w:color w:val="193A5C"/>
        </w:rPr>
        <w:t xml:space="preserve">3. Threshold and potential impact. </w:t>
      </w:r>
      <w:r>
        <w:t>At the 0.90 threshold, 15.21% of test applications enter the proposed auto-decline group, and 4.66% of that group were historically Approved. At 3,000 applications per month and 25 minutes per review, this corresponds to about 456 applications and 190 hours of review capacity potentially freed monthly.</w:t>
      </w:r>
    </w:p>
    <w:p w14:paraId="2901003D" w14:textId="77777777" w:rsidR="000A5ED8" w:rsidRDefault="00000000">
      <w:pPr>
        <w:pStyle w:val="Heading2"/>
      </w:pPr>
      <w:r>
        <w:t>Recommendation</w:t>
      </w:r>
    </w:p>
    <w:p w14:paraId="153E8707" w14:textId="5B0E6AA3" w:rsidR="00230CB4" w:rsidRDefault="00000000">
      <w:pPr>
        <w:keepLines/>
        <w:rPr>
          <w:rFonts w:hint="eastAsia"/>
        </w:rPr>
      </w:pPr>
      <w:r>
        <w:t>Use 0.90 as the candidate threshold because it is the lowest tested threshold meeting the assignment's 5% wrong-decline constraint in the reference test results. Keep new-to-credit (NTC) applicants in human review until their performance is adequately validated. Monitor outcomes by gender and employment group because income and employment type may act as proxy variables.</w:t>
      </w:r>
    </w:p>
    <w:p w14:paraId="1F2075E1" w14:textId="77777777" w:rsidR="000A5ED8" w:rsidRDefault="00000000">
      <w:pPr>
        <w:pStyle w:val="Heading2"/>
      </w:pPr>
      <w:r>
        <w:t>Limitation</w:t>
      </w:r>
    </w:p>
    <w:p w14:paraId="3B570577" w14:textId="77777777" w:rsidR="000A5ED8" w:rsidRDefault="00000000">
      <w:pPr>
        <w:keepLines/>
      </w:pPr>
      <w:r>
        <w:t>The model predicts historical credit-team decisions, not actual loan repayment or default. The results do not establish true credit risk or guarantee operational savings. Before real deployment, validate against repayment/default outcomes, use independent validation, review fairness and data quality, and obtain policy/legal approval.</w:t>
      </w:r>
    </w:p>
    <w:p w14:paraId="094C9C22" w14:textId="77777777" w:rsidR="00230CB4" w:rsidRDefault="00230CB4">
      <w:pPr>
        <w:keepLines/>
        <w:rPr>
          <w:rFonts w:hint="eastAsia"/>
        </w:rPr>
      </w:pPr>
    </w:p>
    <w:p w14:paraId="14798013" w14:textId="77777777" w:rsidR="000A5ED8" w:rsidRDefault="00000000">
      <w:pPr>
        <w:pStyle w:val="Heading2"/>
      </w:pPr>
      <w:r>
        <w:t>Team members &amp; contributions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1512"/>
        <w:gridCol w:w="5976"/>
      </w:tblGrid>
      <w:tr w:rsidR="000A5ED8" w14:paraId="754D1B64" w14:textId="77777777">
        <w:trPr>
          <w:cantSplit/>
          <w:jc w:val="center"/>
        </w:trPr>
        <w:tc>
          <w:tcPr>
            <w:tcW w:w="2520" w:type="dxa"/>
            <w:shd w:val="clear" w:color="auto" w:fill="193A5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4330437" w14:textId="77777777" w:rsidR="000A5ED8" w:rsidRDefault="00000000">
            <w:pPr>
              <w:spacing w:after="20" w:line="25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Team member</w:t>
            </w:r>
          </w:p>
        </w:tc>
        <w:tc>
          <w:tcPr>
            <w:tcW w:w="1512" w:type="dxa"/>
            <w:shd w:val="clear" w:color="auto" w:fill="193A5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4356503" w14:textId="77777777" w:rsidR="000A5ED8" w:rsidRDefault="00000000">
            <w:pPr>
              <w:spacing w:after="20" w:line="25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Student ID</w:t>
            </w:r>
          </w:p>
        </w:tc>
        <w:tc>
          <w:tcPr>
            <w:tcW w:w="5976" w:type="dxa"/>
            <w:shd w:val="clear" w:color="auto" w:fill="193A5C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F70CBF4" w14:textId="77777777" w:rsidR="000A5ED8" w:rsidRDefault="00000000">
            <w:pPr>
              <w:spacing w:after="20" w:line="25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Role / contribution</w:t>
            </w:r>
          </w:p>
        </w:tc>
      </w:tr>
      <w:tr w:rsidR="000A5ED8" w14:paraId="63525386" w14:textId="77777777">
        <w:trPr>
          <w:cantSplit/>
          <w:jc w:val="center"/>
        </w:trPr>
        <w:tc>
          <w:tcPr>
            <w:tcW w:w="2520" w:type="dxa"/>
            <w:shd w:val="clear" w:color="auto" w:fill="EEF3F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A20BDAC" w14:textId="77777777" w:rsidR="000A5ED8" w:rsidRDefault="00000000">
            <w:pPr>
              <w:spacing w:after="20" w:line="250" w:lineRule="auto"/>
              <w:rPr>
                <w:rFonts w:hint="eastAsia"/>
              </w:rPr>
            </w:pPr>
            <w:r>
              <w:rPr>
                <w:sz w:val="18"/>
              </w:rPr>
              <w:t>Jakkana Hasini</w:t>
            </w:r>
          </w:p>
        </w:tc>
        <w:tc>
          <w:tcPr>
            <w:tcW w:w="1512" w:type="dxa"/>
            <w:shd w:val="clear" w:color="auto" w:fill="EEF3F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5192A27" w14:textId="77777777" w:rsidR="000A5ED8" w:rsidRDefault="00000000">
            <w:pPr>
              <w:spacing w:after="20" w:line="250" w:lineRule="auto"/>
              <w:rPr>
                <w:rFonts w:hint="eastAsia"/>
              </w:rPr>
            </w:pPr>
            <w:r>
              <w:rPr>
                <w:sz w:val="18"/>
              </w:rPr>
              <w:t>2300080136</w:t>
            </w:r>
          </w:p>
        </w:tc>
        <w:tc>
          <w:tcPr>
            <w:tcW w:w="5976" w:type="dxa"/>
            <w:shd w:val="clear" w:color="auto" w:fill="EEF3F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172FC9F" w14:textId="77777777" w:rsidR="000A5ED8" w:rsidRDefault="00000000">
            <w:pPr>
              <w:spacing w:after="20" w:line="250" w:lineRule="auto"/>
              <w:rPr>
                <w:rFonts w:hint="eastAsia"/>
              </w:rPr>
            </w:pPr>
            <w:r>
              <w:rPr>
                <w:sz w:val="17"/>
              </w:rPr>
              <w:t>Data Analyst — data cleaning, exploratory analysis and approval-driver analysis.</w:t>
            </w:r>
          </w:p>
        </w:tc>
      </w:tr>
      <w:tr w:rsidR="000A5ED8" w14:paraId="3491B14D" w14:textId="77777777">
        <w:trPr>
          <w:cantSplit/>
          <w:jc w:val="center"/>
        </w:trPr>
        <w:tc>
          <w:tcPr>
            <w:tcW w:w="2520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85B2DF1" w14:textId="77777777" w:rsidR="000A5ED8" w:rsidRDefault="00000000">
            <w:pPr>
              <w:spacing w:after="20" w:line="250" w:lineRule="auto"/>
              <w:rPr>
                <w:rFonts w:hint="eastAsia"/>
              </w:rPr>
            </w:pPr>
            <w:r>
              <w:rPr>
                <w:sz w:val="18"/>
              </w:rPr>
              <w:t>Jajula Gnana Deepak</w:t>
            </w:r>
          </w:p>
        </w:tc>
        <w:tc>
          <w:tcPr>
            <w:tcW w:w="1512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CFE76D5" w14:textId="77777777" w:rsidR="000A5ED8" w:rsidRDefault="00000000">
            <w:pPr>
              <w:spacing w:after="20" w:line="250" w:lineRule="auto"/>
              <w:rPr>
                <w:rFonts w:hint="eastAsia"/>
              </w:rPr>
            </w:pPr>
            <w:r>
              <w:rPr>
                <w:sz w:val="18"/>
              </w:rPr>
              <w:t>2300030263</w:t>
            </w:r>
          </w:p>
        </w:tc>
        <w:tc>
          <w:tcPr>
            <w:tcW w:w="5976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9217BA9" w14:textId="77777777" w:rsidR="000A5ED8" w:rsidRDefault="00000000">
            <w:pPr>
              <w:spacing w:after="20" w:line="250" w:lineRule="auto"/>
              <w:rPr>
                <w:rFonts w:hint="eastAsia"/>
              </w:rPr>
            </w:pPr>
            <w:r>
              <w:rPr>
                <w:sz w:val="17"/>
              </w:rPr>
              <w:t>Feature Engineering &amp; Data Analyst — FOIR, loan-to-income, NTC features and supporting analysis.</w:t>
            </w:r>
          </w:p>
        </w:tc>
      </w:tr>
      <w:tr w:rsidR="000A5ED8" w14:paraId="2A833153" w14:textId="77777777">
        <w:trPr>
          <w:cantSplit/>
          <w:jc w:val="center"/>
        </w:trPr>
        <w:tc>
          <w:tcPr>
            <w:tcW w:w="2520" w:type="dxa"/>
            <w:shd w:val="clear" w:color="auto" w:fill="EEF3F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44BA592" w14:textId="77777777" w:rsidR="000A5ED8" w:rsidRDefault="00000000">
            <w:pPr>
              <w:spacing w:after="20" w:line="250" w:lineRule="auto"/>
              <w:rPr>
                <w:rFonts w:hint="eastAsia"/>
              </w:rPr>
            </w:pPr>
            <w:r>
              <w:rPr>
                <w:sz w:val="18"/>
              </w:rPr>
              <w:t>Guntimadugu Reddyprasanna</w:t>
            </w:r>
          </w:p>
        </w:tc>
        <w:tc>
          <w:tcPr>
            <w:tcW w:w="1512" w:type="dxa"/>
            <w:shd w:val="clear" w:color="auto" w:fill="EEF3F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51BC0A1" w14:textId="77777777" w:rsidR="000A5ED8" w:rsidRDefault="00000000">
            <w:pPr>
              <w:spacing w:after="20" w:line="250" w:lineRule="auto"/>
              <w:rPr>
                <w:rFonts w:hint="eastAsia"/>
              </w:rPr>
            </w:pPr>
            <w:r>
              <w:rPr>
                <w:sz w:val="18"/>
              </w:rPr>
              <w:t>2300033100</w:t>
            </w:r>
          </w:p>
        </w:tc>
        <w:tc>
          <w:tcPr>
            <w:tcW w:w="5976" w:type="dxa"/>
            <w:shd w:val="clear" w:color="auto" w:fill="EEF3F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4B9E496" w14:textId="77777777" w:rsidR="000A5ED8" w:rsidRDefault="00000000">
            <w:pPr>
              <w:spacing w:after="20" w:line="250" w:lineRule="auto"/>
              <w:rPr>
                <w:rFonts w:hint="eastAsia"/>
              </w:rPr>
            </w:pPr>
            <w:r>
              <w:rPr>
                <w:sz w:val="17"/>
              </w:rPr>
              <w:t>Model Builder — Logistic Regression, model evaluation and threshold selection.</w:t>
            </w:r>
          </w:p>
        </w:tc>
      </w:tr>
      <w:tr w:rsidR="000A5ED8" w14:paraId="6327635F" w14:textId="77777777">
        <w:trPr>
          <w:cantSplit/>
          <w:jc w:val="center"/>
        </w:trPr>
        <w:tc>
          <w:tcPr>
            <w:tcW w:w="2520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6080709" w14:textId="77777777" w:rsidR="000A5ED8" w:rsidRDefault="00000000">
            <w:pPr>
              <w:spacing w:after="20" w:line="250" w:lineRule="auto"/>
              <w:rPr>
                <w:rFonts w:hint="eastAsia"/>
              </w:rPr>
            </w:pPr>
            <w:r>
              <w:rPr>
                <w:sz w:val="18"/>
              </w:rPr>
              <w:t>Jeenepally Adiseshu</w:t>
            </w:r>
          </w:p>
        </w:tc>
        <w:tc>
          <w:tcPr>
            <w:tcW w:w="1512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D029B7D" w14:textId="77777777" w:rsidR="000A5ED8" w:rsidRDefault="00000000">
            <w:pPr>
              <w:spacing w:after="20" w:line="250" w:lineRule="auto"/>
              <w:rPr>
                <w:rFonts w:hint="eastAsia"/>
              </w:rPr>
            </w:pPr>
            <w:r>
              <w:rPr>
                <w:sz w:val="18"/>
              </w:rPr>
              <w:t>2300030279</w:t>
            </w:r>
          </w:p>
        </w:tc>
        <w:tc>
          <w:tcPr>
            <w:tcW w:w="5976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8140597" w14:textId="77777777" w:rsidR="000A5ED8" w:rsidRDefault="00000000">
            <w:pPr>
              <w:spacing w:after="20" w:line="250" w:lineRule="auto"/>
              <w:rPr>
                <w:rFonts w:hint="eastAsia"/>
              </w:rPr>
            </w:pPr>
            <w:r>
              <w:rPr>
                <w:sz w:val="17"/>
              </w:rPr>
              <w:t>Policy &amp; Fairness Analyst — subgroup fairness checks and Credit Policy Briefing.</w:t>
            </w:r>
          </w:p>
        </w:tc>
      </w:tr>
    </w:tbl>
    <w:p w14:paraId="791C1477" w14:textId="77777777" w:rsidR="000A5ED8" w:rsidRDefault="00000000">
      <w:pPr>
        <w:keepLines/>
        <w:spacing w:before="140" w:after="0"/>
        <w:rPr>
          <w:rFonts w:hint="eastAsia"/>
        </w:rPr>
      </w:pPr>
      <w:r>
        <w:rPr>
          <w:b/>
          <w:color w:val="193A5C"/>
        </w:rPr>
        <w:t xml:space="preserve">Submission reminder: </w:t>
      </w:r>
      <w:r>
        <w:t>Verify all figures against the final executed notebook. This is the shared team summary; each member must also submit an individual 150-word reflection.</w:t>
      </w:r>
    </w:p>
    <w:sectPr w:rsidR="000A5ED8" w:rsidSect="00034616">
      <w:pgSz w:w="11909" w:h="16834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363129">
    <w:abstractNumId w:val="8"/>
  </w:num>
  <w:num w:numId="2" w16cid:durableId="1467773687">
    <w:abstractNumId w:val="6"/>
  </w:num>
  <w:num w:numId="3" w16cid:durableId="956563819">
    <w:abstractNumId w:val="5"/>
  </w:num>
  <w:num w:numId="4" w16cid:durableId="1244073798">
    <w:abstractNumId w:val="4"/>
  </w:num>
  <w:num w:numId="5" w16cid:durableId="342973842">
    <w:abstractNumId w:val="7"/>
  </w:num>
  <w:num w:numId="6" w16cid:durableId="709182186">
    <w:abstractNumId w:val="3"/>
  </w:num>
  <w:num w:numId="7" w16cid:durableId="234823278">
    <w:abstractNumId w:val="2"/>
  </w:num>
  <w:num w:numId="8" w16cid:durableId="1779713890">
    <w:abstractNumId w:val="1"/>
  </w:num>
  <w:num w:numId="9" w16cid:durableId="91127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ED8"/>
    <w:rsid w:val="0015074B"/>
    <w:rsid w:val="00230CB4"/>
    <w:rsid w:val="0029639D"/>
    <w:rsid w:val="00326F90"/>
    <w:rsid w:val="004A4D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7F9C3B"/>
  <w14:defaultImageDpi w14:val="300"/>
  <w15:docId w15:val="{AAE71DB9-F585-4AC1-9C72-CBA0F2F64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303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93A5C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93A5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JAJULA GNANA DEEPAK</cp:lastModifiedBy>
  <cp:revision>2</cp:revision>
  <dcterms:created xsi:type="dcterms:W3CDTF">2013-12-23T23:15:00Z</dcterms:created>
  <dcterms:modified xsi:type="dcterms:W3CDTF">2026-10-28T17:16:00Z</dcterms:modified>
  <cp:category/>
</cp:coreProperties>
</file>