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93A5C"/>
          <w:sz w:val="34"/>
        </w:rPr>
        <w:t>MUC02 — CREDIT PRE-SCREENING ENGINE</w:t>
      </w:r>
    </w:p>
    <w:p>
      <w:pPr>
        <w:spacing w:after="140"/>
        <w:jc w:val="center"/>
      </w:pPr>
      <w:r>
        <w:rPr>
          <w:b/>
          <w:color w:val="007D7D"/>
          <w:sz w:val="24"/>
        </w:rPr>
        <w:t>ROLE 3: MODEL BUILDER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Team / Batch: Batch 5 — MUC02 KLU Team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Team Member: Guntimadugu Reddyprasanna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Student ID: 2300033100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Assigned Work: Steps 5.4–5.5 — Logistic Regression, Evaluation and Threshold Selection</w:t>
            </w:r>
          </w:p>
        </w:tc>
      </w:tr>
    </w:tbl>
    <w:p>
      <w:pPr>
        <w:pStyle w:val="Heading1"/>
      </w:pPr>
      <w:r>
        <w:t>1. Role objective</w:t>
      </w:r>
    </w:p>
    <w:p>
      <w:r>
        <w:t>Build and evaluate the Logistic Regression classification pipeline using the cleaned application data and engineered features from the team. The objective is to predict historical Approved/Declined decisions, assess model errors, and select the lowest tested probability threshold that satisfies the assignment's 5% wrong-decline constraint.</w:t>
      </w:r>
    </w:p>
    <w:p>
      <w:pPr>
        <w:pStyle w:val="Heading1"/>
      </w:pPr>
      <w:r>
        <w:t>2. Step 5.4 — Build the model</w:t>
      </w:r>
    </w:p>
    <w:p>
      <w:r>
        <w:t>Use a reproducible scikit-learn Pipeline so preprocessing is fitted on training data and then applied consistently to test data. Numeric features may require imputation and scaling; categorical features require imputation and one-hot encoding. Keep the target definition consistent: Declined = 1 and Approved = 0.</w:t>
      </w:r>
    </w:p>
    <w:p>
      <w:pPr>
        <w:spacing w:after="100"/>
        <w:ind w:left="288" w:right="288"/>
      </w:pPr>
      <w:r>
        <w:rPr>
          <w:rFonts w:ascii="Consolas" w:hAnsi="Consolas"/>
          <w:color w:val="23415A"/>
          <w:sz w:val="16"/>
        </w:rPr>
        <w:t>from sklearn.model_selection import train_test_split</w:t>
        <w:br/>
        <w:t>from sklearn.compose import ColumnTransformer</w:t>
        <w:br/>
        <w:t>from sklearn.pipeline import Pipeline</w:t>
        <w:br/>
        <w:t>from sklearn.preprocessing import StandardScaler, OneHotEncoder</w:t>
        <w:br/>
        <w:t>from sklearn.impute import SimpleImputer</w:t>
        <w:br/>
        <w:t>from sklearn.linear_model import LogisticRegression</w:t>
        <w:br/>
        <w:t>from sklearn.metrics import accuracy_score, roc_auc_score, confusion_matrix, classification_report</w:t>
        <w:br/>
        <w:br/>
        <w:t># Example structure: set feature lists to the final notebook's column names</w:t>
        <w:br/>
        <w:t>numeric_pipe = Pipeline([</w:t>
        <w:br/>
        <w:t xml:space="preserve">    ('imputer', SimpleImputer(strategy='median')),</w:t>
        <w:br/>
        <w:t xml:space="preserve">    ('scaler', StandardScaler())</w:t>
        <w:br/>
        <w:t>])</w:t>
        <w:br/>
        <w:t>categorical_pipe = Pipeline([</w:t>
        <w:br/>
        <w:t xml:space="preserve">    ('imputer', SimpleImputer(strategy='most_frequent')),</w:t>
        <w:br/>
        <w:t xml:space="preserve">    ('encoder', OneHotEncoder(handle_unknown='ignore'))</w:t>
        <w:br/>
        <w:t>])</w:t>
        <w:br/>
        <w:t>preprocessor = ColumnTransformer([</w:t>
        <w:br/>
        <w:t xml:space="preserve">    ('num', numeric_pipe, numeric_features),</w:t>
        <w:br/>
        <w:t xml:space="preserve">    ('cat', categorical_pipe, categorical_features)</w:t>
        <w:br/>
        <w:t>])</w:t>
        <w:br/>
        <w:t>model = Pipeline([</w:t>
        <w:br/>
        <w:t xml:space="preserve">    ('preprocessor', preprocessor),</w:t>
        <w:br/>
        <w:t xml:space="preserve">    ('classifier', LogisticRegression(max_iter=1000))</w:t>
        <w:br/>
        <w:t>])</w:t>
        <w:br/>
        <w:t>X_train, X_test, y_train, y_test = train_test_split(</w:t>
        <w:br/>
        <w:t xml:space="preserve">    X, y, test_size=0.20, random_state=42, stratify=y</w:t>
        <w:br/>
        <w:t>)</w:t>
        <w:br/>
        <w:t>model.fit(X_train, y_train)</w:t>
        <w:br/>
      </w:r>
    </w:p>
    <w:p>
      <w:pPr>
        <w:pStyle w:val="Heading1"/>
      </w:pPr>
      <w:r>
        <w:t>3. Step 5.4 — Evaluate the model</w:t>
      </w:r>
    </w:p>
    <w:p>
      <w:r>
        <w:t>Use the test set to assess performance on applications not used for fitting. The reference results reported for the notebook are 79.08% accuracy and 0.8674 ROC-AUC. Confirm these figures against the final executed notebook before submission.</w:t>
      </w:r>
    </w:p>
    <w:p>
      <w:pPr>
        <w:pStyle w:val="ListBullet"/>
      </w:pPr>
      <w:r>
        <w:rPr>
          <w:b/>
        </w:rPr>
        <w:t xml:space="preserve">Accuracy: </w:t>
      </w:r>
      <w:r>
        <w:t>Share of test predictions matching historical decisions.</w:t>
      </w:r>
    </w:p>
    <w:p>
      <w:pPr>
        <w:pStyle w:val="ListBullet"/>
      </w:pPr>
      <w:r>
        <w:rPr>
          <w:b/>
        </w:rPr>
        <w:t xml:space="preserve">ROC-AUC: </w:t>
      </w:r>
      <w:r>
        <w:t>How well the model ranks the two historical decision classes across cutoffs.</w:t>
      </w:r>
    </w:p>
    <w:p>
      <w:pPr>
        <w:pStyle w:val="ListBullet"/>
      </w:pPr>
      <w:r>
        <w:rPr>
          <w:b/>
        </w:rPr>
        <w:t xml:space="preserve">Confusion matrix: </w:t>
      </w:r>
      <w:r>
        <w:t>Shows correct and incorrect predictions for Approved and Declined.</w:t>
      </w:r>
    </w:p>
    <w:p>
      <w:pPr>
        <w:pStyle w:val="ListBullet"/>
      </w:pPr>
      <w:r>
        <w:rPr>
          <w:b/>
        </w:rPr>
        <w:t xml:space="preserve">Coefficients: </w:t>
      </w:r>
      <w:r>
        <w:t>Show how fitted features are associated with the model's predicted class, holding other model features constant.</w:t>
      </w:r>
    </w:p>
    <w:p>
      <w:pPr>
        <w:pStyle w:val="Heading1"/>
      </w:pPr>
      <w:r>
        <w:t>4. Interpret the confusion matrix</w:t>
      </w:r>
    </w:p>
    <w:p>
      <w:r>
        <w:t>The reference confusion matrix is: actual Approved → predicted Approved 1,046; predicted Declined 225. Actual Declined → predicted Approved 277; predicted Declined 852. The 225 historically approved applicants predicted as Declined are especially relevant to the wrong-decline constraint. Explain each cell using the actual class order from the notebook.</w:t>
      </w:r>
    </w:p>
    <w:p>
      <w:pPr>
        <w:pStyle w:val="Heading1"/>
      </w:pPr>
      <w:r>
        <w:t>5. Step 5.5 — Threshold selection</w:t>
      </w:r>
    </w:p>
    <w:p>
      <w:r>
        <w:t>The model outputs a probability of class 1 (Declined). A threshold determines which applications enter the proposed auto-decline lane: probability ≥ threshold. This probability estimates a historical decision label, not a probability of default.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Threshold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Auto-decline share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Historically Approved in lane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5% rule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0.50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44.9%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20.9%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Fails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0.70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30.8%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12.0%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Fails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0.80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23.4%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7.1%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Fails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0.85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19.7%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5.9%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Fails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15.21%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4.66%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Passes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0.95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10.0%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2.1%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7"/>
              </w:rPr>
              <w:t>Passes</w:t>
            </w:r>
          </w:p>
        </w:tc>
      </w:tr>
    </w:tbl>
    <w:p>
      <w:r>
        <w:t>Decision: 0.90 is the lowest tested threshold satisfying the assignment's rule that no more than 5% of the proposed auto-decline group were historically Approved. A higher threshold reduces the size of the lane but generally also reduces potential review workload.</w:t>
      </w:r>
    </w:p>
    <w:p>
      <w:pPr>
        <w:pStyle w:val="Heading1"/>
      </w:pPr>
      <w:r>
        <w:t>6. Business impact calculation</w:t>
      </w:r>
    </w:p>
    <w:p>
      <w:r>
        <w:t>Using the reference auto-decline share of 15.21% and an assumed 3,000 applications per month: 3,000 × 0.1521 ≈ 456 applications. At 25 minutes per manual review: 456 × 25 ÷ 60 ≈ 190 hours of review capacity potentially freed per month. This is capacity estimation, not guaranteed cost savings.</w:t>
      </w:r>
    </w:p>
    <w:p>
      <w:pPr>
        <w:pStyle w:val="Heading1"/>
      </w:pPr>
      <w:r>
        <w:t>7. Deliverables and handoff</w:t>
      </w:r>
    </w:p>
    <w:p>
      <w:pPr>
        <w:pStyle w:val="ListBullet"/>
      </w:pPr>
      <w:r>
        <w:t>Runnable Steps 5.4–5.5 in the shared notebook, with Markdown explanations.</w:t>
      </w:r>
    </w:p>
    <w:p>
      <w:pPr>
        <w:pStyle w:val="ListBullet"/>
      </w:pPr>
      <w:r>
        <w:t>Confusion matrix, accuracy, ROC-AUC and coefficient interpretation in business language.</w:t>
      </w:r>
    </w:p>
    <w:p>
      <w:pPr>
        <w:pStyle w:val="ListBullet"/>
      </w:pPr>
      <w:r>
        <w:t>Threshold comparison table and chart, clearly identifying the 0.90 choice and 5% constraint.</w:t>
      </w:r>
    </w:p>
    <w:p>
      <w:pPr>
        <w:pStyle w:val="ListBullet"/>
      </w:pPr>
      <w:r>
        <w:t>Monthly impact expressed as applications and analyst hours, with assumptions stated.</w:t>
      </w:r>
    </w:p>
    <w:p>
      <w:pPr>
        <w:pStyle w:val="ListBullet"/>
      </w:pPr>
      <w:r>
        <w:t>Share model outputs, selected threshold and limitations with Member 4 for fairness and policy synthesis.</w:t>
      </w:r>
    </w:p>
    <w:p>
      <w:pPr>
        <w:pStyle w:val="Heading1"/>
      </w:pPr>
      <w:r>
        <w:t>8. Role 3 completion checklist</w:t>
      </w:r>
    </w:p>
    <w:p>
      <w:r>
        <w:t>☐ Target encoding is Declined = 1 and Approved = 0.</w:t>
      </w:r>
    </w:p>
    <w:p>
      <w:r>
        <w:t>☐ Preprocessing and Logistic Regression are inside a reproducible Pipeline.</w:t>
      </w:r>
    </w:p>
    <w:p>
      <w:r>
        <w:t>☐ Training/test split and evaluation are reproducible.</w:t>
      </w:r>
    </w:p>
    <w:p>
      <w:r>
        <w:t>☐ Confusion matrix class order is stated correctly.</w:t>
      </w:r>
    </w:p>
    <w:p>
      <w:r>
        <w:t>☐ Threshold table and chart show the 5% constraint.</w:t>
      </w:r>
    </w:p>
    <w:p>
      <w:r>
        <w:t>☐ Threshold impact calculations use stated assumptions.</w:t>
      </w:r>
    </w:p>
    <w:p>
      <w:r>
        <w:t>☐ All reported metrics match the final executed notebook.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8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