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color w:val="193A5C"/>
          <w:sz w:val="34"/>
        </w:rPr>
        <w:t>MUC02 — CREDIT PRE-SCREENING ENGINE</w:t>
      </w:r>
    </w:p>
    <w:p>
      <w:pPr>
        <w:spacing w:after="140"/>
        <w:jc w:val="center"/>
      </w:pPr>
      <w:r>
        <w:rPr>
          <w:b/>
          <w:color w:val="007D7D"/>
          <w:sz w:val="24"/>
        </w:rPr>
        <w:t>ROLE 1: DATA ANALYST</w:t>
      </w:r>
    </w:p>
    <w:tbl>
      <w:tblPr>
        <w:tblStyle w:val="LightShading-Accent1"/>
        <w:tblW w:type="auto" w:w="0"/>
        <w:jc w:val="center"/>
        <w:tblLook w:firstColumn="1" w:firstRow="1" w:lastColumn="0" w:lastRow="0" w:noHBand="0" w:noVBand="1" w:val="04A0"/>
      </w:tblPr>
      <w:tblGrid>
        <w:gridCol w:w="5040"/>
        <w:gridCol w:w="5040"/>
      </w:tblGrid>
      <w:tr>
        <w:tc>
          <w:tcPr>
            <w:tcW w:type="dxa" w:w="5040"/>
            <w:vAlign w:val="center"/>
          </w:tcPr>
          <w:p>
            <w:r>
              <w:rPr>
                <w:b/>
                <w:sz w:val="18"/>
              </w:rPr>
              <w:t>Team / Batch: Batch 5 — MUC02 KLU Team</w:t>
            </w:r>
          </w:p>
        </w:tc>
        <w:tc>
          <w:tcPr>
            <w:tcW w:type="dxa" w:w="5040"/>
            <w:vAlign w:val="center"/>
          </w:tcPr>
          <w:p>
            <w:r>
              <w:rPr>
                <w:b/>
                <w:sz w:val="18"/>
              </w:rPr>
              <w:t>Team Member: Jakkana Hasini</w:t>
            </w:r>
          </w:p>
        </w:tc>
      </w:tr>
      <w:tr>
        <w:tc>
          <w:tcPr>
            <w:tcW w:type="dxa" w:w="5040"/>
            <w:vAlign w:val="center"/>
          </w:tcPr>
          <w:p>
            <w:r>
              <w:rPr>
                <w:sz w:val="18"/>
              </w:rPr>
              <w:t>Student ID: 2300080136</w:t>
            </w:r>
          </w:p>
        </w:tc>
        <w:tc>
          <w:tcPr>
            <w:tcW w:type="dxa" w:w="5040"/>
            <w:vAlign w:val="center"/>
          </w:tcPr>
          <w:p>
            <w:r>
              <w:rPr>
                <w:sz w:val="18"/>
              </w:rPr>
              <w:t>Assigned Work: CBIM Problem Canvas, Step 5.1 and Step 5.2</w:t>
            </w:r>
          </w:p>
        </w:tc>
      </w:tr>
    </w:tbl>
    <w:p>
      <w:pPr>
        <w:pStyle w:val="Heading1"/>
      </w:pPr>
      <w:r>
        <w:t>1. Role objective</w:t>
      </w:r>
    </w:p>
    <w:p>
      <w:r>
        <w:t>The Data Analyst prepares the supplied credit application dataset for analysis and identifies historical approval patterns. This work establishes whether the data is reliable enough for later feature engineering and model building.</w:t>
      </w:r>
    </w:p>
    <w:p>
      <w:pPr>
        <w:pStyle w:val="Heading1"/>
      </w:pPr>
      <w:r>
        <w:t>2. CBIM Problem Canvas</w:t>
      </w:r>
    </w:p>
    <w:p>
      <w:pPr>
        <w:keepLines/>
      </w:pPr>
      <w:r>
        <w:rPr>
          <w:b/>
        </w:rPr>
        <w:t xml:space="preserve">Situation: </w:t>
      </w:r>
      <w:r>
        <w:t>The bank receives about 3,000 personal-loan applications each month and each manual review takes about 25 minutes.</w:t>
      </w:r>
    </w:p>
    <w:p>
      <w:pPr>
        <w:keepLines/>
      </w:pPr>
      <w:r>
        <w:rPr>
          <w:b/>
        </w:rPr>
        <w:t xml:space="preserve">Complication: </w:t>
      </w:r>
      <w:r>
        <w:t>Manual reviews consume analyst capacity; the bank wants to prioritise work without exceeding the assignment's 5% wrong-decline constraint.</w:t>
      </w:r>
    </w:p>
    <w:p>
      <w:pPr>
        <w:keepLines/>
      </w:pPr>
      <w:r>
        <w:rPr>
          <w:b/>
        </w:rPr>
        <w:t xml:space="preserve">Question: </w:t>
      </w:r>
      <w:r>
        <w:t>Can historical application data help identify a cautious pre-screening route that reduces manual review while meeting the 5% rule?</w:t>
      </w:r>
    </w:p>
    <w:p>
      <w:pPr>
        <w:keepLines/>
      </w:pPr>
      <w:r>
        <w:rPr>
          <w:b/>
        </w:rPr>
        <w:t xml:space="preserve">SSOT (Single Source of Truth): </w:t>
      </w:r>
      <w:r>
        <w:t>The supplied MUC02 credit pre-screening CSV and its historical Approved/Declined decision field.</w:t>
      </w:r>
    </w:p>
    <w:p>
      <w:pPr>
        <w:keepLines/>
      </w:pPr>
      <w:r>
        <w:rPr>
          <w:b/>
        </w:rPr>
        <w:t xml:space="preserve">Success definition: </w:t>
      </w:r>
      <w:r>
        <w:t>Select the lowest tested threshold for which no more than 5% of the proposed auto-decline group were historically Approved, then quantify potential applications and review hours affected.</w:t>
      </w:r>
    </w:p>
    <w:p>
      <w:pPr>
        <w:keepLines/>
      </w:pPr>
      <w:r>
        <w:rPr>
          <w:b/>
        </w:rPr>
        <w:t xml:space="preserve">Stakeholder: </w:t>
      </w:r>
      <w:r>
        <w:t>Credit Policy Analyst, credit-review team and Head of Retail Lending.</w:t>
      </w:r>
    </w:p>
    <w:p>
      <w:pPr>
        <w:pStyle w:val="Heading1"/>
      </w:pPr>
      <w:r>
        <w:t>3. Step 5.1 — Data loading, inspection and cleaning</w:t>
      </w:r>
    </w:p>
    <w:p>
      <w:r>
        <w:t>Purpose: inspect the source data, identify data-quality issues and document a defensible treatment for each issue before calculating approval rates.</w:t>
      </w:r>
    </w:p>
    <w:tbl>
      <w:tblPr>
        <w:tblStyle w:val="LightShading-Accent1"/>
        <w:tblW w:type="auto" w:w="0"/>
        <w:jc w:val="center"/>
        <w:tblLook w:firstColumn="1" w:firstRow="1" w:lastColumn="0" w:lastRow="0" w:noHBand="0" w:noVBand="1" w:val="04A0"/>
      </w:tblPr>
      <w:tblGrid>
        <w:gridCol w:w="3360"/>
        <w:gridCol w:w="3360"/>
        <w:gridCol w:w="3360"/>
      </w:tblGrid>
      <w:tr>
        <w:tc>
          <w:tcPr>
            <w:tcW w:type="dxa" w:w="3360"/>
          </w:tcPr>
          <w:p>
            <w:r>
              <w:rPr>
                <w:b/>
                <w:sz w:val="18"/>
              </w:rPr>
              <w:t>Issue / check</w:t>
            </w:r>
          </w:p>
        </w:tc>
        <w:tc>
          <w:tcPr>
            <w:tcW w:type="dxa" w:w="3360"/>
          </w:tcPr>
          <w:p>
            <w:r>
              <w:rPr>
                <w:b/>
                <w:sz w:val="18"/>
              </w:rPr>
              <w:t>Finding</w:t>
            </w:r>
          </w:p>
        </w:tc>
        <w:tc>
          <w:tcPr>
            <w:tcW w:type="dxa" w:w="3360"/>
          </w:tcPr>
          <w:p>
            <w:r>
              <w:rPr>
                <w:b/>
                <w:sz w:val="18"/>
              </w:rPr>
              <w:t>Treatment and reason</w:t>
            </w:r>
          </w:p>
        </w:tc>
      </w:tr>
      <w:tr>
        <w:tc>
          <w:tcPr>
            <w:tcW w:type="dxa" w:w="3360"/>
            <w:vAlign w:val="center"/>
          </w:tcPr>
          <w:p>
            <w:pPr>
              <w:spacing w:after="20"/>
            </w:pPr>
            <w:r>
              <w:rPr>
                <w:sz w:val="17"/>
              </w:rPr>
              <w:t>Dataset size</w:t>
            </w:r>
          </w:p>
        </w:tc>
        <w:tc>
          <w:tcPr>
            <w:tcW w:type="dxa" w:w="3360"/>
            <w:vAlign w:val="center"/>
          </w:tcPr>
          <w:p>
            <w:pPr>
              <w:spacing w:after="20"/>
            </w:pPr>
            <w:r>
              <w:rPr>
                <w:sz w:val="17"/>
              </w:rPr>
              <w:t>12,000 rows and 19 columns</w:t>
            </w:r>
          </w:p>
        </w:tc>
        <w:tc>
          <w:tcPr>
            <w:tcW w:type="dxa" w:w="3360"/>
            <w:vAlign w:val="center"/>
          </w:tcPr>
          <w:p>
            <w:pPr>
              <w:spacing w:after="20"/>
            </w:pPr>
            <w:r>
              <w:rPr>
                <w:sz w:val="17"/>
              </w:rPr>
              <w:t>Check shape, sample records, column types and summary statistics before analysis.</w:t>
            </w:r>
          </w:p>
        </w:tc>
      </w:tr>
      <w:tr>
        <w:tc>
          <w:tcPr>
            <w:tcW w:type="dxa" w:w="3360"/>
            <w:vAlign w:val="center"/>
          </w:tcPr>
          <w:p>
            <w:pPr>
              <w:spacing w:after="20"/>
            </w:pPr>
            <w:r>
              <w:rPr>
                <w:sz w:val="17"/>
              </w:rPr>
              <w:t>Missing monthly income</w:t>
            </w:r>
          </w:p>
        </w:tc>
        <w:tc>
          <w:tcPr>
            <w:tcW w:type="dxa" w:w="3360"/>
            <w:vAlign w:val="center"/>
          </w:tcPr>
          <w:p>
            <w:pPr>
              <w:spacing w:after="20"/>
            </w:pPr>
            <w:r>
              <w:rPr>
                <w:sz w:val="17"/>
              </w:rPr>
              <w:t>441 records</w:t>
            </w:r>
          </w:p>
        </w:tc>
        <w:tc>
          <w:tcPr>
            <w:tcW w:type="dxa" w:w="3360"/>
            <w:vAlign w:val="center"/>
          </w:tcPr>
          <w:p>
            <w:pPr>
              <w:spacing w:after="20"/>
            </w:pPr>
            <w:r>
              <w:rPr>
                <w:sz w:val="17"/>
              </w:rPr>
              <w:t>Use the median monthly income for the same employment type, as specified for this exercise.</w:t>
            </w:r>
          </w:p>
        </w:tc>
      </w:tr>
      <w:tr>
        <w:tc>
          <w:tcPr>
            <w:tcW w:type="dxa" w:w="3360"/>
            <w:vAlign w:val="center"/>
          </w:tcPr>
          <w:p>
            <w:pPr>
              <w:spacing w:after="20"/>
            </w:pPr>
            <w:r>
              <w:rPr>
                <w:sz w:val="17"/>
              </w:rPr>
              <w:t>Missing credit score</w:t>
            </w:r>
          </w:p>
        </w:tc>
        <w:tc>
          <w:tcPr>
            <w:tcW w:type="dxa" w:w="3360"/>
            <w:vAlign w:val="center"/>
          </w:tcPr>
          <w:p>
            <w:pPr>
              <w:spacing w:after="20"/>
            </w:pPr>
            <w:r>
              <w:rPr>
                <w:sz w:val="17"/>
              </w:rPr>
              <w:t>1,039 records; zero credit-history months</w:t>
            </w:r>
          </w:p>
        </w:tc>
        <w:tc>
          <w:tcPr>
            <w:tcW w:type="dxa" w:w="3360"/>
            <w:vAlign w:val="center"/>
          </w:tcPr>
          <w:p>
            <w:pPr>
              <w:spacing w:after="20"/>
            </w:pPr>
            <w:r>
              <w:rPr>
                <w:sz w:val="17"/>
              </w:rPr>
              <w:t>Treat as new-to-credit (NTC), retain the applicants and create an NTC indicator rather than dropping them.</w:t>
            </w:r>
          </w:p>
        </w:tc>
      </w:tr>
      <w:tr>
        <w:tc>
          <w:tcPr>
            <w:tcW w:type="dxa" w:w="3360"/>
            <w:vAlign w:val="center"/>
          </w:tcPr>
          <w:p>
            <w:pPr>
              <w:spacing w:after="20"/>
            </w:pPr>
            <w:r>
              <w:rPr>
                <w:sz w:val="17"/>
              </w:rPr>
              <w:t>Unusually high Salaried income</w:t>
            </w:r>
          </w:p>
        </w:tc>
        <w:tc>
          <w:tcPr>
            <w:tcW w:type="dxa" w:w="3360"/>
            <w:vAlign w:val="center"/>
          </w:tcPr>
          <w:p>
            <w:pPr>
              <w:spacing w:after="20"/>
            </w:pPr>
            <w:r>
              <w:rPr>
                <w:sz w:val="17"/>
              </w:rPr>
              <w:t>12 values above ₹6,00,000/month</w:t>
            </w:r>
          </w:p>
        </w:tc>
        <w:tc>
          <w:tcPr>
            <w:tcW w:type="dxa" w:w="3360"/>
            <w:vAlign w:val="center"/>
          </w:tcPr>
          <w:p>
            <w:pPr>
              <w:spacing w:after="20"/>
            </w:pPr>
            <w:r>
              <w:rPr>
                <w:sz w:val="17"/>
              </w:rPr>
              <w:t>The exercise reference suggests annual salary was entered as monthly income; divide by 12 and document this assumption. In real use, verify source records first.</w:t>
            </w:r>
          </w:p>
        </w:tc>
      </w:tr>
    </w:tbl>
    <w:p>
      <w:pPr>
        <w:pStyle w:val="Heading1"/>
      </w:pPr>
      <w:r>
        <w:t>4. Step 5.2 — Historical approval drivers</w:t>
      </w:r>
    </w:p>
    <w:p>
      <w:r>
        <w:t>Purpose: understand how historical approval rates vary across credit-score bands and employment types. These are associations in past decisions, not proof of causation or future repayment.</w:t>
      </w:r>
    </w:p>
    <w:p>
      <w:pPr>
        <w:pStyle w:val="Heading2"/>
      </w:pPr>
      <w:r>
        <w:t>Credit-score pattern</w:t>
      </w:r>
    </w:p>
    <w:p>
      <w:r>
        <w:t>The notebook reference results show approval of about 2.0% below 600, 3.2% for 600–649, 32.5% for 650–699, 54.4% for 700–749, 77.2% for 750–799 and 85.2% for 800+. The NTC group has a historical approval rate of about 53.9%, so applicants without scores should not be treated as automatic declines.</w:t>
      </w:r>
    </w:p>
    <w:p>
      <w:pPr>
        <w:pStyle w:val="Heading2"/>
      </w:pPr>
      <w:r>
        <w:t>Employment-type pattern</w:t>
      </w:r>
    </w:p>
    <w:p>
      <w:r>
        <w:t>Reference approval rates are approximately 58.4% for Salaried, 51.2% for Business Owner, 50.6% for Self-Employed Professional and 34.9% for Gig / Contract applicants. The analyst should report these differences neutrally and avoid treating employment category alone as proof that an individual is creditworthy or risky.</w:t>
      </w:r>
    </w:p>
    <w:p>
      <w:pPr>
        <w:pStyle w:val="Heading1"/>
      </w:pPr>
      <w:r>
        <w:t>5. Tools and example code</w:t>
      </w:r>
    </w:p>
    <w:p>
      <w:r>
        <w:t>Pandas is used to load and inspect the CSV; NumPy supports numeric operations; Matplotlib/Seaborn are used for visualisations.</w:t>
      </w:r>
    </w:p>
    <w:p>
      <w:pPr>
        <w:spacing w:before="60" w:after="100"/>
        <w:ind w:left="288" w:right="288"/>
      </w:pPr>
      <w:r>
        <w:rPr>
          <w:rFonts w:ascii="Consolas" w:hAnsi="Consolas"/>
          <w:color w:val="23415A"/>
          <w:sz w:val="16"/>
        </w:rPr>
        <w:t>import pandas as pd</w:t>
        <w:br/>
        <w:t>import numpy as np</w:t>
        <w:br/>
        <w:t>import matplotlib.pyplot as plt</w:t>
        <w:br/>
        <w:t>import seaborn as sns</w:t>
        <w:br/>
        <w:br/>
        <w:t>df = pd.read_csv("MUC02_Credit_PreScreening_Dataset 1.csv")</w:t>
        <w:br/>
        <w:t>print(df.shape)</w:t>
        <w:br/>
        <w:t>print(df.head())</w:t>
        <w:br/>
        <w:t>print(df.isnull().sum())</w:t>
        <w:br/>
        <w:t>print(df.dtypes)</w:t>
        <w:br/>
        <w:br/>
        <w:t># Example: historical decision proportions by employment type</w:t>
        <w:br/>
        <w:t>print(pd.crosstab(df["employment_type"], df["decision"], normalize="index") * 100)</w:t>
      </w:r>
    </w:p>
    <w:p>
      <w:pPr>
        <w:pStyle w:val="Heading1"/>
      </w:pPr>
      <w:r>
        <w:t>6. Deliverables from Role 1</w:t>
      </w:r>
    </w:p>
    <w:p>
      <w:pPr>
        <w:pStyle w:val="ListBullet"/>
      </w:pPr>
      <w:r>
        <w:t>CBIM Problem Canvas completed with all six fields before the analysis.</w:t>
      </w:r>
    </w:p>
    <w:p>
      <w:pPr>
        <w:pStyle w:val="ListBullet"/>
      </w:pPr>
      <w:r>
        <w:t>Step 5.1: data inspection, cleaning code and written rationale for each cleaning decision.</w:t>
      </w:r>
    </w:p>
    <w:p>
      <w:pPr>
        <w:pStyle w:val="ListBullet"/>
      </w:pPr>
      <w:r>
        <w:t>Step 5.2: credit-score and employment-type approval tables/charts, each followed by a business interpretation.</w:t>
      </w:r>
    </w:p>
    <w:p>
      <w:pPr>
        <w:pStyle w:val="ListBullet"/>
      </w:pPr>
      <w:r>
        <w:t>A short handoff to Member 2 with the cleaned dataset, NTC treatment and any assumptions documented.</w:t>
      </w:r>
    </w:p>
    <w:p>
      <w:pPr>
        <w:pStyle w:val="Heading1"/>
      </w:pPr>
      <w:r>
        <w:t>7. Handoff notes and limitations</w:t>
      </w:r>
    </w:p>
    <w:p>
      <w:r>
        <w:t>The income correction is an assignment assumption and should be validated against original records in a real system. Historical approval rates describe past policy decisions, not actual default or repayment. Keep the data-cleaning steps reproducible and make sure later team members use the same cleaned dataset and definitions.</w:t>
      </w:r>
    </w:p>
    <w:p>
      <w:pPr>
        <w:pStyle w:val="Heading1"/>
      </w:pPr>
      <w:r>
        <w:t>Role 1 completion checklist</w:t>
      </w:r>
    </w:p>
    <w:p>
      <w:r>
        <w:t>☐ CBIM canvas contains Situation, Complication, Question, SSOT, Success Definition and Stakeholder.</w:t>
      </w:r>
    </w:p>
    <w:p>
      <w:r>
        <w:t>☐ CSV loads from the agreed project folder.</w:t>
      </w:r>
    </w:p>
    <w:p>
      <w:r>
        <w:t>☐ All cleaning decisions include a reason.</w:t>
      </w:r>
    </w:p>
    <w:p>
      <w:r>
        <w:t>☐ Approval rates by credit-score band and employment type are calculated and visualised.</w:t>
      </w:r>
    </w:p>
    <w:p>
      <w:r>
        <w:t>☐ Every chart/result includes a plain-language interpretation.</w:t>
      </w:r>
    </w:p>
    <w:p>
      <w:r>
        <w:t>☐ Findings and cleaned-data assumptions are handed to the team.</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28303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b/>
      <w:bCs/>
      <w:color w:val="193A5C"/>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b/>
      <w:bCs/>
      <w:color w:val="193A5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