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77C7"/>
        </w:rPr>
        <w:t>Willowmere at night</w:t>
      </w:r>
    </w:p>
    <w:p>
      <w:r>
        <w:rPr>
          <w:color w:val="141414"/>
        </w:rPr>
        <w:t>Ink set in a near black.</w:t>
      </w:r>
    </w:p>
    <w:p>
      <w:r>
        <w:t>Ink left to the default.</w:t>
      </w:r>
    </w:p>
    <w:p>
      <w:r>
        <w:rPr>
          <w:color w:themeColor="accent1"/>
        </w:rPr>
        <w:t>Coloured by the theme alone.</w:t>
      </w:r>
    </w:p>
    <w:p>
      <w:r>
        <w:rPr>
          <w:highlight w:val="yellow"/>
        </w:rPr>
        <w:t>Highlighted in yellow.</w:t>
      </w:r>
    </w:p>
    <w:p>
      <w:pPr>
        <w:pBdr>
          <w:bottom w:val="single" w:sz="12" w:space="1" w:color="C81E1E"/>
        </w:pBdr>
        <w:spacing w:after="0"/>
      </w:pPr>
      <w:r>
        <w:t>A paragraph with a rule under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963C"/>
          </w:tcPr>
          <w:p>
            <w:r>
              <w:t>SHADED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94560" cy="1463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94560" cy="1463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