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1" w:lineRule="exact"/>
        <w:jc w:val="left"/>
      </w:pPr>
      <w:r>
        <w:drawing>
          <wp:inline distT="0" distB="0" distL="0" distR="0">
            <wp:extent cx="13824109" cy="647985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4109" cy="647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29027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535"/>
        <w:gridCol w:w="9638"/>
        <w:gridCol w:w="680"/>
        <w:gridCol w:w="9638"/>
        <w:gridCol w:w="4535"/>
      </w:tblGrid>
      <w:tr>
        <w:trPr>
          <w:cantSplit/>
          <w:trHeight w:val="13606" w:hRule="exact"/>
        </w:trPr>
        <w:tc>
          <w:tcPr>
            <w:tcW w:type="dxa" w:w="4535"/>
            <w:shd w:fill="FFFFFF"/>
            <w:tcMar>
              <w:top w:type="dxa" w:w="0"/>
              <w:left w:type="dxa" w:w="170"/>
              <w:bottom w:type="dxa" w:w="0"/>
              <w:right w:type="dxa" w:w="170"/>
            </w:tcMar>
            <w:vAlign w:val="center"/>
          </w:tcPr>
          <w:p>
            <w:pPr>
              <w:spacing w:after="0" w:before="0" w:line="360" w:lineRule="atLeast"/>
              <w:jc w:val="center"/>
            </w:pPr>
            <w:r>
              <w:rPr>
                <w:rFonts w:ascii="汉仪字酷堂会典楷书 W" w:eastAsia="汉仪字酷堂会典楷书 W"/>
                <w:b w:val="false"/>
                <w:bCs w:val="false"/>
                <w:color w:val="912F27"/>
                <w:sz w:val="31"/>
                <w:szCs w:val="31"/>
              </w:rPr>
              <w:t xml:space="preserve">編選識</w:t>
            </w:r>
          </w:p>
          <w:p>
            <w:pPr>
              <w:spacing w:after="0" w:before="0" w:line="220" w:lineRule="atLeast"/>
              <w:jc w:val="center"/>
            </w:pPr>
            <w:r>
              <w:rPr>
                <w:rFonts w:ascii="汉仪昌黎宋刻本原版W" w:eastAsia="汉仪昌黎宋刻本原版W"/>
                <w:b w:val="false"/>
                <w:bCs w:val="false"/>
                <w:color w:val="A79B89"/>
                <w:sz w:val="12"/>
                <w:szCs w:val="12"/>
              </w:rPr>
              <w:t xml:space="preserve">────────────────</w:t>
            </w:r>
          </w:p>
          <w:p>
            <w:pPr>
              <w:spacing w:after="0" w:before="0" w:line="380" w:lineRule="atLeast"/>
              <w:jc w:val="both"/>
            </w:pPr>
            <w:r>
              <w:rPr>
                <w:rFonts w:ascii="汉仪昌黎宋刻本原版W" w:eastAsia="汉仪昌黎宋刻本原版W"/>
                <w:b w:val="false"/>
                <w:bCs w:val="false"/>
                <w:color w:val="201D1A"/>
                <w:sz w:val="19"/>
                <w:szCs w:val="19"/>
              </w:rPr>
              <w:t xml:space="preserve">《岐伯論》五十五冊，通收四千三百九十一篇。本選以文本精研為準繩，考其概念發軔，析其論辯骨架，辨其經世分寸，精裁一百二十篇，使讀者由篇章見全貌，由問題入義理。</w:t>
            </w:r>
          </w:p>
          <w:p>
            <w:pPr>
              <w:spacing w:after="0" w:before="680"/>
              <w:jc w:val="center"/>
            </w:pPr>
            <w:r>
              <w:drawing>
                <wp:inline distT="0" distB="0" distL="0" distR="0">
                  <wp:extent cx="304800" cy="304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38"/>
            <w:shd w:fill="FFFFFF"/>
            <w:tcMar>
              <w:top w:type="dxa" w:w="0"/>
              <w:left w:type="dxa" w:w="170"/>
              <w:bottom w:type="dxa" w:w="0"/>
              <w:right w:type="dxa" w:w="170"/>
            </w:tcMar>
            <w:vAlign w:val="center"/>
          </w:tcPr>
          <w:p>
            <w:pPr>
              <w:spacing w:after="0" w:before="0" w:line="260" w:lineRule="atLeast"/>
              <w:jc w:val="left"/>
            </w:pPr>
            <w:r>
              <w:rPr>
                <w:rFonts w:ascii="汉仪永字夏蝉 95W" w:eastAsia="汉仪永字夏蝉 95W"/>
                <w:b w:val="false"/>
                <w:bCs w:val="false"/>
                <w:color w:val="524D46"/>
                <w:sz w:val="18"/>
                <w:szCs w:val="18"/>
              </w:rPr>
              <w:t xml:space="preserve">岐 伯 論 選  /  全 書 綱 領</w:t>
            </w:r>
          </w:p>
          <w:p>
            <w:pPr>
              <w:spacing w:after="0" w:before="0" w:line="650" w:lineRule="atLeast"/>
              <w:jc w:val="left"/>
            </w:pPr>
            <w:r>
              <w:rPr>
                <w:rFonts w:ascii="汉仪字酷堂会典楷书 W" w:eastAsia="汉仪字酷堂会典楷书 W"/>
                <w:b w:val="false"/>
                <w:bCs w:val="false"/>
                <w:color w:val="912F27"/>
                <w:sz w:val="48"/>
                <w:szCs w:val="48"/>
              </w:rPr>
              <w:t xml:space="preserve">八卷通覽</w:t>
            </w:r>
          </w:p>
          <w:p>
            <w:pPr>
              <w:spacing w:after="0" w:before="0" w:line="340" w:lineRule="atLeast"/>
              <w:jc w:val="left"/>
            </w:pPr>
            <w:r>
              <w:rPr>
                <w:rFonts w:ascii="汉仪昌黎宋刻本原版W" w:eastAsia="汉仪昌黎宋刻本原版W"/>
                <w:b w:val="false"/>
                <w:bCs w:val="false"/>
                <w:color w:val="201D1A"/>
                <w:sz w:val="22"/>
                <w:szCs w:val="22"/>
              </w:rPr>
              <w:t xml:space="preserve">由近及遠，由下學而至上達。八卷相貫，自家庭倫常、人我進退、身心安頓與世事觀察，推至本體之思與格物之用。</w:t>
            </w:r>
          </w:p>
          <w:p>
            <w:pPr>
              <w:spacing w:after="0" w:before="0" w:line="360" w:lineRule="atLeast"/>
              <w:jc w:val="left"/>
            </w:pPr>
            <w:r>
              <w:rPr>
                <w:rFonts w:ascii="汉仪永字夏蝉 95W" w:eastAsia="汉仪永字夏蝉 95W"/>
                <w:b w:val="false"/>
                <w:bCs w:val="false"/>
                <w:color w:val="912F27"/>
                <w:sz w:val="21"/>
                <w:szCs w:val="21"/>
              </w:rPr>
              <w:t xml:space="preserve">卷一　本根敦倫　　家庭、宗族與代際契約</w:t>
            </w:r>
          </w:p>
          <w:p>
            <w:pPr>
              <w:spacing w:after="0" w:before="0" w:line="360" w:lineRule="atLeast"/>
              <w:jc w:val="left"/>
            </w:pPr>
            <w:r>
              <w:rPr>
                <w:rFonts w:ascii="汉仪永字夏蝉 95W" w:eastAsia="汉仪永字夏蝉 95W"/>
                <w:b w:val="false"/>
                <w:bCs w:val="false"/>
                <w:color w:val="912F27"/>
                <w:sz w:val="21"/>
                <w:szCs w:val="21"/>
              </w:rPr>
              <w:t xml:space="preserve">卷二　陰陽合離　　兩性名理與婚戀契約</w:t>
            </w:r>
          </w:p>
          <w:p>
            <w:pPr>
              <w:spacing w:after="0" w:before="0" w:line="360" w:lineRule="atLeast"/>
              <w:jc w:val="left"/>
            </w:pPr>
            <w:r>
              <w:rPr>
                <w:rFonts w:ascii="汉仪永字夏蝉 95W" w:eastAsia="汉仪永字夏蝉 95W"/>
                <w:b w:val="false"/>
                <w:bCs w:val="false"/>
                <w:color w:val="912F27"/>
                <w:sz w:val="21"/>
                <w:szCs w:val="21"/>
              </w:rPr>
              <w:t xml:space="preserve">卷三　酬酢進退　　人我邊界與應世防身</w:t>
            </w:r>
          </w:p>
          <w:p>
            <w:pPr>
              <w:spacing w:after="0" w:before="0" w:line="360" w:lineRule="atLeast"/>
              <w:jc w:val="left"/>
            </w:pPr>
            <w:r>
              <w:rPr>
                <w:rFonts w:ascii="汉仪永字夏蝉 95W" w:eastAsia="汉仪永字夏蝉 95W"/>
                <w:b w:val="false"/>
                <w:bCs w:val="false"/>
                <w:color w:val="912F27"/>
                <w:sz w:val="21"/>
                <w:szCs w:val="21"/>
              </w:rPr>
              <w:t xml:space="preserve">卷四　存神調息　　身心安頓與生命節律</w:t>
            </w:r>
          </w:p>
          <w:p>
            <w:pPr>
              <w:spacing w:after="0" w:before="0" w:line="360" w:lineRule="atLeast"/>
              <w:jc w:val="left"/>
            </w:pPr>
            <w:r>
              <w:rPr>
                <w:rFonts w:ascii="汉仪永字夏蝉 95W" w:eastAsia="汉仪永字夏蝉 95W"/>
                <w:b w:val="false"/>
                <w:bCs w:val="false"/>
                <w:color w:val="912F27"/>
                <w:sz w:val="21"/>
                <w:szCs w:val="21"/>
              </w:rPr>
              <w:t xml:space="preserve">卷五　度勢居貨　　職場博弈與資財籌謀</w:t>
            </w:r>
          </w:p>
          <w:p>
            <w:pPr>
              <w:spacing w:after="0" w:before="0" w:line="360" w:lineRule="atLeast"/>
              <w:jc w:val="left"/>
            </w:pPr>
            <w:r>
              <w:rPr>
                <w:rFonts w:ascii="汉仪永字夏蝉 95W" w:eastAsia="汉仪永字夏蝉 95W"/>
                <w:b w:val="false"/>
                <w:bCs w:val="false"/>
                <w:color w:val="912F27"/>
                <w:sz w:val="21"/>
                <w:szCs w:val="21"/>
              </w:rPr>
              <w:t xml:space="preserve">卷六　觀風察變　　時代思潮與世相反思</w:t>
            </w:r>
          </w:p>
          <w:p>
            <w:pPr>
              <w:spacing w:after="0" w:before="0" w:line="360" w:lineRule="atLeast"/>
              <w:jc w:val="left"/>
            </w:pPr>
            <w:r>
              <w:rPr>
                <w:rFonts w:ascii="汉仪永字夏蝉 95W" w:eastAsia="汉仪永字夏蝉 95W"/>
                <w:b w:val="false"/>
                <w:bCs w:val="false"/>
                <w:color w:val="912F27"/>
                <w:sz w:val="21"/>
                <w:szCs w:val="21"/>
              </w:rPr>
              <w:t xml:space="preserve">卷七　滌除玄覽　　本體哲學與心智模型</w:t>
            </w:r>
          </w:p>
          <w:p>
            <w:pPr>
              <w:spacing w:after="0" w:before="0" w:line="360" w:lineRule="atLeast"/>
              <w:jc w:val="left"/>
            </w:pPr>
            <w:r>
              <w:rPr>
                <w:rFonts w:ascii="汉仪永字夏蝉 95W" w:eastAsia="汉仪永字夏蝉 95W"/>
                <w:b w:val="false"/>
                <w:bCs w:val="false"/>
                <w:color w:val="912F27"/>
                <w:sz w:val="21"/>
                <w:szCs w:val="21"/>
              </w:rPr>
              <w:t xml:space="preserve">卷八　格物鑄器　　百工技藝與造物實相</w:t>
            </w:r>
          </w:p>
        </w:tc>
        <w:tc>
          <w:tcPr>
            <w:tcW w:type="dxa" w:w="680"/>
            <w:shd w:fill="302D2A"/>
            <w:tcMar>
              <w:top w:type="dxa" w:w="0"/>
              <w:left w:type="dxa" w:w="170"/>
              <w:bottom w:type="dxa" w:w="0"/>
              <w:right w:type="dxa" w:w="170"/>
            </w:tcMar>
            <w:vAlign w:val="center"/>
          </w:tcPr>
          <w:p>
            <w:pPr>
              <w:spacing w:after="0" w:before="0" w:line="480" w:lineRule="atLeast"/>
              <w:jc w:val="center"/>
            </w:pPr>
            <w:r>
              <w:rPr>
                <w:rFonts w:ascii="汉仪字酷堂会典楷书 W" w:eastAsia="汉仪字酷堂会典楷书 W"/>
                <w:b w:val="false"/>
                <w:bCs w:val="false"/>
                <w:color w:val="FFFFFF"/>
                <w:sz w:val="30"/>
                <w:szCs w:val="30"/>
              </w:rPr>
              <w:t xml:space="preserve">岐</w:t>
            </w:r>
          </w:p>
          <w:p>
            <w:pPr>
              <w:spacing w:after="0" w:before="0" w:line="480" w:lineRule="atLeast"/>
              <w:jc w:val="center"/>
            </w:pPr>
            <w:r>
              <w:rPr>
                <w:rFonts w:ascii="汉仪字酷堂会典楷书 W" w:eastAsia="汉仪字酷堂会典楷书 W"/>
                <w:b w:val="false"/>
                <w:bCs w:val="false"/>
                <w:color w:val="FFFFFF"/>
                <w:sz w:val="30"/>
                <w:szCs w:val="30"/>
              </w:rPr>
              <w:t xml:space="preserve">伯</w:t>
            </w:r>
          </w:p>
          <w:p>
            <w:pPr>
              <w:spacing w:after="0" w:before="0" w:line="480" w:lineRule="atLeast"/>
              <w:jc w:val="center"/>
            </w:pPr>
            <w:r>
              <w:rPr>
                <w:rFonts w:ascii="汉仪字酷堂会典楷书 W" w:eastAsia="汉仪字酷堂会典楷书 W"/>
                <w:b w:val="false"/>
                <w:bCs w:val="false"/>
                <w:color w:val="FFFFFF"/>
                <w:sz w:val="30"/>
                <w:szCs w:val="30"/>
              </w:rPr>
              <w:t xml:space="preserve">論</w:t>
            </w:r>
          </w:p>
          <w:p>
            <w:pPr>
              <w:spacing w:after="0" w:before="0" w:line="620" w:lineRule="atLeast"/>
              <w:jc w:val="center"/>
            </w:pPr>
            <w:r>
              <w:rPr>
                <w:rFonts w:ascii="汉仪字酷堂会典楷书 W" w:eastAsia="汉仪字酷堂会典楷书 W"/>
                <w:b w:val="false"/>
                <w:bCs w:val="false"/>
                <w:color w:val="FFFFFF"/>
                <w:sz w:val="30"/>
                <w:szCs w:val="30"/>
              </w:rPr>
              <w:t xml:space="preserve">選</w:t>
            </w:r>
          </w:p>
          <w:p>
            <w:pPr>
              <w:spacing w:after="0" w:before="0" w:line="300" w:lineRule="atLeast"/>
              <w:jc w:val="center"/>
            </w:pPr>
            <w:r>
              <w:rPr>
                <w:rFonts w:ascii="汉仪永字夏蝉 95W" w:eastAsia="汉仪永字夏蝉 95W"/>
                <w:b w:val="false"/>
                <w:bCs w:val="false"/>
                <w:color w:val="FFFFFF"/>
                <w:sz w:val="12"/>
                <w:szCs w:val="12"/>
              </w:rPr>
              <w:t xml:space="preserve">一百二十篇</w:t>
            </w:r>
          </w:p>
          <w:p>
            <w:pPr>
              <w:spacing w:after="0" w:before="0" w:line="240" w:lineRule="atLeast"/>
              <w:jc w:val="center"/>
            </w:pPr>
            <w:r>
              <w:rPr>
                <w:rFonts w:ascii="汉仪昌黎宋刻本原版W" w:eastAsia="汉仪昌黎宋刻本原版W"/>
                <w:b w:val="false"/>
                <w:bCs w:val="false"/>
                <w:color w:val="F4F0E9"/>
                <w:sz w:val="11"/>
                <w:szCs w:val="11"/>
              </w:rPr>
              <w:t xml:space="preserve">鵬城</w:t>
            </w:r>
          </w:p>
        </w:tc>
        <w:tc>
          <w:tcPr>
            <w:tcW w:type="dxa" w:w="9638"/>
            <w:shd w:fill="FFFFFF"/>
            <w:tcMar>
              <w:top w:type="dxa" w:w="0"/>
              <w:left w:type="dxa" w:w="170"/>
              <w:bottom w:type="dxa" w:w="0"/>
              <w:right w:type="dxa" w:w="170"/>
            </w:tcMar>
            <w:vAlign w:val="center"/>
          </w:tcPr>
          <w:p>
            <w:pPr>
              <w:spacing w:after="0" w:before="0" w:line="340" w:lineRule="atLeast"/>
              <w:jc w:val="center"/>
            </w:pPr>
            <w:r>
              <w:rPr>
                <w:rFonts w:ascii="汉仪永字夏蝉 95W" w:eastAsia="汉仪永字夏蝉 95W"/>
                <w:b w:val="false"/>
                <w:bCs w:val="false"/>
                <w:color w:val="524D46"/>
                <w:sz w:val="20"/>
                <w:szCs w:val="20"/>
              </w:rPr>
              <w:t xml:space="preserve">全 息 實 存 哲 學  ·  一 百 二 十 篇</w:t>
            </w:r>
          </w:p>
          <w:p>
            <w:pPr>
              <w:spacing w:after="0" w:before="0" w:line="1750" w:lineRule="atLeast"/>
              <w:jc w:val="center"/>
            </w:pPr>
            <w:r>
              <w:rPr>
                <w:rFonts w:ascii="汉仪昌黎宋刻本原版W" w:eastAsia="汉仪昌黎宋刻本原版W"/>
                <w:b w:val="false"/>
                <w:bCs w:val="false"/>
                <w:color w:val="201D1A"/>
                <w:sz w:val="22"/>
                <w:szCs w:val="22"/>
              </w:rPr>
              <w:t xml:space="preserve"/>
            </w:r>
          </w:p>
          <w:p>
            <w:pPr>
              <w:spacing w:after="0" w:before="0" w:line="1500" w:lineRule="atLeast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201D1A"/>
                <w:sz w:val="120"/>
                <w:szCs w:val="120"/>
              </w:rPr>
              <w:t xml:space="preserve">岐伯論選</w:t>
            </w:r>
          </w:p>
          <w:p>
            <w:pPr>
              <w:spacing w:after="0" w:before="0" w:line="420" w:lineRule="atLeast"/>
              <w:jc w:val="center"/>
            </w:pPr>
            <w:r>
              <w:rPr>
                <w:rFonts w:ascii="汉仪昌黎宋刻本原版W" w:eastAsia="汉仪昌黎宋刻本原版W"/>
                <w:b w:val="false"/>
                <w:bCs w:val="false"/>
                <w:color w:val="912F27"/>
                <w:sz w:val="32"/>
                <w:szCs w:val="32"/>
              </w:rPr>
              <w:t xml:space="preserve">典 藏 精 編 本</w:t>
            </w:r>
          </w:p>
          <w:p>
            <w:pPr>
              <w:spacing w:after="0" w:before="0" w:line="1500" w:lineRule="atLeast"/>
              <w:jc w:val="center"/>
            </w:pPr>
            <w:r>
              <w:rPr>
                <w:rFonts w:ascii="汉仪昌黎宋刻本原版W" w:eastAsia="汉仪昌黎宋刻本原版W"/>
                <w:b w:val="false"/>
                <w:bCs w:val="false"/>
                <w:color w:val="201D1A"/>
                <w:sz w:val="22"/>
                <w:szCs w:val="22"/>
              </w:rPr>
              <w:t xml:space="preserve"/>
            </w:r>
          </w:p>
          <w:p>
            <w:pPr>
              <w:spacing w:after="0" w:before="0" w:line="540" w:lineRule="atLeast"/>
              <w:jc w:val="center"/>
            </w:pPr>
            <w:r>
              <w:rPr>
                <w:rFonts w:ascii="汉仪永字夏蝉 95W" w:eastAsia="汉仪永字夏蝉 95W"/>
                <w:b w:val="false"/>
                <w:bCs w:val="false"/>
                <w:color w:val="524D46"/>
                <w:sz w:val="40"/>
                <w:szCs w:val="40"/>
              </w:rPr>
              <w:t xml:space="preserve">立骨於濁世　求道於近思</w:t>
            </w:r>
          </w:p>
          <w:p>
            <w:pPr>
              <w:spacing w:after="0" w:before="0" w:line="900" w:lineRule="atLeast"/>
              <w:jc w:val="center"/>
            </w:pPr>
            <w:r>
              <w:rPr>
                <w:rFonts w:ascii="汉仪昌黎宋刻本原版W" w:eastAsia="汉仪昌黎宋刻本原版W"/>
                <w:b w:val="false"/>
                <w:bCs w:val="false"/>
                <w:color w:val="201D1A"/>
                <w:sz w:val="22"/>
                <w:szCs w:val="22"/>
              </w:rPr>
              <w:t xml:space="preserve"/>
            </w:r>
          </w:p>
          <w:p>
            <w:pPr>
              <w:spacing w:after="0" w:before="0" w:line="300" w:lineRule="atLeast"/>
              <w:jc w:val="center"/>
            </w:pPr>
            <w:r>
              <w:rPr>
                <w:rFonts w:ascii="汉仪昌黎宋刻本原版W" w:eastAsia="汉仪昌黎宋刻本原版W"/>
                <w:b w:val="false"/>
                <w:bCs w:val="false"/>
                <w:color w:val="524D46"/>
                <w:sz w:val="20"/>
                <w:szCs w:val="20"/>
              </w:rPr>
              <w:t xml:space="preserve">歲在丙午金秋　成杰囑命編纂　·　鵬城謹製</w:t>
            </w:r>
          </w:p>
        </w:tc>
        <w:tc>
          <w:tcPr>
            <w:tcW w:type="dxa" w:w="4535"/>
            <w:shd w:fill="FFFFFF"/>
            <w:tcMar>
              <w:top w:type="dxa" w:w="0"/>
              <w:left w:type="dxa" w:w="170"/>
              <w:bottom w:type="dxa" w:w="0"/>
              <w:right w:type="dxa" w:w="170"/>
            </w:tcMar>
            <w:vAlign w:val="center"/>
          </w:tcPr>
          <w:p>
            <w:pPr>
              <w:spacing w:after="0" w:before="0" w:line="360" w:lineRule="atLeast"/>
              <w:jc w:val="center"/>
            </w:pPr>
            <w:r>
              <w:rPr>
                <w:rFonts w:ascii="汉仪字酷堂会典楷书 W" w:eastAsia="汉仪字酷堂会典楷书 W"/>
                <w:b w:val="false"/>
                <w:bCs w:val="false"/>
                <w:color w:val="912F27"/>
                <w:sz w:val="31"/>
                <w:szCs w:val="31"/>
              </w:rPr>
              <w:t xml:space="preserve">讀法指要</w:t>
            </w:r>
          </w:p>
          <w:p>
            <w:pPr>
              <w:spacing w:after="0" w:before="0" w:line="220" w:lineRule="atLeast"/>
              <w:jc w:val="center"/>
            </w:pPr>
            <w:r>
              <w:rPr>
                <w:rFonts w:ascii="汉仪昌黎宋刻本原版W" w:eastAsia="汉仪昌黎宋刻本原版W"/>
                <w:b w:val="false"/>
                <w:bCs w:val="false"/>
                <w:color w:val="A79B89"/>
                <w:sz w:val="12"/>
                <w:szCs w:val="12"/>
              </w:rPr>
              <w:t xml:space="preserve">────────────────</w:t>
            </w:r>
          </w:p>
          <w:p>
            <w:pPr>
              <w:spacing w:after="0" w:before="0" w:line="380" w:lineRule="atLeast"/>
              <w:jc w:val="both"/>
            </w:pPr>
            <w:r>
              <w:rPr>
                <w:rFonts w:ascii="汉仪昌黎宋刻本原版W" w:eastAsia="汉仪昌黎宋刻本原版W"/>
                <w:b w:val="false"/>
                <w:bCs w:val="false"/>
                <w:color w:val="201D1A"/>
                <w:sz w:val="19"/>
                <w:szCs w:val="19"/>
              </w:rPr>
              <w:t xml:space="preserve">切己體察，莫作看客。順藤摸瓜，統攬脈絡。得意忘言，貴在踐履。篇目循八卷次第編排，宜先通讀全編以見其體，再就專題反覆涵泳以得其用。</w:t>
            </w:r>
          </w:p>
          <w:p>
            <w:pPr>
              <w:spacing w:after="0" w:before="680"/>
              <w:jc w:val="center"/>
            </w:pPr>
            <w:r>
              <w:drawing>
                <wp:inline distT="0" distB="0" distL="0" distR="0">
                  <wp:extent cx="304800" cy="304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29027" w:h="13606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df3947571687c6492d238aedfd360ddc6277827.png"/><Relationship Id="rId8" Type="http://schemas.openxmlformats.org/officeDocument/2006/relationships/image" Target="media/2310c8300840113e23142b893374f3b3a55cd4a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2026-10-20T11:24:44.819Z</dcterms:created>
  <dcterms:modified xsi:type="dcterms:W3CDTF">2026-10-20T11:24:44.820Z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