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745"/>
        <w:jc w:val="left"/>
        <w:tblInd w:type="dxa" w:w="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4535"/>
        <w:gridCol w:w="9638"/>
        <w:gridCol w:w="2398"/>
        <w:gridCol w:w="9638"/>
        <w:gridCol w:w="4535"/>
      </w:tblGrid>
      <w:tr>
        <w:trPr>
          <w:cantSplit/>
          <w:trHeight w:val="13549"/>
        </w:trPr>
        <w:tc>
          <w:tcPr>
            <w:tcW w:type="dxa" w:w="4535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31"/>
                <w:szCs w:val="31"/>
              </w:rPr>
              <w:t xml:space="preserve">編選識</w:t>
            </w:r>
          </w:p>
          <w:p>
            <w:pPr>
              <w:spacing w:after="0" w:before="0" w:line="2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A79B89"/>
                <w:sz w:val="12"/>
                <w:szCs w:val="12"/>
              </w:rPr>
              <w:t xml:space="preserve">────────────────</w:t>
            </w:r>
          </w:p>
          <w:p>
            <w:pPr>
              <w:spacing w:after="0" w:before="0" w:line="380" w:lineRule="atLeast"/>
              <w:jc w:val="both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19"/>
                <w:szCs w:val="19"/>
              </w:rPr>
              <w:t xml:space="preserve">《岐伯論》五十五冊，通收四千三百九十一篇。本選以文本精研為準繩，考其概念發軔，析其論辯骨架，辨其經世分寸，精裁一百二十篇，使讀者由篇章見全貌，由問題入義理。</w:t>
            </w:r>
          </w:p>
          <w:p>
            <w:pPr>
              <w:spacing w:after="0" w:before="68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638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2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18"/>
                <w:szCs w:val="18"/>
              </w:rPr>
              <w:t xml:space="preserve">岐 伯 論 選  /  全 書 綱 領</w:t>
            </w:r>
          </w:p>
          <w:p>
            <w:pPr>
              <w:spacing w:after="0" w:before="0" w:line="650" w:lineRule="atLeast"/>
              <w:jc w:val="left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48"/>
                <w:szCs w:val="48"/>
              </w:rPr>
              <w:t xml:space="preserve">八卷通覽</w:t>
            </w:r>
          </w:p>
          <w:p>
            <w:pPr>
              <w:spacing w:after="0" w:before="0" w:line="340" w:lineRule="atLeast"/>
              <w:jc w:val="left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>由近及遠，由下學而至上達。八卷相貫，自家庭倫常、人我進退、身心安頓與世事觀察，推至本體之思與格物之用。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卷一　本根敦倫　　家庭、宗族與代際契約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卷二　陰陽合離　　兩性名理與婚戀契約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卷三　酬酢進退　　人我邊界與應世防身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卷四　存神調息　　身心安頓與生命節律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卷五　度勢居貨　　職場博弈與資財籌謀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卷六　觀風察變　　時代思潮與世相反思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卷七　滌除玄覽　　本體哲學與心智模型</w:t>
            </w:r>
          </w:p>
          <w:p>
            <w:pPr>
              <w:spacing w:after="0" w:before="0" w:line="360" w:lineRule="atLeast"/>
              <w:jc w:val="left"/>
            </w:pPr>
            <w:r>
              <w:rPr>
                <w:rFonts w:ascii="汉仪永字夏蝉 95W" w:eastAsia="汉仪永字夏蝉 95W"/>
                <w:b w:val="false"/>
                <w:bCs w:val="false"/>
                <w:color w:val="912F27"/>
                <w:sz w:val="21"/>
                <w:szCs w:val="21"/>
              </w:rPr>
              <w:t xml:space="preserve">卷八　格物鑄器　　百工技藝與造物實相</w:t>
            </w:r>
          </w:p>
        </w:tc>
        <w:tc>
          <w:tcPr>
            <w:tcW w:type="dxa" w:w="2398"/>
            <w:shd w:fill="302D2A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岐</w:t>
            </w:r>
          </w:p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伯</w:t>
            </w:r>
          </w:p>
          <w:p>
            <w:pPr>
              <w:spacing w:after="0" w:before="0" w:line="48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論</w:t>
            </w:r>
          </w:p>
          <w:p>
            <w:pPr>
              <w:spacing w:after="0" w:before="0" w:line="62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FFFFFF"/>
                <w:sz w:val="30"/>
                <w:szCs w:val="30"/>
              </w:rPr>
              <w:t xml:space="preserve">選</w:t>
            </w:r>
          </w:p>
          <w:p>
            <w:pPr>
              <w:spacing w:after="0" w:before="0" w:line="30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FFFFFF"/>
                <w:sz w:val="12"/>
                <w:szCs w:val="12"/>
              </w:rPr>
              <w:t xml:space="preserve">一百二十篇</w:t>
            </w:r>
          </w:p>
          <w:p>
            <w:pPr>
              <w:spacing w:after="0" w:before="0" w:line="24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F4F0E9"/>
                <w:sz w:val="11"/>
                <w:szCs w:val="11"/>
              </w:rPr>
              <w:t xml:space="preserve">鵬城</w:t>
            </w:r>
          </w:p>
        </w:tc>
        <w:tc>
          <w:tcPr>
            <w:tcW w:type="dxa" w:w="9638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4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20"/>
                <w:szCs w:val="20"/>
              </w:rPr>
              <w:t xml:space="preserve">全 息 實 存 哲 學  ·  一 百 二 十 篇</w:t>
            </w:r>
          </w:p>
          <w:p>
            <w:pPr>
              <w:spacing w:after="0" w:before="0" w:line="175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1500" w:lineRule="atLeast"/>
              <w:jc w:val="center"/>
            </w:pPr>
            <w:r>
              <w:rPr>
                <w:rFonts w:ascii="汉仪字酷堂会典楷书 W" w:eastAsia="汉仪字酷堂会典楷书 W"/>
                <w:b/>
                <w:bCs/>
                <w:color w:val="201D1A"/>
                <w:sz w:val="120"/>
                <w:szCs w:val="120"/>
              </w:rPr>
              <w:t xml:space="preserve">岐伯論選</w:t>
            </w:r>
          </w:p>
          <w:p>
            <w:pPr>
              <w:spacing w:after="0" w:before="0" w:line="4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912F27"/>
                <w:sz w:val="32"/>
                <w:szCs w:val="32"/>
              </w:rPr>
              <w:t xml:space="preserve">典 藏 精 編 本</w:t>
            </w:r>
          </w:p>
          <w:p>
            <w:pPr>
              <w:spacing w:after="0" w:before="0" w:line="15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540" w:lineRule="atLeast"/>
              <w:jc w:val="center"/>
            </w:pPr>
            <w:r>
              <w:rPr>
                <w:rFonts w:ascii="汉仪永字夏蝉 95W" w:eastAsia="汉仪永字夏蝉 95W"/>
                <w:b w:val="false"/>
                <w:bCs w:val="false"/>
                <w:color w:val="524D46"/>
                <w:sz w:val="40"/>
                <w:szCs w:val="40"/>
              </w:rPr>
              <w:t xml:space="preserve">立骨於濁世　求道於近思</w:t>
            </w:r>
          </w:p>
          <w:p>
            <w:pPr>
              <w:spacing w:after="0" w:before="0" w:line="9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22"/>
                <w:szCs w:val="22"/>
              </w:rPr>
              <w:t xml:space="preserve"/>
            </w:r>
          </w:p>
          <w:p>
            <w:pPr>
              <w:spacing w:after="0" w:before="0" w:line="30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524D46"/>
                <w:sz w:val="20"/>
                <w:szCs w:val="20"/>
              </w:rPr>
              <w:t xml:space="preserve">歲在丙午金秋　成杰囑命編纂　·　鵬城謹製</w:t>
            </w:r>
          </w:p>
        </w:tc>
        <w:tc>
          <w:tcPr>
            <w:tcW w:type="dxa" w:w="4535"/>
            <w:shd w:fill="FFFFFF"/>
            <w:tcMar>
              <w:top w:type="dxa" w:w="0"/>
              <w:left w:type="dxa" w:w="170"/>
              <w:bottom w:type="dxa" w:w="0"/>
              <w:right w:type="dxa" w:w="170"/>
            </w:tcMar>
            <w:vAlign w:val="center"/>
          </w:tcPr>
          <w:p>
            <w:pPr>
              <w:spacing w:after="0" w:before="0" w:line="360" w:lineRule="atLeast"/>
              <w:jc w:val="center"/>
            </w:pPr>
            <w:r>
              <w:rPr>
                <w:rFonts w:ascii="汉仪字酷堂会典楷书 W" w:eastAsia="汉仪字酷堂会典楷书 W"/>
                <w:b w:val="false"/>
                <w:bCs w:val="false"/>
                <w:color w:val="912F27"/>
                <w:sz w:val="31"/>
                <w:szCs w:val="31"/>
              </w:rPr>
              <w:t xml:space="preserve">讀法指要</w:t>
            </w:r>
          </w:p>
          <w:p>
            <w:pPr>
              <w:spacing w:after="0" w:before="0" w:line="220" w:lineRule="atLeast"/>
              <w:jc w:val="center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A79B89"/>
                <w:sz w:val="12"/>
                <w:szCs w:val="12"/>
              </w:rPr>
              <w:t xml:space="preserve">────────────────</w:t>
            </w:r>
          </w:p>
          <w:p>
            <w:pPr>
              <w:spacing w:after="0" w:before="0" w:line="380" w:lineRule="atLeast"/>
              <w:jc w:val="both"/>
            </w:pPr>
            <w:r>
              <w:rPr>
                <w:rFonts w:ascii="汉仪昌黎宋刻本原版W" w:eastAsia="汉仪昌黎宋刻本原版W"/>
                <w:b w:val="false"/>
                <w:bCs w:val="false"/>
                <w:color w:val="201D1A"/>
                <w:sz w:val="19"/>
                <w:szCs w:val="19"/>
              </w:rPr>
              <w:t xml:space="preserve">切己體察，莫作看客。順藤摸瓜，統攬脈絡。得意忘言，貴在踐履。篇目循八卷次第編排，宜先通讀全編以見其體，再就專題反覆涵泳以得其用。</w:t>
            </w:r>
          </w:p>
          <w:p>
            <w:pPr>
              <w:spacing w:after="0" w:before="680"/>
              <w:jc w:val="center"/>
            </w:pPr>
            <w:r>
              <w:drawing>
                <wp:inline distT="0" distB="0" distL="0" distR="0">
                  <wp:extent cx="304800" cy="3048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48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>
      <w:headerReference w:type="default" r:id="rId7"/>
      <w:pgSz w:w="30745" w:h="13606" w:orient="portrait"/>
      <w:pgMar w:top="0" w:right="0" w:bottom="0" w:left="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  <w:jc w:val="left"/>
    </w:pPr>
    <w:r>
      <w:drawing>
        <wp:inline distT="0" distB="0" distL="0" distR="0">
          <wp:extent cx="14642306" cy="6479858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642306" cy="64798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2310c8300840113e23142b893374f3b3a55cd4a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0d13c2c838c250f330344be85dc63be52582c5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2026-10-20T12:07:28.594Z</dcterms:created>
  <dcterms:modified xsi:type="dcterms:W3CDTF">2026-10-20T12:07:28.595Z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