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er+xml" PartName="/word/footer4.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280"/>
        <w:tblBorders>
          <w:top w:val="double" w:color="7A7368" w:sz="12"/>
          <w:left w:val="single" w:color="7A7368" w:sz="8"/>
          <w:bottom w:val="double" w:color="7A7368" w:sz="12"/>
          <w:right w:val="single" w:color="7A7368" w:sz="8"/>
          <w:insideH w:val="none" w:sz="0"/>
          <w:insideV w:val="none" w:sz="0"/>
        </w:tblBorders>
      </w:tblPr>
      <w:tblGrid>
        <w:gridCol w:w="100"/>
      </w:tblGrid>
      <w:tr>
        <w:trPr>
          <w:cantSplit/>
          <w:trHeight w:val="14318" w:hRule="exact"/>
        </w:trPr>
        <w:tc>
          <w:tcPr>
            <w:tcW w:type="dxa" w:w="9280"/>
            <w:tcMar>
              <w:top w:type="dxa" w:w="200"/>
              <w:left w:type="dxa" w:w="180"/>
              <w:bottom w:type="dxa" w:w="200"/>
              <w:right w:type="dxa" w:w="180"/>
            </w:tcMar>
            <w:vAlign w:val="center"/>
          </w:tcPr>
          <w:p>
            <w:pPr>
              <w:snapToGrid w:val="0"/>
              <w:spacing w:after="260" w:before="1500" w:line="480" w:lineRule="atLeast"/>
              <w:jc w:val="center"/>
            </w:pPr>
            <w:r>
              <w:rPr>
                <w:rFonts w:ascii="方正王羲之行书 简繁" w:cs="方正王羲之行书 简繁" w:eastAsia="方正王羲之行书 简繁" w:hAnsi="方正王羲之行书 简繁"/>
                <w:color w:val="8F2D26"/>
                <w:sz w:val="220"/>
                <w:szCs w:val="220"/>
              </w:rPr>
              <w:t xml:space="preserve">岐  伯  論</w:t>
            </w:r>
          </w:p>
          <w:p>
            <w:pPr>
              <w:snapToGrid w:val="0"/>
              <w:spacing w:after="520" w:before="0" w:line="360" w:lineRule="atLeast"/>
              <w:jc w:val="center"/>
            </w:pPr>
            <w:r>
              <w:rPr>
                <w:rFonts w:ascii="汉仪松竹梅 U" w:cs="汉仪松竹梅 U" w:eastAsia="汉仪松竹梅 U" w:hAnsi="汉仪松竹梅 U"/>
                <w:color w:val="5C544D"/>
                <w:sz w:val="36"/>
                <w:szCs w:val="36"/>
              </w:rPr>
              <w:t xml:space="preserve">【 卷  一 】</w:t>
            </w:r>
          </w:p>
          <w:p>
            <w:pPr>
              <w:snapToGrid w:val="0"/>
              <w:spacing w:after="520" w:before="0" w:line="360" w:lineRule="atLeast"/>
              <w:jc w:val="center"/>
            </w:pPr>
            <w:r>
              <w:rPr>
                <w:rFonts w:ascii="方正爨宝子碑楷书 简繁" w:cs="方正爨宝子碑楷书 简繁" w:eastAsia="方正爨宝子碑楷书 简繁" w:hAnsi="方正爨宝子碑楷书 简繁"/>
                <w:color w:val="5C544D"/>
                <w:sz w:val="72"/>
                <w:szCs w:val="72"/>
              </w:rPr>
              <w:t xml:space="preserve">本根敦倫</w:t>
            </w:r>
          </w:p>
          <w:p>
            <w:pPr>
              <w:pBdr>
                <w:bottom w:val="double" w:color="7A7368" w:sz="12" w:space="12"/>
              </w:pBdr>
              <w:snapToGrid w:val="0"/>
              <w:spacing w:after="260" w:before="0" w:line="700" w:lineRule="atLeast"/>
              <w:jc w:val="center"/>
            </w:pPr>
            <w:r>
              <w:rPr>
                <w:rFonts w:ascii="汉仪字酷堂会典楷书 W" w:cs="汉仪字酷堂会典楷书 W" w:eastAsia="汉仪字酷堂会典楷书 W" w:hAnsi="汉仪字酷堂会典楷书 W"/>
                <w:b/>
                <w:bCs/>
                <w:color w:val="1A1715"/>
                <w:sz w:val="56"/>
                <w:szCs w:val="56"/>
              </w:rPr>
              <w:t xml:space="preserve">癸冊 · 臨終關懷與白事奠儀</w:t>
            </w:r>
          </w:p>
          <w:p>
            <w:pPr>
              <w:snapToGrid w:val="0"/>
              <w:spacing w:after="1500" w:before="340" w:line="340" w:lineRule="atLeast"/>
              <w:jc w:val="center"/>
            </w:pPr>
            <w:r>
              <w:rPr>
                <w:rFonts w:ascii="方正礼器碑隶书 简繁" w:cs="方正礼器碑隶书 简繁" w:eastAsia="方正礼器碑隶书 简繁" w:hAnsi="方正礼器碑隶书 简繁"/>
                <w:color w:val="8C857B"/>
                <w:sz w:val="22"/>
                <w:szCs w:val="22"/>
              </w:rPr>
              <w:t xml:space="preserve">全冊通收10篇 · 研讀批校工作本</w:t>
            </w:r>
          </w:p>
          <w:p>
            <w:pPr>
              <w:snapToGrid w:val="0"/>
              <w:spacing w:after="1500" w:before="340" w:line="340" w:lineRule="atLeast"/>
              <w:jc w:val="center"/>
            </w:pPr>
            <w:r>
              <w:drawing>
                <wp:inline distT="0" distB="0" distL="0" distR="0">
                  <wp:extent cx="460058" cy="460058"/>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60058" cy="460058"/>
                          </a:xfrm>
                          <a:prstGeom prst="rect">
                            <a:avLst/>
                          </a:prstGeom>
                        </pic:spPr>
                      </pic:pic>
                    </a:graphicData>
                  </a:graphic>
                </wp:inline>
              </w:drawing>
            </w:r>
          </w:p>
        </w:tc>
      </w:tr>
    </w:tbl>
    <w:p>
      <w:pPr>
        <w:snapToGrid w:val="0"/>
        <w:spacing w:after="0" w:before="0" w:line="20" w:lineRule="exact"/>
      </w:pPr>
    </w:p>
    <w:tbl>
      <w:tblPr>
        <w:tblW w:type="dxa" w:w="9280"/>
        <w:tblBorders>
          <w:top w:val="none"/>
          <w:left w:val="none"/>
          <w:bottom w:val="none"/>
          <w:right w:val="none"/>
          <w:insideH w:val="none"/>
          <w:insideV w:val="none"/>
        </w:tblBorders>
        <w:tblLayout w:type="fixed"/>
      </w:tblPr>
      <w:tblGrid>
        <w:gridCol w:w="9280"/>
      </w:tblGrid>
      <w:tr>
        <w:trPr>
          <w:cantSplit/>
          <w:trHeight w:val="14318" w:hRule="exact"/>
        </w:trPr>
        <w:tc>
          <w:tcPr>
            <w:tcW w:type="dxa" w:w="9280"/>
            <w:tcMar>
              <w:top w:type="dxa" w:w="0"/>
              <w:left w:type="dxa" w:w="0"/>
              <w:bottom w:type="dxa" w:w="0"/>
              <w:right w:type="dxa" w:w="0"/>
            </w:tcMar>
          </w:tcPr>
          <w:p>
            <w:pPr>
              <w:snapToGrid w:val="0"/>
              <w:spacing w:after="0" w:before="0" w:line="20" w:lineRule="exact"/>
            </w:pPr>
          </w:p>
        </w:tc>
      </w:tr>
    </w:tbl>
    <w:p>
      <w:pPr>
        <w:snapToGrid w:val="0"/>
        <w:spacing w:after="0" w:before="0" w:line="20" w:lineRule="exact"/>
      </w:pP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pBdr>
                <w:bottom w:val="single" w:color="7A7368" w:sz="6" w:space="6"/>
              </w:pBdr>
              <w:snapToGrid w:val="0"/>
              <w:spacing w:after="160" w:before="80" w:line="420" w:lineRule="atLeast"/>
              <w:jc w:val="center"/>
            </w:pPr>
            <w:r>
              <w:rPr>
                <w:rFonts w:ascii="汉仪字酷堂会典楷书 W" w:cs="汉仪字酷堂会典楷书 W" w:eastAsia="汉仪字酷堂会典楷书 W" w:hAnsi="汉仪字酷堂会典楷书 W"/>
                <w:b/>
                <w:bCs/>
                <w:color w:val="1A1715"/>
                <w:sz w:val="32"/>
                <w:szCs w:val="32"/>
              </w:rPr>
              <w:t xml:space="preserve">本 冊 篇 目 總 覽</w:t>
            </w:r>
          </w:p>
          <w:tbl>
            <w:tblPr>
              <w:tblW w:type="dxa" w:w="8920"/>
              <w:tblBorders>
                <w:top w:val="none"/>
                <w:left w:val="none"/>
                <w:bottom w:val="none"/>
                <w:right w:val="none"/>
                <w:insideH w:val="none"/>
                <w:insideV w:val="none"/>
              </w:tblBorders>
              <w:tblLayout w:type="fixed"/>
            </w:tblPr>
            <w:tblGrid>
              <w:gridCol w:w="4460"/>
              <w:gridCol w:w="4460"/>
            </w:tblGrid>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1. </w:t>
                  </w:r>
                  <w:r>
                    <w:rPr>
                      <w:rFonts w:ascii="方正文沁永乐大典体M 简" w:cs="方正文沁永乐大典体M 简" w:eastAsia="方正文沁永乐大典体M 简" w:hAnsi="方正文沁永乐大典体M 简"/>
                      <w:b/>
                      <w:bCs/>
                      <w:color w:val="23201D"/>
                      <w:sz w:val="20"/>
                      <w:szCs w:val="20"/>
                    </w:rPr>
                    <w:t xml:space="preserve">《奠仪几何》</w:t>
                  </w:r>
                  <w:r>
                    <w:rPr>
                      <w:rFonts w:ascii="汉仪字酷堂荫嘉楷书 W" w:cs="汉仪字酷堂荫嘉楷书 W" w:eastAsia="汉仪字酷堂荫嘉楷书 W" w:hAnsi="汉仪字酷堂荫嘉楷书 W"/>
                      <w:color w:val="8C857B"/>
                      <w:sz w:val="14"/>
                      <w:szCs w:val="14"/>
                    </w:rPr>
                    <w:t xml:space="preserve"> · 第一葉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2. </w:t>
                  </w:r>
                  <w:r>
                    <w:rPr>
                      <w:rFonts w:ascii="方正文沁永乐大典体M 简" w:cs="方正文沁永乐大典体M 简" w:eastAsia="方正文沁永乐大典体M 简" w:hAnsi="方正文沁永乐大典体M 简"/>
                      <w:b/>
                      <w:bCs/>
                      <w:color w:val="23201D"/>
                      <w:sz w:val="20"/>
                      <w:szCs w:val="20"/>
                    </w:rPr>
                    <w:t xml:space="preserve">《悼亡存活》</w:t>
                  </w:r>
                  <w:r>
                    <w:rPr>
                      <w:rFonts w:ascii="汉仪字酷堂荫嘉楷书 W" w:cs="汉仪字酷堂荫嘉楷书 W" w:eastAsia="汉仪字酷堂荫嘉楷书 W" w:hAnsi="汉仪字酷堂荫嘉楷书 W"/>
                      <w:color w:val="8C857B"/>
                      <w:sz w:val="14"/>
                      <w:szCs w:val="14"/>
                    </w:rPr>
                    <w:t xml:space="preserve"> · 第三葉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3. </w:t>
                  </w:r>
                  <w:r>
                    <w:rPr>
                      <w:rFonts w:ascii="方正文沁永乐大典体M 简" w:cs="方正文沁永乐大典体M 简" w:eastAsia="方正文沁永乐大典体M 简" w:hAnsi="方正文沁永乐大典体M 简"/>
                      <w:b/>
                      <w:bCs/>
                      <w:color w:val="23201D"/>
                      <w:sz w:val="20"/>
                      <w:szCs w:val="20"/>
                    </w:rPr>
                    <w:t xml:space="preserve">《铺路石》</w:t>
                  </w:r>
                  <w:r>
                    <w:rPr>
                      <w:rFonts w:ascii="汉仪字酷堂荫嘉楷书 W" w:cs="汉仪字酷堂荫嘉楷书 W" w:eastAsia="汉仪字酷堂荫嘉楷书 W" w:hAnsi="汉仪字酷堂荫嘉楷书 W"/>
                      <w:color w:val="8C857B"/>
                      <w:sz w:val="14"/>
                      <w:szCs w:val="14"/>
                    </w:rPr>
                    <w:t xml:space="preserve"> · 第五葉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4. </w:t>
                  </w:r>
                  <w:r>
                    <w:rPr>
                      <w:rFonts w:ascii="方正文沁永乐大典体M 简" w:cs="方正文沁永乐大典体M 简" w:eastAsia="方正文沁永乐大典体M 简" w:hAnsi="方正文沁永乐大典体M 简"/>
                      <w:b/>
                      <w:bCs/>
                      <w:color w:val="23201D"/>
                      <w:sz w:val="20"/>
                      <w:szCs w:val="20"/>
                    </w:rPr>
                    <w:t xml:space="preserve">《有效同意》</w:t>
                  </w:r>
                  <w:r>
                    <w:rPr>
                      <w:rFonts w:ascii="汉仪字酷堂荫嘉楷书 W" w:cs="汉仪字酷堂荫嘉楷书 W" w:eastAsia="汉仪字酷堂荫嘉楷书 W" w:hAnsi="汉仪字酷堂荫嘉楷书 W"/>
                      <w:color w:val="8C857B"/>
                      <w:sz w:val="14"/>
                      <w:szCs w:val="14"/>
                    </w:rPr>
                    <w:t xml:space="preserve"> · 第六葉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5. </w:t>
                  </w:r>
                  <w:r>
                    <w:rPr>
                      <w:rFonts w:ascii="方正文沁永乐大典体M 简" w:cs="方正文沁永乐大典体M 简" w:eastAsia="方正文沁永乐大典体M 简" w:hAnsi="方正文沁永乐大典体M 简"/>
                      <w:b/>
                      <w:bCs/>
                      <w:color w:val="23201D"/>
                      <w:sz w:val="20"/>
                      <w:szCs w:val="20"/>
                    </w:rPr>
                    <w:t xml:space="preserve">《临终关怀》</w:t>
                  </w:r>
                  <w:r>
                    <w:rPr>
                      <w:rFonts w:ascii="汉仪字酷堂荫嘉楷书 W" w:cs="汉仪字酷堂荫嘉楷书 W" w:eastAsia="汉仪字酷堂荫嘉楷书 W" w:hAnsi="汉仪字酷堂荫嘉楷书 W"/>
                      <w:color w:val="8C857B"/>
                      <w:sz w:val="14"/>
                      <w:szCs w:val="14"/>
                    </w:rPr>
                    <w:t xml:space="preserve"> · 第十二葉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6. </w:t>
                  </w:r>
                  <w:r>
                    <w:rPr>
                      <w:rFonts w:ascii="方正文沁永乐大典体M 简" w:cs="方正文沁永乐大典体M 简" w:eastAsia="方正文沁永乐大典体M 简" w:hAnsi="方正文沁永乐大典体M 简"/>
                      <w:b/>
                      <w:bCs/>
                      <w:color w:val="23201D"/>
                      <w:sz w:val="20"/>
                      <w:szCs w:val="20"/>
                    </w:rPr>
                    <w:t xml:space="preserve">《不贰过》</w:t>
                  </w:r>
                  <w:r>
                    <w:rPr>
                      <w:rFonts w:ascii="汉仪字酷堂荫嘉楷书 W" w:cs="汉仪字酷堂荫嘉楷书 W" w:eastAsia="汉仪字酷堂荫嘉楷书 W" w:hAnsi="汉仪字酷堂荫嘉楷书 W"/>
                      <w:color w:val="8C857B"/>
                      <w:sz w:val="14"/>
                      <w:szCs w:val="14"/>
                    </w:rPr>
                    <w:t xml:space="preserve"> · 第十五葉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7. </w:t>
                  </w:r>
                  <w:r>
                    <w:rPr>
                      <w:rFonts w:ascii="方正文沁永乐大典体M 简" w:cs="方正文沁永乐大典体M 简" w:eastAsia="方正文沁永乐大典体M 简" w:hAnsi="方正文沁永乐大典体M 简"/>
                      <w:b/>
                      <w:bCs/>
                      <w:color w:val="23201D"/>
                      <w:sz w:val="20"/>
                      <w:szCs w:val="20"/>
                    </w:rPr>
                    <w:t xml:space="preserve">《家祭无忘告乃翁》</w:t>
                  </w:r>
                  <w:r>
                    <w:rPr>
                      <w:rFonts w:ascii="汉仪字酷堂荫嘉楷书 W" w:cs="汉仪字酷堂荫嘉楷书 W" w:eastAsia="汉仪字酷堂荫嘉楷书 W" w:hAnsi="汉仪字酷堂荫嘉楷书 W"/>
                      <w:color w:val="8C857B"/>
                      <w:sz w:val="14"/>
                      <w:szCs w:val="14"/>
                    </w:rPr>
                    <w:t xml:space="preserve"> · 第十七葉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8. </w:t>
                  </w:r>
                  <w:r>
                    <w:rPr>
                      <w:rFonts w:ascii="方正文沁永乐大典体M 简" w:cs="方正文沁永乐大典体M 简" w:eastAsia="方正文沁永乐大典体M 简" w:hAnsi="方正文沁永乐大典体M 简"/>
                      <w:b/>
                      <w:bCs/>
                      <w:color w:val="23201D"/>
                      <w:sz w:val="20"/>
                      <w:szCs w:val="20"/>
                    </w:rPr>
                    <w:t xml:space="preserve">《兼得》</w:t>
                  </w:r>
                  <w:r>
                    <w:rPr>
                      <w:rFonts w:ascii="汉仪字酷堂荫嘉楷书 W" w:cs="汉仪字酷堂荫嘉楷书 W" w:eastAsia="汉仪字酷堂荫嘉楷书 W" w:hAnsi="汉仪字酷堂荫嘉楷书 W"/>
                      <w:color w:val="8C857B"/>
                      <w:sz w:val="14"/>
                      <w:szCs w:val="14"/>
                    </w:rPr>
                    <w:t xml:space="preserve"> · 第二十一葉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9. </w:t>
                  </w:r>
                  <w:r>
                    <w:rPr>
                      <w:rFonts w:ascii="方正文沁永乐大典体M 简" w:cs="方正文沁永乐大典体M 简" w:eastAsia="方正文沁永乐大典体M 简" w:hAnsi="方正文沁永乐大典体M 简"/>
                      <w:b/>
                      <w:bCs/>
                      <w:color w:val="23201D"/>
                      <w:sz w:val="20"/>
                      <w:szCs w:val="20"/>
                    </w:rPr>
                    <w:t xml:space="preserve">《去世之前》</w:t>
                  </w:r>
                  <w:r>
                    <w:rPr>
                      <w:rFonts w:ascii="汉仪字酷堂荫嘉楷书 W" w:cs="汉仪字酷堂荫嘉楷书 W" w:eastAsia="汉仪字酷堂荫嘉楷书 W" w:hAnsi="汉仪字酷堂荫嘉楷书 W"/>
                      <w:color w:val="8C857B"/>
                      <w:sz w:val="14"/>
                      <w:szCs w:val="14"/>
                    </w:rPr>
                    <w:t xml:space="preserve"> · 第二十二葉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10. </w:t>
                  </w:r>
                  <w:r>
                    <w:rPr>
                      <w:rFonts w:ascii="方正文沁永乐大典体M 简" w:cs="方正文沁永乐大典体M 简" w:eastAsia="方正文沁永乐大典体M 简" w:hAnsi="方正文沁永乐大典体M 简"/>
                      <w:b/>
                      <w:bCs/>
                      <w:color w:val="23201D"/>
                      <w:sz w:val="20"/>
                      <w:szCs w:val="20"/>
                    </w:rPr>
                    <w:t xml:space="preserve">《那活着的》</w:t>
                  </w:r>
                  <w:r>
                    <w:rPr>
                      <w:rFonts w:ascii="汉仪字酷堂荫嘉楷书 W" w:cs="汉仪字酷堂荫嘉楷书 W" w:eastAsia="汉仪字酷堂荫嘉楷书 W" w:hAnsi="汉仪字酷堂荫嘉楷书 W"/>
                      <w:color w:val="8C857B"/>
                      <w:sz w:val="14"/>
                      <w:szCs w:val="14"/>
                    </w:rPr>
                    <w:t xml:space="preserve"> · 第二十三葉</w:t>
                  </w:r>
                </w:p>
              </w:tc>
            </w:tr>
          </w:tbl>
          <w:p/>
        </w:tc>
      </w:tr>
    </w:tbl>
    <w:p>
      <w:pPr>
        <w:snapToGrid w:val="0"/>
        <w:spacing w:after="0" w:before="0" w:line="20" w:lineRule="exact"/>
      </w:pPr>
    </w:p>
    <w:tbl>
      <w:tblPr>
        <w:tblW w:type="dxa" w:w="9280"/>
        <w:tblBorders>
          <w:top w:val="none"/>
          <w:left w:val="none"/>
          <w:bottom w:val="none"/>
          <w:right w:val="none"/>
          <w:insideH w:val="none"/>
          <w:insideV w:val="none"/>
        </w:tblBorders>
        <w:tblLayout w:type="fixed"/>
      </w:tblPr>
      <w:tblGrid>
        <w:gridCol w:w="9280"/>
      </w:tblGrid>
      <w:tr>
        <w:trPr>
          <w:cantSplit/>
          <w:trHeight w:val="14318" w:hRule="exact"/>
        </w:trPr>
        <w:tc>
          <w:tcPr>
            <w:tcW w:type="dxa" w:w="9280"/>
            <w:tcMar>
              <w:top w:type="dxa" w:w="0"/>
              <w:left w:type="dxa" w:w="0"/>
              <w:bottom w:type="dxa" w:w="0"/>
              <w:right w:type="dxa" w:w="0"/>
            </w:tcMar>
          </w:tcPr>
          <w:p>
            <w:pPr>
              <w:snapToGrid w:val="0"/>
              <w:spacing w:after="0" w:before="0" w:line="20" w:lineRule="exact"/>
            </w:pPr>
          </w:p>
        </w:tc>
      </w:tr>
    </w:tbl>
    <w:p>
      <w:pPr>
        <w:snapToGrid w:val="0"/>
        <w:spacing w:after="0" w:before="0" w:line="20" w:lineRule="exact"/>
      </w:pPr>
    </w:p>
    <w:p>
      <w:pPr>
        <w:snapToGrid w:val="0"/>
        <w:spacing w:before="0" w:after="0" w:line="20" w:lineRule="exact"/>
        <w:sectPr>
          <w:pgSz w:w="11906" w:h="16838" w:orient="portrait"/>
          <w:pgMar w:top="900" w:right="1020" w:bottom="1500" w:left="1587" w:header="620" w:footer="600" w:gutter="0"/>
          <w:docGrid w:type="default" w:linePitch="0" w:charSpace="0"/>
        </w:sectPr>
      </w:pPr>
    </w:p>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奠仪几何</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我爸爸去世，葬礼酒席是大伯操办的，礼金也是大伯他们记账收，我该不该问一下是否有多余的钱？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问当然要问，但你这个问法，真的是该打。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看看这个思路：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第一，你要问葬礼一共花了多少钱，你好支付给大伯。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原则是大伯出力就很让人感激，绝不能让大伯来出葬礼钱。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殡仪馆方面的费用我已经问过是若干，不知酒席和其他杂项是几何，希望大伯告知一个总数，我好一并还上。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为人子者，绝无父丧不自己出钱的道理，还望大伯成全。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大伯实无立场反对。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大伯说个数，钱立刻就给大伯打过去，还要再加上一笔大伯的辛苦费。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注意，这是要先打过去再说，打过去了再问第二句。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第二，我要问礼金明细，我好记住各家的恩情，方便回头一一道谢和往还。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将来这些人情是一一要还的，我得知道我每家各欠了多少情，将来还礼才能有个依据。尤其是我得知道哪些人给了，不能把人家给忘了，将来会令人寒心。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这道理堂皇正大，大伯也没有立场拒绝。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而且大伯给了这个账你，在你已经全额给了大伯酒席葬礼钱的前提下，大伯大概率会把礼金完整的还给你。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因为此时这个礼金钱他真是实在拿不得。在你已经把葬礼费用全额支付给他之后，他要是还拿走奠仪，有一点风声传出去，在亲戚之间都太难做人了。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奠仪几何（承前）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两个数字都拿到，你想问的“有没有多余的钱”自己去加减去，那只是一个自然的结果。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但你要愿赌服输，因为真的可能“亏本”。但说实话，父丧还想赚钱，多少有点过于“经济”了。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现在再回头看你原本的选择——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你绝对不能问“是否有多余的钱”这种话，这样问性质完全变了。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按这个说法，就变成了你根本不关心大伯垫了多少钱，也不关心亲朋好友多爱戴你的父亲，只关心大伯有没有得着便宜。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是不是在讨打？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不要以为这只是在说一点巧问妙答，你要沉下心来思考这个做法背后的力量是什么，原理是什么。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伦理其实是一件武器，学会巧妙的运用，你可以为人的行为设立强硬的轨道，随时可以限制住事态向你不希望的方向发展。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话说的客气，但实际上没给对方留下余地，对方不选你留下的最佳选项，就会因为失礼、失德、示范把社会资本送到你的手里。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然而你处事得当，对方虽然不得不“就范”，但却没有勉强、屈辱的感觉，事后回想，自然知道你的干练和狠辣。这些认同随后都是你的信用和资本，是可以换到真金白银的借贷和支持的。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自己多揣摩吧。</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本根敦倫——血亲宗族与家庭抚育 · 癸冊 臨終關懷與白事奠儀</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二〇二六年七月十七日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悼亡存活</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江苏一公园就地取材，用无主墓碑铺登山路，碑面刻有「先父」「贤妻」等字样，这会对游客带来不良心理影响吗？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祭祀不绝的念想是中国人生养子孙、繁衍家族的核心价值之一。如果这一点被社会的主流价值否定、被完全的抛弃、证伪，是会对生育子女的普遍意愿有深刻伤害的。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它甚至可以影响到亲子关系和人自身的人生价值焦虑。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古代的中国人不仅仅是为眼前的子女奋不顾身，而是在为以眼前子女为前导的整个无穷尽的子孙后代奋不顾身，为整个带有自身血脉和姓氏的家族冒险犯难，栽种维护。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想到自己的奉献有延续到无限久远的未来、可被代代纪念，永续不绝，人的勇气和信念是远胜于仅仅只能短暂的有利于这么几个孩子的。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更不提还不能保证这几个孩子——一个孩子——会乐于生育，传宗接代了。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这其实会改变人的整个人生观，甚至连对“生育子女”本身都会失去价值期待。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看似被漫不经心对待的是时代久远的墓碑，实则是家族代际传承的基本契约。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原本对家族代代相继有绝对信心可以造就的每一代人乐于深耕稳健的耐心，可以引导人们建造和维护家族声誉、家族品牌、资源和专业优势，可以天然的保障社会宏观层面的职业、经济稳定性，带来低得多的情绪和心理成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但这些被消除之后，每个人都几乎是面对历史单打独斗，而且最终湮灭无踪。既然无非是湮灭无踪，那么除了自身的、现世的尽情享乐，还有什么东西是有价值的呢？</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悼亡存活（承前）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一切的“谋万世”都是无谓的愚蠢而已了。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不严谨、不礼貌的对待亡者，其实真正受伤的是生者。不是亡者的子孙，而是所有活着、苦于意义的人。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纪念是最基本的爱，我们不该吝啬。</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本根敦倫——血亲宗族与家庭抚育 · 癸冊 臨終關懷與白事奠儀</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二〇二六年七月十四日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铺路石</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去世后，你打算怎么处理自己的骨灰?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也许将来还有更好的主意，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但我目前的设想如下：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做成水泥砌块。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上面做上那种铜条镶嵌的盲道花纹。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找一个需要修盲道的地方铺下去。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然后等着你们将来跟我一起铺到天尽头。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这样，如果你看不见，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你仍然可以踏着我们在世上行走。</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本根敦倫——血亲宗族与家庭抚育 · 癸冊 臨終關懷與白事奠儀</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二〇二五年七月二十八日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有效同意</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婆婆去世，因为父亲要做手术，没去，我错了吗？</w:t>
                        </w:r>
                      </w:p>
                      <w:p>
                        <w:pPr>
                          <w:snapToGrid w:val="0"/>
                          <w:spacing w:after="60" w:before="60" w:line="260" w:lineRule="atLeast"/>
                        </w:pPr>
                        <w:r>
                          <w:rPr>
                            <w:rFonts w:ascii="汉仪永字夏蝉 95W" w:cs="汉仪永字夏蝉 95W" w:eastAsia="汉仪永字夏蝉 95W" w:hAnsi="汉仪永字夏蝉 95W"/>
                            <w:b/>
                            <w:bCs/>
                            <w:color w:val="8C857B"/>
                            <w:sz w:val="16"/>
                            <w:szCs w:val="16"/>
                          </w:rPr>
                          <w:t xml:space="preserve">〔 原 問 〕</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我结婚十五年了，过着一份安稳，平淡，且没有任何风波的日子，这种日子似乎就跟很多的普通人一样，平平淡淡的生活，平平淡淡的工作，不知道自己的追求是什么，只知道自己的每天都在重复着前一天。</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或许大家认为我的态度有些消极，可这便是生活。</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我的婚姻其实这么多年并没有什么意外发生，属于那种比上不足比下有余，比不过那些天天秀恩爱，衣食无忧的夫妻，但是也好过那些夫妻之间天天争吵，没有感情的夫妻，我们俩更像是两个处于感情线中间的那一对，有时候也会因为小事而争吵，也会因为小事而闹矛盾，但是事情过后也不会记仇，继续过日，有时候也会闹离婚，可是闹完之后还是不舍得分开，继续坚持着这份婚姻，他对我倒也还算不错，这么多年的生活中大事上面基本上没有亏待过</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我，也没有伤过我的心，也没有做过什么对不起我的事情，我们家的生活能够像如今这么的安稳，可以说他的功劳更多一些，我自然也很感恩了。</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可即便是这样的婚姻状态，却依旧有一些隔阂是我们没办法去跨越的，甚至没办法去解决的，直到现在也无法诉说。</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五年前婆婆的去世是我们夫妻感情出现裂痕的时候，这一点我们俩都心知肚明。</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那时候婆婆已经病入膏肓了，在医院住了很长的时间，住院的那段时间里其实我还是挺照顾她的，甚至还请了半个月的假全职的在医院照顾婆婆，眼看着婆婆的病不见好，也没办法继续治疗了，他们家里人就决定不治了，带回家里生活，希望能多陪伴几天，我一个做儿媳妇自然不好多说什么，也没有过多的阻拦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有效同意（承前）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但是婆婆回的家并不是我们家，而是他们的老家，丈夫也请假回去陪她去了，而我当时挺犹豫的，因为孩子要上学，身边离不开人，而我的父亲当时也在医院做手术，丈夫也就让我留在了家里，自己回去了，没想到婆婆到家之后仅仅过去了两天就去世了，我尤然记得那天深夜一点多的时候丈夫给我打来了电话，声音有些沙哑的说：“我妈走了，刚走了，天亮了你带着孩子来吧，”</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我当时第一反应是悲伤，难过，虽然意料之中，但是却也没能够做好准备，安慰了丈夫两句话之后马上却又理智了起来，说：“我可能暂时走不开，我明天找个顺风车，让孩子先回去，你去接一下孩子吧，我爸这两天在医院的情况也不好，而且马上就要安排手术了，我妈一个人身体很憔悴了，实在照顾不过来，我实在走不开了。”</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电话那头的丈夫很冷静，沉默了很久之后说了一声哦。</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就这样孩子第二天被我送上了车，而我也没有回去，期间我也抽空回去了一趟，但是马上就回来陪我父母了，主要是因为我爸要做手术的原因，我没办法在婆家长待，哪怕是在婆婆出殡的那一天我也没办法赶过去，我每次都小心翼翼的将原因重复给丈夫听。</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他听进去了，但是也只是听了，我对他有愧疚，也深知自己的做法有些自私了，可是在那样的情况下我真的没办法选择，婆婆已经去世了，而我爸的身体也不好，要做心脏手术，这些种种的事情加在一起我真的没办法做出两全其美的决定，最后只能够极力的向丈夫解释了，可他却很平静，也没有跟我吵架，也没有怪我，表现跟往常特别不一样，我有的时候宁愿他骂我几句，起码我心里好受一点。</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然而他并没有。</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后来过了一段时间后婆婆的事情也告一段落了，我父亲的手术也很顺利，日子似乎回归了平淡，有一次我看他心情好，忍不住问他：“我没有赶回去给婆婆奔丧，你不怪我么？”</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有效同意（承前）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丈夫沉默了很久，变了脸色，然后淡淡的说：“不是怪，是恨。”</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他平淡的说出这句话的时候我发觉让我钻心的凉，那种凉意不是失望的，不是难过的，而是陌生的感觉，我有些愤怒的问他：“那你什么意思啊，过去这么久了，你也不说，你自己憋着，有什么意思，你要怪我你就说啊，况且当时的情况你又不是不知道，我爸躺在病床上，随时可能离世，我妈身心憔悴，我要是走了，他们老两口怎么办？”</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丈夫却说了一句话，他说：“起码他们都还活着。”</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那次我们俩算是因为婆婆的事情第一次吵架了，换句话说是我一个人的怒吼，他一直都很冷静的说话，像是个陌生人，我闹到了离婚，而他却点了点头，只是我最后不舍得而已，对于我来说实在不懂，为什么家里的情况他一清二楚，我之所以回不去奔丧的原因他也明白，可是却依旧还要恨我，我当时说了一句话：“我回去了又能怎么样，多一个哭的人么？可是我回去了，可能就见不上我爸，你觉得孰轻孰重啊！”</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他却说了一句话：“你回去什么也做不了，但是你是我娶回来的。”</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我不理解他这句话的意思，愤怒与不甘在那次的争吵中完全倾泻了出来，吵到最后的我由硬气到示弱，从一开始的解释到最后的道歉，可能在我的心里也深知我当时的做法有些不合适，可是却理解不了丈夫这么上纲上线的不原谅。</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从那次争吵之后我们也并未离婚，还是跟往常一样生活着，只是多了一点点陌生感，距离感而已。</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直到前不久我父亲的去世，我才感觉到了他的狠心。</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我父亲前段时间因为病痛的折磨还是离世了，我是家里的独生女，父亲去世之后家里的很多事情都是需要我来操持的，丈夫作为女婿也自然会承担的更多一些，我没法要求他给我做更多的事情，可是他却主动帮我做着很多的事情，可以说父亲的后事都是他来帮忙的，我跟母亲的情绪一直都挺低落的，有好几次我都想好好的向他道歉，为我曾经的行为道歉，</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有效同意（承前）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汉仪昌黎宋刻本原版W" w:cs="汉仪昌黎宋刻本原版W" w:eastAsia="汉仪昌黎宋刻本原版W" w:hAnsi="汉仪昌黎宋刻本原版W"/>
                            <w:color w:val="5A534B"/>
                            <w:sz w:val="23"/>
                            <w:szCs w:val="23"/>
                          </w:rPr>
                          <w:t xml:space="preserve">可直到最后我才发觉他的狠心。</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在父亲的后事料理完成了之后，没想到他的做法却更狠，他跟我说了一句话：“你就不用回来了，陪陪你母亲吧，等什么时候你妈能好好生活了你再回来。”</w:t>
                        </w:r>
                      </w:p>
                      <w:p>
                        <w:pPr>
                          <w:pBdr>
                            <w:top w:val="single" w:color="8F2D26" w:sz="8" w:space="6"/>
                          </w:pBdr>
                          <w:snapToGrid w:val="0"/>
                          <w:spacing w:after="140" w:before="180" w:line="260" w:lineRule="atLeast"/>
                          <w:jc w:val="center"/>
                        </w:pPr>
                        <w:r>
                          <w:rPr>
                            <w:rFonts w:ascii="汉仪永字夏蝉 95W" w:cs="汉仪永字夏蝉 95W" w:eastAsia="汉仪永字夏蝉 95W" w:hAnsi="汉仪永字夏蝉 95W"/>
                            <w:b/>
                            <w:bCs/>
                            <w:color w:val="8F2D26"/>
                            <w:sz w:val="17"/>
                            <w:szCs w:val="17"/>
                          </w:rPr>
                          <w:t xml:space="preserve">〔 岐 伯 語 〕</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先把问题剧情固定一下，以免失去上文：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你没错。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没错的原因不是什么传统风俗、人之常情、感情纠葛支持你不奔丧的决定，而是你是经过请求，并且得到对方明确同意了的。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这道理很简单，双方的具体协议的优先级必然绝对高于任何所谓风俗习惯、传统惯例——乃至于要高于世俗法律。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我说句“同意”，说完之后在这件事上就自动豁免了你一切因为这件事被我怨恨的可能性。我不同意就是不同意，同意就是同意。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我可以有千般纠结、万般无奈，但是只要我牙缝里挤出一个“同意”来，我同意的事，我就没有任何再怨恨、报复的立场。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同意了，哪怕法律不同意，那也是社会跟你之间的纠缠，我跟你之间绝不会有纠缠，除非涉及到我同意范围之外的其他事项。但是很显然，“同意范围之外的事项”既然是范围之外，自然不会得到这个许可的豁免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我同意了，这件事你在我面前就绝对的无罪了，就是这么简单。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我同意了，你就可以放心，可以不必再提心吊胆，害怕我“其实不同意”，我要是事后又说什么“其实我心里是不想同意的”，你可以当面给我一耳光，我一定鞠躬道歉。这个承诺，我可以书面写给你，刻块碑立在门口都行。</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有效同意（承前）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亲密关系的逻辑基础，不容任何动摇和挑战，没有模糊的余地。守不住，动摇了，可以理解，毕竟人无完人，但是在是非曲直上只能有一个结论，就是是那个对自己的同意动摇的人要向对方道歉。没有任何所谓“天经地义”“人之常情”“社会传统”“法律要求”可以为这种翻脸不认账辩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因为我们要相处，绝不能搞什么“虽然ta同意了，但是这还要看ABCDEFG等等因素会不会导致ta自认为同意无效”这种狗屁倒灶的契约法则。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否则你的“同意”有何意义？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没有这一条“同意必须有效”的基本法则，任何关系都仅仅是幻觉，根本没有价值可言。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你不同意，就说不同意，我重新出价，直到你同意或者我放弃为止。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你同意，无论你的同意之中有多少勉强、多少纠结，同意之后都是你自己的事了。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我之所以超出一般契约责任地敬重你、亲爱你，乃至于珍视你、保卫你，正因为这一份钢铁般的信用。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如果没有这一条，你一切的话都可以出尔反尔，形式完备的同意不能当成真的同意，干了你同意的事却可能招来怨恨和报复，你连当个路人的资格都不够。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这一点做人的基本原则都不守，说“爱”有什么意义？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这种原则都不守，实际上已经没有亲密关系可言了。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你们要记住，其实真正重要的不是什么传统惯例、主流观点之类的东西，而是在程序上、契约上的基本共识。这些东西就像磁盘读写操作、内存存取操作、CPU的基本指令运算一样，决定着一切其他的上层建筑。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要是这些东西有问题，你去谈操作系统的优劣、谈系统的优化，这都毫无意义。</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有效同意（承前）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你保存时文件名叫这个，再打开文件夹一看文件名已经变了，这样的系统你优化个啥？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算个1+1，一会儿等于2，一会儿等于2.5，这样的计算水平，你谈什么性能？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底层契约成立，才谈得上这些本质上是审美倾向、经营决策的事。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底层契约失效，却去纠结“是否符合传统”、“是否够主流”，这就属于“CPU坏了却去重装系统”——第一你重装不了，第二你装也白装。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事实上，所谓的美好的亲密关系，美好的要害总是在这些基本契约、基本程序坚如钢铁上，而不是在内容如何主流、如何大众上。它强在主板、CPU、内存、显卡性能极其出色、运行极其稳定可靠上。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丁是丁、卯是卯，同意就是同意，不同意就是不同意，这样才有可能解决问题，分解困难。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丁不是丁，卯不是卯，同意不一定是真同意，不同意不一定是真不同意，那么所谓的沟通不但不是在解决问题、消解困难，反而是在引入新问题，堆积新困难。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关系是人类的生存工具，是用来解决问题、优化生存状态、简化挑战的。做不到这个功能，不但不能减少损耗，反而会加大损耗，那么就算它提供大量的快感，在本质上也只是一种毒品而已。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提供大量快感，但却净增加系统的运营损耗，这就是毒品的定义。</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本根敦倫——血亲宗族与家庭抚育 · 癸冊 臨終關懷與白事奠儀</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二〇二四年十一月二十七日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临终关怀</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临终关怀到底有多重要？除此之外，老年人在生活中还有哪些方面需要切实的关怀？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临终关怀最重要的是什么？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是准备葬礼。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临终关怀最关键的规则是什么？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是尽早开始。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实际上中国的老人在传统上是有这个习惯的，就是在很早就会开始准备自己的葬礼。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很早就看好了地方，很早就准备好了寿材，很早就自己敲定了自己的葬礼的细节——请好了作祭文的人，拜托好了主祭……甚至准备好了葬礼上该吹奏的曲子。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ta们早在五六十岁就开始想象自己的死亡，早已敲定了离去的所有细节，而且在这个过程中和死亡达成了和解甚至是协议。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等到真的死亡的时候，ta们早就和死神混熟了。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所以才得以从容、有尊严的迎接死亡。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已经准备停当，那么这次不死固好，但死亦无不好。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人最大的毒瘾就是活着，乃至于很多已经上瘾的人一谈断药就有应激反应，要暴起伤人。其实这是错误的生存态度。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越聪明的人，越会在更早的时候想象甚至憧憬死亡。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比如，看到一个朋友时会想到——“ta会不会出席我的葬礼？我会不会出席ta的葬礼？”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而这两个问题的答案会深刻的揭示你和对方关系的本质。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你的朋友，有哪些是你相信、期望会出现在你的葬礼上的？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临终关怀（承前）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你的恋人、亲眷，有哪些会在清明来你墓前祭扫？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如果你心知肚明不会，那么为什么不把时间放在会的那些身上？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而那些你盼着要在你葬礼上一醉的人，你要怎么对待？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你期望ta们到时讲出什么故事？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有哪些人会在你走后记得你说过的话？会把这些话告诉别人，并告诉ta们是你说的？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你为什么要把时间放在那些不可能会记得的人，而不是这些人身上？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你怕不怕和某个你不想失去的人怄气，而在你没来得及解开之前你就走了，让你们最后的状态停在互相憎恨？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现在的所谓临终关怀，大多数都是为时已晚的徒劳无益，而且往往因为不知所谓而错误的专注在“你会没事的”“你要乐观”这类“善意的谎言”上。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实际上临终关怀是要逐一帮助活着的人解决身后的安排，一件一件的作出决定，让人免于“死得遗憾”“走得不圆满”的恐惧和焦虑，是帮人与死亡和解和建交。让将死者完成所有的忏悔、得到所有需要的原谅、对ta的遗产作出最慎重珍惜的安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其实需要临终关怀的人往往已经有些晚了，因为在极早就意识到这种功课的人早在盛壮之年就已经开始关怀自己的临终了。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活着的每一刻都是临终，“临终关怀”就是向死而生罢了。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这样的人到了终末的时候，不会给身边的人巨大的压力。而如果没有做足这个功课，那么给压力也未必能做好了。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临终关怀（承前）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其实逝者临终的情形本身就是对活人的一份礼物——亲眼见证过至亲弥留的人，目睹ta的欣慰和不甘，对自己应该如何度过一生自然而然、或多或少会产生“向死而生”的本能。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早点想好你的葬礼，想明白了，你才反而会活得更有效，而少胡闹。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这就是你自己最需要的临终关怀。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至于别人，你只能尽力而为——关怀得好或者坏也罢，终究不过一死而已。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那时候你会发现——那些生的毒瘾戒不断的人，面对死亡是何等的折磨。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就算侥幸逃过一次，只要这毒瘾不断，终究还是要狼狈收场。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你自己自然要吸取教训的。</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本根敦倫——血亲宗族与家庭抚育 · 癸冊 臨終關懷與白事奠儀</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二〇二四年六月七日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不贰过</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我一直感觉母亲是由于我的过错而去世的，内心痛苦怎么办？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对任何不可挽回的过失最好的补偿永远都是同一个——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尽量让将来的人不必再遭受同样的损害。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这是一个治疗一切伤痛、遗憾的统一公式，不必有任何其他探索了。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人遭受苦难的首要意义——或者说首位的价值——就是驱动幸存者、负疚者去做出降低同样的事件再次发生的概率的努力。这可以说是内疚感、负罪感最基本的、最要害的社会学意义。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社会里的成员，受到打击后会选择这条路的越多，这个社会就会自然的更加强大和成熟，可以更好的庇护自己的成员。因此，所有的社会都会不由自主的奖励这种行为方式，导致做这种选择的人更容易得到社会资源、繁育后代或获得精神的传承者，从而进一步的导致这样的性状和价值观会得到精神奖励和遗传优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可以这么说，这是社会竞争的一条暗线。哪个社会向这个方向去推动成员的后续行为越成功，哪个社会就会越有竞争力，越能主导身边的秩序，越能控制更多的资源为自身的发展服务。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其实，“复仇冲动”本身就可以被认为是这个性质的行为，只是还比较原始、用的是一种代价很高的手段在“降低复现度”而已。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所以这个原理绝不是空口安慰你，而是你只要顺着这个方向去处理你的一切悔恨和遗憾，前面就自然有大量的社会认可、资源倾斜、自我接纳和情感舒缓会被赐予给你。</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不贰过（承前）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你就是按这个蓝图被设计出来的社会动物，社会就是沿着这个原则生出来的。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同时你要注意，一旦你经由这种痛苦领受了这个使命，你的健康和富有就是这个使命的资产，自然法是不容你随意挥霍的——包括挥霍在“自我折磨”去榨取义人感上。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人辜负了人，拿刀把自己零切碎剮以为自圣，这只不过是一种对过错的二次消费，是对受难圣事最可耻的亵渎、对受害者最大的辜负之一，这跟奋发图强、戒骄戒躁、全力以赴的努力避免后来人再次遭遇这苦难相比，判若云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可惜，古往今来不知多少的痛苦和磨难被人浪费和亵渎了。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你们不可以这样，听到没有？</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本根敦倫——血亲宗族与家庭抚育 · 癸冊 臨終關懷與白事奠儀</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二〇二三年十一月三十日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家祭无忘告乃翁</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坟墓对中国人的意义是什么？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坟墓是文明的起点证据。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认为一种类人猿可以被称为人，最古老的证据并不是“会使用火/工具”——只要你不把火神话，看作是自然元素之一，那么这些动物也可以做到，甚至都不是很罕见——而是会埋葬同伴。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这当然也有技术性原因——比如也许当时原始人学会了唱歌甚至写诗，问题是这些无法流传到现在成为一种实物证据。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坟墓是第一种能长时间存在的历史实物证据，这一点非常非常的关键，甚至可以说型塑了整个中国的文明史。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这要从头说起——你们觉得人类文明史有多长？五千年吗？一万年吗？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目前公认发现的最早墓葬痕迹——这是指存在仪式性痕迹而非简单的“集中摆放”的墓葬——是以色列卡夫泽洞穴墓葬。距今8-10万年，一般认定为92000年。而就在几个月前，今年6月5日，美国一团队公布了一个在南非的墓葬——赖辛斯塔洞穴——测定时间是23.6-33.5万年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换言之，“没有实物历史证据”这个问题，在对我们存在这五千年之前，已经对五千年前的古人们存在了几万甚至二十几万年。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言之，墓葬问题，是人类历史上用了最长的时间来解决的重大技术问题之一。在这二十万年里面，文字没发展，美术也几乎没啥大发展，口头语言可能有发展，但没有任何证据。既然没有文字，可想而知其它的所谓技术发展也基本聊胜于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二十万年，几乎唯一的文明进步，就只有墓葬礼仪。 这对这二十几万年内的人类有多重要，因为这段时间内人类是“无语”的，所以我们只有推测。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一些比较顺理成章的推测是——</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家祭无忘告乃翁（承前）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首先人们发现不加处理的的尸体，尤其是靠近水源处不加处理的尸体很可能对定居生活造成风险，所以学会了寻找恰当的地方集中处理尸体。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他们可能学会了尸体如果放任不管，可能引来猛兽养成在自己居住区附近觅食的习惯——你想想，一头巨熊定期在你家门口发现百来斤肉，跟你一个形状，还连吐毛球都不用，这是什么行为？献祭吗？所以尸体非埋不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两个问题对定居生活而言都是必备的基本要求，不照办就会出非常现实的风险，又加上人类死亡是常见事件，所以时不时就有新的埋葬需求，而这种埋葬自然也包括维护之前埋好的遗体。这是一个带客观“施工要求”的工作，是有专业性的行为。比如最早都是洞穴葬，就是把遗体背到洞穴里，然后用石头堵住洞口。然后是堆石葬，就是用捡来的石块堆在尸体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这都有“如何选择石块，既让工作轻松、又保证野兽闻到气味也刨不开、尸体腐坏失去结构强度上面的石堆也不会自动解体崩坏”的问题。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而一切有专业要求的行为，就自然产生仪式感和仪式性。一些贱手小兔崽子你跟ta们讲道理ta们是不信邪的，只有跟ta们讲“死人侧放死舅舅”ta们才会勉强按照规范操作。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久而久之，“墓葬施工”就会发展出“墓葬专业”、“墓葬专业”就会发展出“墓葬礼仪”，墓葬礼仪就会发展出“墓地文化及其遗产”。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啥意思呢？意思是一个定居点，住了几十年上百年，就验证了这个墓葬地点和居住地点是相互协调的，是互相可以支持、互相提供可持续性的。别小看这一点，假设一个群落迁居到另一个地方，就要在新营地里首先处理“如何处理尸体”的问题。这是需要一番论年的研究、尝试和纠错的复杂问题——无文字的古人估计是没有系统理论的，只有靠“埋埋看”一点点试，每次搞错都要造成损失和代价，这是很大的一笔成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所以，一个已经用了上百年都没问题的墓葬地是一笔很大的财富，它自然而然的成了一个部族的“锚”，</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家祭无忘告乃翁（承前）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将这一族群固定在一个确切的地块上。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到这里，就有了所谓的“风水学”。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风水学最有名的是“看墓穴”，但实际上是把墓葬选址和附近的生活选址成套的勘测。在这一片区域里，墓葬要方便稳妥，易于防卫和维护，而生活又要交通便利、水源可靠、食源丰富、易守难攻。看似在看“阴宅”，实则在看“阳宅”、本质上是一个“城建规划理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问题，基本上是一切农耕定居民族的文化核心。就像伊斯兰文化围绕宣礼塔聚居，因为教义规定的礼拜生活必须要求你听得见宣礼塔的呼召，而基督教文明围绕教堂、犹太文明围绕圣殿和犹太会堂，华人、埃及人、苏美尔人这些定居农耕民族就往往围绕墓地定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住宅区好迁移，但是墓葬就很难迁移。其实真正安土重迁的，并不是活人，而是已经入土为安的先祖们。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既然墓葬是一个定居区最稳定的部分，自然而然的它在意识形态上就有值得不断被开发和寄托的价值。这就像你买了辆防弹车，自然总盘算着要搬点东西放车上。放这里最保底、最安全。于是侵犯陵寝也就成了不可容忍的重大侵犯，要引起军事冲突和家族仇杀。这种文化资产的堆积，主要就是在堆积各种家族传承、特殊的历史经验，各种祖训、族规和特殊的家族制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东西的合法性，很大程度上来自于家族叙事的可靠性、可信性。我们家族禁止族人考公务员，为啥？因为我们有一代先祖在朝为官，九死一生差点搞到灭族，而思来想去发现这不是凭人力智慧可以绝对避免的风险，也不属于小风险，所以本族人不得为官。问题来了，过了几代人，如果没有任何连贯的纪录和传承、仅凭一些文化传说，是不足以贯彻这样的历史经验的。你这都是口说无凭，我凭什么要为了一句虚无缥缈的传说放弃我的人生机会？</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家祭无忘告乃翁（承前）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但说这话的人埋在后山，见到ta说这话的人也埋在后山，一代代的见证人都埋在后山，这就是事实的锚，这些经验教训就不能仅仅被视为某个野心家聪明人现编的，</w:t>
                        </w:r>
                      </w:p>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它就会有足以约束族群伦理的合法性和有效性。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而这些东西，定义了中国人几乎所有的行为逻辑。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其实这整个脉络看下来，你会发现它就是环环相扣的铁连环。我们在冲积平原上定居生活，墓葬地就自然会成为我们生产生活的地理中心，进而成为精神、文化的中心、社会伦理的锚。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现代人完全改变了生活方式，才会失去对这个问题的直觉。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“王师北定中原日，家祭无忘告乃翁”，这是实实在在的真情实感，作为华夏子孙，这是不该淡忘的东西。</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本根敦倫——血亲宗族与家庭抚育 · 癸冊 臨終關懷與白事奠儀</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二〇二三年十一月十六日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兼得</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当你去世时，是想被网络遗忘还是留下你的「数字遗产」？你会如何处理自己的数字遗产？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刘看山犯了一个错误，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就是认为“留下数字遗产”和“被网络遗忘”不可兼得。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小孩子才做选择。</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本根敦倫——血亲宗族与家庭抚育 · 癸冊 臨終關懷與白事奠儀</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二〇二三年四月四日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去世之前</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亲人在去世前，弥留之际家属到底应该说些什么最合适？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在前面等我们几年，没事多溜达，替我们熟悉一下环境。</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本根敦倫——血亲宗族与家庭抚育 · 癸冊 臨終關懷與白事奠儀</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二〇二三年三月十四日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那活着的</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父亲今年5月份去世，我对后续的烧七、烧百天、烧生日、烧周年很不耐烦，是不是不孝？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先说泛化的葬礼礼仪问题。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你无法承受复杂的葬礼传统，问题不是出在不孝，而在于你对传统礼仪没有信仰。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在比较保守的地区以及老一辈心里，对完备的葬礼的执着还是比较深的，没做好会觉得影响运势，妨碍吉凶。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这是一整个的信仰熏陶问题。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你没这个熏陶，勉强你去信不太现实。这跟孝顺、亲子感情关系不大，这就像你很爱父母，也忍不了ta们花很多钱去买那些你觉得根本是骗人的保健品一样。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同样的钱请父母坐游轮、出去玩、吃美食，你不会舍不得。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可见这个“不买保健品”和是否尽孝没有关系。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这类葬礼也是一样。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你不信而已、不信就不拘了。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另寻别的方式表达哀思吧。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再说你这具体的案例——这很明显是你母亲感到孤独、焦虑，所以对你、对你的家人特别思念，想要看到你们。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可怜父母心，她都没有说是自己想你们，是自己需要你们，而是用父亲仪式的名头。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而且为了迁就你，让步了又让步。</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那活着的（承前）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她似乎不愿意成为你的负担，在小心翼翼的避免造成你的压力呢。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希望实情是我想多了，否则我一个外人，想到你母亲刚失去了自己一生的伴侣，而唯一的儿子在千里之外，即使以刚刚故去的亡父的名，也怎么呼唤也都呼唤不回，真的有点为她心酸。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你有难处，做父母的永远会体谅。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何况脚长在你身上，除了体谅，ta们又能如何呢？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但就算决定了不回去、回不去，还是尽量温柔一点向母亲表示歉疚和理解吧。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把这事往“算不算对父亲不孝”上苦恼，其实有些离题了。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母亲还活着，活着的人更重要。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祝你们平安。</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本根敦倫——血亲宗族与家庭抚育 · 癸冊 臨終關懷與白事奠儀</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二〇二六年九月四日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323850" cy="323850"/>
                                      </a:xfrm>
                                      <a:prstGeom prst="rect">
                                        <a:avLst/>
                                      </a:prstGeom>
                                    </pic:spPr>
                                  </pic:pic>
                                </a:graphicData>
                              </a:graphic>
                            </wp:inline>
                          </w:drawing>
                        </w:r>
                      </w:p>
                    </w:tc>
                  </w:tr>
                </w:tbl>
                <w:p/>
              </w:tc>
            </w:tr>
          </w:tbl>
          <w:p/>
        </w:tc>
      </w:tr>
    </w:tbl>
    <w:p>
      <w:pPr>
        <w:snapToGrid w:val="0"/>
        <w:spacing w:before="0" w:after="0" w:line="20" w:lineRule="exact"/>
        <w:sectPr>
          <w:footerReference w:type="default" r:id="rId7"/>
          <w:footerReference w:type="even" r:id="rId8"/>
          <w:type w:val="nextPage"/>
          <w:pgSz w:w="11906" w:h="16838" w:orient="portrait"/>
          <w:pgMar w:top="900" w:right="1020" w:bottom="1500" w:left="1587" w:header="620" w:footer="600" w:gutter="0"/>
          <w:pgNumType w:fmt="chineseCountingThousand" w:start="1"/>
          <w:docGrid w:type="default" w:linePitch="0" w:charSpace="0"/>
        </w:sectPr>
      </w:pPr>
    </w:p>
    <w:tbl>
      <w:tblPr>
        <w:tblW w:type="dxa" w:w="9280"/>
        <w:tblBorders>
          <w:top w:val="none"/>
          <w:left w:val="none"/>
          <w:bottom w:val="none"/>
          <w:right w:val="none"/>
          <w:insideH w:val="none"/>
          <w:insideV w:val="none"/>
        </w:tblBorders>
        <w:tblLayout w:type="fixed"/>
      </w:tblPr>
      <w:tblGrid>
        <w:gridCol w:w="9280"/>
      </w:tblGrid>
      <w:tr>
        <w:trPr>
          <w:cantSplit/>
          <w:trHeight w:val="14318" w:hRule="exact"/>
        </w:trPr>
        <w:tc>
          <w:tcPr>
            <w:tcW w:type="dxa" w:w="9280"/>
            <w:tcMar>
              <w:top w:type="dxa" w:w="0"/>
              <w:left w:type="dxa" w:w="0"/>
              <w:bottom w:type="dxa" w:w="0"/>
              <w:right w:type="dxa" w:w="0"/>
            </w:tcMar>
          </w:tcPr>
          <w:p>
            <w:pPr>
              <w:snapToGrid w:val="0"/>
              <w:spacing w:after="0" w:before="0" w:line="20" w:lineRule="exact"/>
            </w:pPr>
          </w:p>
        </w:tc>
      </w:tr>
    </w:tbl>
    <w:p>
      <w:pPr>
        <w:snapToGrid w:val="0"/>
        <w:spacing w:after="0" w:before="0" w:line="20" w:lineRule="exact"/>
      </w:pP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360" w:before="3100" w:line="80" w:lineRule="exact"/>
              <w:jc w:val="center"/>
            </w:pPr>
            <w:r>
              <w:rPr>
                <w:rFonts w:ascii="汉仪方篆 U" w:cs="汉仪方篆 U" w:eastAsia="汉仪方篆 U" w:hAnsi="汉仪方篆 U"/>
                <w:b/>
                <w:bCs/>
                <w:color w:val="8F2D26"/>
                <w:sz w:val="96"/>
                <w:szCs w:val="96"/>
              </w:rPr>
              <w:t xml:space="preserve">岐  </w:t>
            </w:r>
          </w:p>
          <w:p>
            <w:pPr>
              <w:snapToGrid w:val="0"/>
              <w:spacing w:after="360" w:before="3100" w:line="80" w:lineRule="exact"/>
              <w:jc w:val="center"/>
            </w:pPr>
            <w:r>
              <w:rPr>
                <w:rFonts w:ascii="汉仪方篆 U" w:cs="汉仪方篆 U" w:eastAsia="汉仪方篆 U" w:hAnsi="汉仪方篆 U"/>
                <w:b/>
                <w:bCs/>
                <w:color w:val="8F2D26"/>
                <w:sz w:val="96"/>
                <w:szCs w:val="96"/>
              </w:rPr>
              <w:t xml:space="preserve">伯 </w:t>
            </w:r>
          </w:p>
          <w:p>
            <w:pPr>
              <w:snapToGrid w:val="0"/>
              <w:spacing w:after="360" w:before="3100" w:line="80" w:lineRule="exact"/>
              <w:jc w:val="center"/>
            </w:pPr>
            <w:r>
              <w:rPr>
                <w:rFonts w:ascii="汉仪方篆 U" w:cs="汉仪方篆 U" w:eastAsia="汉仪方篆 U" w:hAnsi="汉仪方篆 U"/>
                <w:b/>
                <w:bCs/>
                <w:color w:val="8F2D26"/>
                <w:sz w:val="96"/>
                <w:szCs w:val="96"/>
              </w:rPr>
              <w:t xml:space="preserve"> 論</w:t>
            </w:r>
          </w:p>
          <w:p>
            <w:pPr>
              <w:snapToGrid w:val="0"/>
              <w:spacing w:after="0" w:before="0" w:line="360" w:lineRule="atLeast"/>
              <w:jc w:val="center"/>
            </w:pPr>
            <w:r>
              <w:rPr>
                <w:rFonts w:ascii="汉仪字酷堂会典楷书 W" w:cs="汉仪字酷堂会典楷书 W" w:eastAsia="汉仪字酷堂会典楷书 W" w:hAnsi="汉仪字酷堂会典楷书 W"/>
                <w:color w:val="23201D"/>
                <w:sz w:val="44"/>
                <w:szCs w:val="44"/>
              </w:rPr>
              <w:t xml:space="preserve">癸冊 · 臨終關懷與白事奠儀</w:t>
            </w:r>
          </w:p>
        </w:tc>
      </w:tr>
    </w:tbl>
    <w:sectPr>
      <w:footerReference w:type="default" r:id="rId9"/>
      <w:footerReference w:type="even" r:id="rId10"/>
      <w:type w:val="nextPage"/>
      <w:pgSz w:w="11906" w:h="16838" w:orient="portrait"/>
      <w:pgMar w:top="900" w:right="1020" w:bottom="1500" w:left="1587" w:header="620" w:footer="600" w:gutter="0"/>
      <w:docGrid w:type="default" w:linePitch="0" w:charSpace="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napToGrid w:val="0"/>
      <w:spacing w:after="0" w:before="0" w:line="300" w:lineRule="atLeast"/>
      <w:jc w:val="right"/>
    </w:pPr>
    <w:r>
      <w:rPr>
        <w:rFonts w:ascii="方正文沁永乐大典体M 简" w:cs="方正文沁永乐大典体M 简" w:eastAsia="方正文沁永乐大典体M 简" w:hAnsi="方正文沁永乐大典体M 简"/>
        <w:b/>
        <w:bCs/>
        <w:sz w:val="26"/>
        <w:szCs w:val="26"/>
      </w:rPr>
      <w:t xml:space="preserve">第 </w:t>
    </w:r>
    <w:r>
      <w:rPr>
        <w:rFonts w:ascii="方正文沁永乐大典体M 简" w:cs="方正文沁永乐大典体M 简" w:eastAsia="方正文沁永乐大典体M 简" w:hAnsi="方正文沁永乐大典体M 简"/>
        <w:b/>
        <w:bCs/>
        <w:sz w:val="26"/>
        <w:szCs w:val="26"/>
      </w:rPr>
      <w:fldChar w:fldCharType="begin"/>
      <w:instrText xml:space="preserve">PAGE</w:instrText>
      <w:fldChar w:fldCharType="separate"/>
      <w:fldChar w:fldCharType="end"/>
    </w:r>
    <w:r>
      <w:rPr>
        <w:rFonts w:ascii="方正文沁永乐大典体M 简" w:cs="方正文沁永乐大典体M 简" w:eastAsia="方正文沁永乐大典体M 简" w:hAnsi="方正文沁永乐大典体M 简"/>
        <w:b/>
        <w:bCs/>
        <w:sz w:val="26"/>
        <w:szCs w:val="26"/>
      </w:rPr>
      <w:t xml:space="preserve"> 葉</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napToGrid w:val="0"/>
      <w:spacing w:after="0" w:before="0" w:line="300" w:lineRule="atLeast"/>
      <w:jc w:val="left"/>
    </w:pPr>
    <w:r>
      <w:rPr>
        <w:rFonts w:ascii="方正文沁永乐大典体M 简" w:cs="方正文沁永乐大典体M 简" w:eastAsia="方正文沁永乐大典体M 简" w:hAnsi="方正文沁永乐大典体M 简"/>
        <w:b/>
        <w:bCs/>
        <w:sz w:val="26"/>
        <w:szCs w:val="26"/>
      </w:rPr>
      <w:t xml:space="preserve">第 </w:t>
    </w:r>
    <w:r>
      <w:rPr>
        <w:rFonts w:ascii="方正文沁永乐大典体M 简" w:cs="方正文沁永乐大典体M 简" w:eastAsia="方正文沁永乐大典体M 简" w:hAnsi="方正文沁永乐大典体M 简"/>
        <w:b/>
        <w:bCs/>
        <w:sz w:val="26"/>
        <w:szCs w:val="26"/>
      </w:rPr>
      <w:fldChar w:fldCharType="begin"/>
      <w:instrText xml:space="preserve">PAGE</w:instrText>
      <w:fldChar w:fldCharType="separate"/>
      <w:fldChar w:fldCharType="end"/>
    </w:r>
    <w:r>
      <w:rPr>
        <w:rFonts w:ascii="方正文沁永乐大典体M 简" w:cs="方正文沁永乐大典体M 简" w:eastAsia="方正文沁永乐大典体M 简" w:hAnsi="方正文沁永乐大典体M 简"/>
        <w:b/>
        <w:bCs/>
        <w:sz w:val="26"/>
        <w:szCs w:val="26"/>
      </w:rPr>
      <w:t xml:space="preserve"> 葉</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mirrorMargin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方正文沁永乐大典体M 简" w:cs="方正文沁永乐大典体M 简" w:eastAsia="方正文沁永乐大典体M 简" w:hAnsi="方正文沁永乐大典体M 简"/>
        <w:color w:val="23201D"/>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footer" Target="footer4.xml"/><Relationship Id="rId11" Type="http://schemas.openxmlformats.org/officeDocument/2006/relationships/image" Target="media/b8ab2f14fbdd5f282c57f582b21d9367037a10ad.undefined"/><Relationship Id="rId12" Type="http://schemas.openxmlformats.org/officeDocument/2006/relationships/image" Target="media/8f5002ef9c55117106e06092392bd77cb61a909a.undefined"/><Relationship Id="rId13" Type="http://schemas.openxmlformats.org/officeDocument/2006/relationships/image" Target="media/8fda64bbd52e7afa9c3d0d746f8e17fe16a30313.undefined"/><Relationship Id="rId14" Type="http://schemas.openxmlformats.org/officeDocument/2006/relationships/image" Target="media/67396e49fbe5044d04439aaa73ed8ebd233663bc.undefined"/><Relationship Id="rId15" Type="http://schemas.openxmlformats.org/officeDocument/2006/relationships/image" Target="media/736ee1ca1da5e19eb65fc48c289ae2fc39cd87f9.undefined"/><Relationship Id="rId16" Type="http://schemas.openxmlformats.org/officeDocument/2006/relationships/image" Target="media/ff0067706734392d2758d0f309869c139aa33f50.undefined"/><Relationship Id="rId17" Type="http://schemas.openxmlformats.org/officeDocument/2006/relationships/image" Target="media/8bb734c9528b7ff5758b6b72dbd47bcd2387b115.undefined"/><Relationship Id="rId18" Type="http://schemas.openxmlformats.org/officeDocument/2006/relationships/image" Target="media/18562e5e70c152c3ac1aa9d3f5ba278e8c0357e9.undefined"/><Relationship Id="rId19" Type="http://schemas.openxmlformats.org/officeDocument/2006/relationships/image" Target="media/ee1c7dc2086f51dc6a464473b70a2d388e235530.undefined"/><Relationship Id="rId20" Type="http://schemas.openxmlformats.org/officeDocument/2006/relationships/image" Target="media/f9e4c1a2aae9c05f2d183ad5c54c0e888ac65286.undefined"/><Relationship Id="rId21" Type="http://schemas.openxmlformats.org/officeDocument/2006/relationships/image" Target="media/286c45e597e9b92fab03a4e11985a49a0aafe4aa.undefined"/><Relationship Id="rId2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2026-10-09T15:26:20.880Z</dcterms:created>
  <dcterms:modified xsi:type="dcterms:W3CDTF">2026-10-09T15:26:20.880Z</dcterms:modified>
</cp:coreProperties>
</file>

<file path=docProps/custom.xml><?xml version="1.0" encoding="utf-8"?>
<Properties xmlns="http://schemas.openxmlformats.org/officeDocument/2006/custom-properties" xmlns:vt="http://schemas.openxmlformats.org/officeDocument/2006/docPropsVTypes"/>
</file>