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QBLCoverTitle"/>
        <w:spacing w:after="600" w:before="2000" w:line="360" w:lineRule="auto"/>
        <w:jc w:val="center"/>
      </w:pPr>
      <w:r>
        <w:rPr>
          <w:rFonts w:ascii="汉仪昌黎宋刻本原版W" w:eastAsia="汉仪昌黎宋刻本原版W" w:hAnsi="汉仪昌黎宋刻本原版W"/>
          <w:b/>
          <w:bCs/>
          <w:color w:val="1F1B16"/>
          <w:sz w:val="64"/>
          <w:szCs w:val="64"/>
        </w:rPr>
        <w:t xml:space="preserve">岐　伯　论</w:t>
      </w:r>
    </w:p>
    <w:p>
      <w:pPr>
        <w:pStyle w:val="QBLCoverSubtitle"/>
        <w:spacing w:after="9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A74736"/>
          <w:sz w:val="28"/>
          <w:szCs w:val="28"/>
        </w:rPr>
        <w:t xml:space="preserve">档案册（待审·排除候选·材料不足）</w:t>
      </w:r>
    </w:p>
    <w:p>
      <w:pPr>
        <w:pStyle w:val="QBLCoverEdition"/>
        <w:spacing w:after="400" w:before="0" w:line="360" w:lineRule="auto"/>
        <w:jc w:val="center"/>
      </w:pPr>
      <w:r>
        <w:rPr>
          <w:rFonts w:ascii="汉仪昌黎宋刻本原版W" w:eastAsia="汉仪昌黎宋刻本原版W" w:hAnsi="汉仪昌黎宋刻本原版W"/>
          <w:b w:val="false"/>
          <w:bCs w:val="false"/>
          <w:color w:val="7A6D5E"/>
          <w:sz w:val="20"/>
          <w:szCs w:val="20"/>
        </w:rPr>
        <w:t xml:space="preserve">阅读正文版 · 研究工作本</w:t>
      </w:r>
    </w:p>
    <w:p>
      <w:pPr>
        <w:pStyle w:val="QBLCoverEdition"/>
        <w:spacing w:after="700" w:before="0" w:line="360" w:lineRule="auto"/>
        <w:jc w:val="center"/>
      </w:pPr>
      <w:r>
        <w:rPr>
          <w:rFonts w:ascii="书宋-简" w:eastAsia="书宋-简" w:hAnsi="书宋-简"/>
          <w:b w:val="false"/>
          <w:bCs w:val="false"/>
          <w:color w:val="7A6D5E"/>
          <w:sz w:val="20"/>
          <w:szCs w:val="20"/>
        </w:rPr>
        <w:t xml:space="preserve">APPENDIX　第 1 册 / 共 1 册</w:t>
      </w:r>
    </w:p>
    <w:tbl>
      <w:tblPr>
        <w:tblW w:type="dxa" w:w="1560"/>
        <w:jc w:val="center"/>
        <w:tblBorders>
          <w:top w:val="single" w:color="A74736" w:sz="24"/>
          <w:left w:val="single" w:color="A74736" w:sz="24"/>
          <w:bottom w:val="single" w:color="A74736" w:sz="24"/>
          <w:right w:val="single" w:color="A74736" w:sz="2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560"/>
            <w:tcBorders>
              <w:top w:val="single" w:color="A74736" w:sz="24"/>
              <w:left w:val="single" w:color="A74736" w:sz="24"/>
              <w:bottom w:val="single" w:color="A74736" w:sz="24"/>
              <w:right w:val="single" w:color="A74736" w:sz="24"/>
            </w:tcBorders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岐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伯</w:t>
            </w:r>
          </w:p>
          <w:p>
            <w:pPr>
              <w:spacing w:after="0" w:before="0" w:line="260" w:lineRule="auto"/>
              <w:jc w:val="center"/>
            </w:pPr>
            <w:r>
              <w:rPr>
                <w:rFonts w:ascii="汉仪篆书繁" w:eastAsia="汉仪篆书繁" w:hAnsi="汉仪篆书繁"/>
                <w:b/>
                <w:bCs/>
                <w:color w:val="A74736"/>
                <w:sz w:val="32"/>
                <w:szCs w:val="32"/>
              </w:rPr>
              <w:t xml:space="preserve">论</w:t>
            </w:r>
          </w:p>
        </w:tc>
      </w:tr>
    </w:tbl>
    <w:p>
      <w:pPr>
        <w:spacing w:after="60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0"/>
          <w:szCs w:val="20"/>
        </w:rPr>
        <w:t xml:space="preserve"/>
      </w:r>
    </w:p>
    <w:p>
      <w:pPr>
        <w:pStyle w:val="QBLCoverMeta"/>
        <w:spacing w:after="120" w:before="0" w:line="360" w:lineRule="auto"/>
        <w:jc w:val="center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第 1–8 篇 / 全专题 8 篇　第 1 / 1 册　版式 A5 148×210mm</w:t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本册说明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本册为 APPENDIX 档案册（待审·排除候选·材料不足） 的阅读工作本。正文保留发表顺序、提问、正文与篇末研究信息；篇末留有研究笔记横线，页边留有批注空间，供阅读时勾画与批注。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专题界定：主专题经判断为待审、或属排除候选、或正文为空/缺失的文章，单独归档，不混入专题正册。</w:t>
      </w:r>
    </w:p>
    <w:p>
      <w:pPr>
        <w:pStyle w:val="QBLFrontBody"/>
        <w:spacing w:after="20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使用约定：篇题下为提问与正文；正文之后为图片；篇末以小字保留原文链接、分类标签与官方路径；页码在最终排版后回填。</w:t>
      </w:r>
    </w:p>
    <w:p>
      <w:pPr>
        <w:pStyle w:val="QBLFrontBody"/>
        <w:spacing w:after="20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5"/>
          <w:szCs w:val="15"/>
        </w:rPr>
        <w:t xml:space="preserve">语料：sooon-q9adg-articles-v2.jsonl（4,305 篇）　SHA-256：cdc9c271309e1d71d9708889a3a31f4777e0c339ea54c3753521894afdb8357d</w:t>
      </w:r>
    </w:p>
    <w:p>
      <w:pPr>
        <w:pStyle w:val="QBLFrontTitle"/>
        <w:spacing w:after="160" w:before="320" w:line="360" w:lineRule="auto"/>
      </w:pPr>
      <w:r>
        <w:rPr>
          <w:rFonts w:ascii="书宋-简" w:eastAsia="书宋-简" w:hAnsi="书宋-简"/>
          <w:b/>
          <w:bCs/>
          <w:color w:val="1F1B16"/>
          <w:sz w:val="24"/>
          <w:szCs w:val="24"/>
        </w:rPr>
        <w:t xml:space="preserve">本册目录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3959　基督教与食血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3829　酒神与天神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3820　各行其道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3721　活成这样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3561　没伦理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3391　陌生宗教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3035　穿越幽谷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TOC"/>
        <w:tabs>
          <w:tab w:val="right" w:pos="5925" w:leader="dot"/>
        </w:tabs>
        <w:spacing w:after="60" w:line="320" w:lineRule="auto"/>
      </w:pPr>
      <w:r>
        <w:rPr>
          <w:rFonts w:ascii="黑体-简" w:eastAsia="黑体-简" w:hAnsi="黑体-简"/>
          <w:sz w:val="20"/>
          <w:szCs w:val="20"/>
        </w:rPr>
        <w:t xml:space="preserve">2319　兼得</w:t>
      </w:r>
      <w:r>
        <w:rPr>
          <w:rFonts w:ascii="黑体-简" w:eastAsia="黑体-简" w:hAnsi="黑体-简"/>
          <w:color w:val="6B6258"/>
          <w:sz w:val="18"/>
          <w:szCs w:val="18"/>
        </w:rPr>
        <w:t xml:space="preserve">	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说明：目录页码需在 WPS 最终排版后回填；也可删除本页改用 WPS 自动目录域。</w:t>
      </w:r>
    </w:p>
    <w:p>
      <w:pPr>
        <w:sectPr>
          <w:pgSz w:w="8391" w:h="11906" w:orient="portrait"/>
          <w:pgMar w:top="1021" w:right="992" w:bottom="1134" w:left="1247" w:header="709" w:footer="709" w:gutter="227"/>
          <w:pgNumType/>
          <w:docGrid w:linePitch="360"/>
        </w:sectPr>
      </w:pPr>
    </w:p>
    <w:p>
      <w:pPr>
        <w:pStyle w:val="QBLArticleTitle"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3959　基督教与食血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：基督教徒能不能食血？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一劳永逸的解决这个问题——“能不能吃”不好说，但是以下各老牌基督教国家都在吃：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日期：2019-03-08　主专题：A18 档案册（待审·排除候选·材料不足）　副专题：A20;A02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ID：c6a02357-79be-54da-895e-0a7a9b76dc93　原文链接：</w:t>
      </w:r>
      <w:hyperlink w:history="1" r:id="rIdthxqlzeugrqognwaiwn9a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https://www.zhihu.com/question/283193734/answer/616925534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概念标签：事实与证据;能力与学习;选择与自由;边界与许可;法律与秩序;文明与历史;宗教与自然法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3829　酒神与天神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：狄俄尼索斯为什么可以取代宙斯？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因为麻醉剂必将替代兴奋剂成为人类最廉价的终极方案。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日期：2020-03-08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ID：5316551a-199f-5363-8436-1c4d4a72bbc2　原文链接：</w:t>
      </w:r>
      <w:hyperlink w:history="1" r:id="rIdzt2x8butnybpalyofaqjx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https://www.zhihu.com/question/351515039/answer/1064265349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批判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概念标签：事实与证据;成本与总账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3820　各行其道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：铲屎官们都说猫惧怕出门，为什么说猫是野生动物的杀手？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你眼中的出门：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猫眼中的出门：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猫根本不是不爱出门，人家是野外之王好吗！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ta只是非常不喜欢跟愚蠢的人类一起出门！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心累！！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日期：2020-03-15　主专题：A20 档案册（待审·排除候选·材料不足）　副专题：A02;A00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ID：e266c1dd-a142-51f3-a1c7-661ec21e4585　原文链接：</w:t>
      </w:r>
      <w:hyperlink w:history="1" r:id="rIdhp__zfu5uepq8sbk5y7os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https://www.zhihu.com/question/379559879/answer/1080246604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官方对象—实践路径：与自然 / 与生灵 / 共存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概念标签：选择与自由;责任与后果;爱与回应;生态与自然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3721　活成这样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：人生应该活成什么样子，该以什么样的方式活着？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兰迪·波许教授的最后一课 Randy Pausch's Last Lecture 【2007】【纪录片】【美国_哔哩哔哩 (゜-゜)つロ 干杯~-bilibili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日期：2020-07-17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ID：e122a811-8341-594f-bce6-b50983b7e485　原文链接：</w:t>
      </w:r>
      <w:hyperlink w:history="1" r:id="rIdlq70z8s2jtfmd_i7hipnw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https://www.zhihu.com/question/290003248/answer/1344906957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与理想 / 建立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概念标签：责任与后果;爱与回应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初读：reviewed_needs_revision　独立复核：reviewed_needs_revision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3561　没伦理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：如果没有伦理道德，医学将会发展到什么样？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如果没有伦理道德，厂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日期：2020-12-11　主专题：A00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ID：cdf1315e-9753-550f-8e55-651c06dfa32f　原文链接：</w:t>
      </w:r>
      <w:hyperlink w:history="1" r:id="rIdjzq8uu50bg-hf-vbhhr1p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https://www.zhihu.com/question/433584800/answer/1622701949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概念标签：事实与证据;责任与后果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标记：【正文缺失片段（复核已记）】　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3391　陌生宗教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：世界有一些什么人们知道较少的宗教？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耆那教是一个很值得注意的教派。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搜索一下什么叫做“萨恩塔拉”（santhara)。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日期：2021-04-18　主专题：A11 档案册（待审·排除候选·材料不足）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ID：41c47afa-ca71-5905-924e-bc87c5a24f35　原文链接：</w:t>
      </w:r>
      <w:hyperlink w:history="1" r:id="rIdrfk5lmhhkf4ueugvgrwtg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https://www.zhihu.com/question/23916121/answer/1840900023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官方对象—实践路径：与社会 / 与文化 / 接纳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概念标签：定义与达意;选择与自由;文明与历史;宗教与自然法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标记：【极短回答】　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3035　穿越幽谷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：什么样的能量才能支撑一个人走过人生的低谷和迷茫？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“所以我告诉你们，不要为生命忧虑吃什么，喝什么；为身体忧虑穿什么。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生命不胜于饮食吗？身体不胜于衣裳吗？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你们看那天上的飞鸟，也不种，也不收，也不积蓄在仓里， 你们的天父尚且养活它。你们不比飞鸟贵重得多吗？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你们哪一个能用思虑使寿数多加一刻呢？ 何必为衣裳忧虑呢？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你想野地里的百合花怎么长起来；它也不劳苦，也不纺线。 然而我告诉你们，就是所罗门极荣华的时候，他所穿戴的，还不如这花一朵呢！ ”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日期：2021-09-25　主专题：A11 档案册（待审·排除候选·材料不足）　副专题：A01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ID：beb62240-efcb-50cb-ac99-b2ef1dc53fbf　原文链接：</w:t>
      </w:r>
      <w:hyperlink w:history="1" r:id="rIda99dn7hro--dnqpqhbdxe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https://www.zhihu.com/question/29064178/answer/2138370594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与身体 / 维护;与自己 / 与情绪 / 接纳;与自己 / 与信念 / 坚守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概念标签：选择与自由;照料与家庭;权力与异议;心理与主体;性别与身体;宗教与自然法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证据状态：manual_provisional　初读：read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标记：【待审】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ArticleTitle"/>
        <w:pageBreakBefore/>
        <w:pBdr>
          <w:bottom w:val="single" w:color="C9B99F" w:sz="6" w:space="6"/>
        </w:pBdr>
        <w:spacing w:after="100" w:before="0"/>
      </w:pPr>
      <w:r>
        <w:rPr>
          <w:rFonts w:ascii="书宋-简" w:eastAsia="书宋-简" w:hAnsi="书宋-简"/>
          <w:b/>
          <w:bCs/>
          <w:color w:val="1F1B16"/>
          <w:sz w:val="32"/>
          <w:szCs w:val="32"/>
        </w:rPr>
        <w:t xml:space="preserve">2319　兼得</w:t>
      </w:r>
    </w:p>
    <w:p>
      <w:pPr>
        <w:pStyle w:val="QBLQuestion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提问</w:t>
      </w:r>
    </w:p>
    <w:p>
      <w:pPr>
        <w:pStyle w:val="QBLQuestion"/>
        <w:spacing w:after="160" w:before="0" w:line="360" w:lineRule="auto"/>
      </w:pPr>
      <w:r>
        <w:rPr>
          <w:rFonts w:ascii="书宋-简" w:eastAsia="书宋-简" w:hAnsi="书宋-简"/>
          <w:b w:val="false"/>
          <w:bCs w:val="false"/>
          <w:color w:val="1F1B16"/>
          <w:sz w:val="22"/>
          <w:szCs w:val="22"/>
        </w:rPr>
        <w:t xml:space="preserve">：当你去世时，是想被网络遗忘还是留下你的「数字遗产」？你会如何处理自己的数字遗产？</w:t>
      </w:r>
    </w:p>
    <w:p>
      <w:pPr>
        <w:pStyle w:val="QBLBodyLabel"/>
        <w:spacing w:after="40" w:before="180" w:line="360" w:lineRule="auto"/>
      </w:pPr>
      <w:r>
        <w:rPr>
          <w:rFonts w:ascii="黑体-简" w:eastAsia="黑体-简" w:hAnsi="黑体-简"/>
          <w:b/>
          <w:bCs/>
          <w:color w:val="A74736"/>
          <w:sz w:val="15"/>
          <w:szCs w:val="15"/>
        </w:rPr>
        <w:t xml:space="preserve">正文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刘看山犯了一个错误，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就是认为“留下数字遗产”和“被网络遗忘”不可兼得。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小孩子才做选择。</w:t>
      </w:r>
    </w:p>
    <w:p>
      <w:pPr>
        <w:pStyle w:val="QBLBody"/>
        <w:spacing w:after="120" w:before="0" w:line="360" w:lineRule="auto"/>
        <w:ind w:firstLineChars="200"/>
      </w:pPr>
      <w:r>
        <w:rPr>
          <w:rFonts w:ascii="书宋-简" w:eastAsia="书宋-简" w:hAnsi="书宋-简"/>
          <w:b w:val="false"/>
          <w:bCs w:val="false"/>
          <w:color w:val="1F1B16"/>
          <w:sz w:val="21"/>
          <w:szCs w:val="21"/>
        </w:rPr>
        <w:t xml:space="preserve">_（该篇图片经审读后决定不随册排印。）_</w:t>
      </w:r>
    </w:p>
    <w:p>
      <w:pPr>
        <w:pStyle w:val="QBLResearchLabel"/>
        <w:spacing w:after="40" w:before="200" w:line="360" w:lineRule="auto"/>
      </w:pPr>
      <w:r>
        <w:rPr>
          <w:rFonts w:ascii="黑体-简" w:eastAsia="黑体-简" w:hAnsi="黑体-简"/>
          <w:b/>
          <w:bCs/>
          <w:color w:val="7A6D5E"/>
          <w:sz w:val="15"/>
          <w:szCs w:val="15"/>
        </w:rPr>
        <w:t xml:space="preserve">篇末研究信息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日期：2023-04-04　主专题：A19 档案册（待审·排除候选·材料不足）　副专题：A16;A15</w:t>
      </w:r>
    </w:p>
    <w:p>
      <w:pPr>
        <w:pStyle w:val="QBLResearchMeta"/>
        <w:spacing w:after="20" w:before="0"/>
      </w:pPr>
      <w:r>
        <w:rPr>
          <w:rFonts w:ascii="黑体-简" w:eastAsia="黑体-简" w:hAnsi="黑体-简"/>
          <w:color w:val="6B6258"/>
          <w:sz w:val="16"/>
          <w:szCs w:val="16"/>
        </w:rPr>
        <w:t xml:space="preserve">源 ID：3a71ddf7-b0ea-58f6-8c08-a3881e2a65ac　原文链接：</w:t>
      </w:r>
      <w:hyperlink w:history="1" r:id="rIdjb7wmpxb6ij8tz6rskopo">
        <w:r>
          <w:rPr>
            <w:rFonts w:ascii="黑体-简" w:eastAsia="黑体-简" w:hAnsi="黑体-简"/>
            <w:color w:val="2F5FA8"/>
            <w:sz w:val="16"/>
            <w:szCs w:val="16"/>
            <w:u w:val="single"/>
          </w:rPr>
          <w:t xml:space="preserve">https://www.zhihu.com/question/593491432/answer/2968189284</w:t>
        </w:r>
      </w:hyperlink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官方对象—实践路径：与自己 / 与财富 / 使用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23 概念标签：选择与自由;边界与许可;法律与秩序;文明与历史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证据状态：manual_confirmed　初读：needs_reread　独立复核：not_reviewed</w:t>
      </w:r>
    </w:p>
    <w:p>
      <w:pPr>
        <w:pStyle w:val="QBLResearchMeta"/>
        <w:spacing w:after="20" w:before="0" w:line="360" w:lineRule="auto"/>
      </w:pPr>
      <w:r>
        <w:rPr>
          <w:rFonts w:ascii="黑体-简" w:eastAsia="黑体-简" w:hAnsi="黑体-简"/>
          <w:b w:val="false"/>
          <w:bCs w:val="false"/>
          <w:color w:val="6B6258"/>
          <w:sz w:val="16"/>
          <w:szCs w:val="16"/>
        </w:rPr>
        <w:t xml:space="preserve">标记：【排除候选】　【极短回答】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ageBreakBefore/>
      </w:pPr>
      <w:r>
        <w:t xml:space="preserve"/>
      </w:r>
    </w:p>
    <w:p>
      <w:pPr>
        <w:pStyle w:val="QBLFrontTitle"/>
        <w:spacing w:after="200" w:before="0" w:line="360" w:lineRule="auto"/>
      </w:pPr>
      <w:r>
        <w:rPr>
          <w:rFonts w:ascii="书宋-简" w:eastAsia="书宋-简" w:hAnsi="书宋-简"/>
          <w:b/>
          <w:bCs/>
          <w:color w:val="1F1B16"/>
          <w:sz w:val="28"/>
          <w:szCs w:val="28"/>
        </w:rPr>
        <w:t xml:space="preserve">本册索引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3959　基督教与食血　日期 2019-03-08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3829　酒神与天神　日期 2020-03-08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3820　各行其道　日期 2020-03-15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3721　活成这样　日期 2020-07-17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3561　没伦理　日期 2020-12-11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3391　陌生宗教　日期 2021-04-18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3035　穿越幽谷　日期 2021-09-25　页码待回填</w:t>
      </w:r>
    </w:p>
    <w:p>
      <w:pPr>
        <w:pStyle w:val="QBLIndex"/>
        <w:spacing w:after="30" w:before="0" w:line="360" w:lineRule="auto"/>
      </w:pPr>
      <w:r>
        <w:rPr>
          <w:rFonts w:ascii="黑体-简" w:eastAsia="黑体-简" w:hAnsi="黑体-简"/>
          <w:b w:val="false"/>
          <w:bCs w:val="false"/>
          <w:color w:val="1F1B16"/>
          <w:sz w:val="16"/>
          <w:szCs w:val="16"/>
        </w:rPr>
        <w:t xml:space="preserve">2319　兼得　日期 2023-04-04　页码待回填</w:t>
      </w:r>
    </w:p>
    <w:p>
      <w:pPr>
        <w:pStyle w:val="QBLHint"/>
        <w:spacing w:after="120" w:before="20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6"/>
          <w:szCs w:val="16"/>
        </w:rPr>
        <w:t xml:space="preserve">全书索引与交叉索引（副专题、官方路径、23 概念、图片、异常）另行成册，页码在最终排版后统一回填。</w:t>
      </w:r>
    </w:p>
    <w:p>
      <w:pPr>
        <w:pageBreakBefore/>
      </w:pPr>
      <w:r>
        <w:t xml:space="preserve"/>
      </w:r>
    </w:p>
    <w:p>
      <w:pPr>
        <w:pStyle w:val="QBLNoteLabel"/>
        <w:spacing w:after="120" w:before="0" w:line="360" w:lineRule="auto"/>
      </w:pPr>
      <w:r>
        <w:rPr>
          <w:rFonts w:ascii="黑体-简" w:eastAsia="黑体-简" w:hAnsi="黑体-简"/>
          <w:b/>
          <w:bCs/>
          <w:color w:val="7A6D5E"/>
          <w:sz w:val="20"/>
          <w:szCs w:val="20"/>
        </w:rPr>
        <w:t xml:space="preserve">研究笔记页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ageBreakBefore/>
      </w:pPr>
      <w:r>
        <w:t xml:space="preserve"/>
      </w:r>
    </w:p>
    <w:p>
      <w:pPr>
        <w:pStyle w:val="QBLNoteLabel"/>
        <w:spacing w:after="120" w:before="0" w:line="360" w:lineRule="auto"/>
      </w:pPr>
      <w:r>
        <w:rPr>
          <w:rFonts w:ascii="黑体-简" w:eastAsia="黑体-简" w:hAnsi="黑体-简"/>
          <w:b/>
          <w:bCs/>
          <w:color w:val="7A6D5E"/>
          <w:sz w:val="20"/>
          <w:szCs w:val="20"/>
        </w:rPr>
        <w:t xml:space="preserve">研究笔记页</w:t>
      </w:r>
    </w:p>
    <w:p>
      <w:pPr>
        <w:pStyle w:val="QBLNoteLabel"/>
        <w:spacing w:after="60" w:before="160" w:line="360" w:lineRule="auto"/>
      </w:pPr>
      <w:r>
        <w:rPr>
          <w:rFonts w:ascii="黑体-简" w:eastAsia="黑体-简" w:hAnsi="黑体-简"/>
          <w:b/>
          <w:bCs/>
          <w:color w:val="7A6D5E"/>
          <w:sz w:val="16"/>
          <w:szCs w:val="16"/>
        </w:rPr>
        <w:t xml:space="preserve">研究笔记</w:t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NoteRule"/>
        <w:pBdr>
          <w:bottom w:val="single" w:color="D9C9AE" w:sz="6" w:space="2"/>
        </w:pBdr>
        <w:spacing w:after="200" w:before="0" w:line="360" w:lineRule="auto"/>
      </w:pPr>
      <w:r>
        <w:rPr>
          <w:sz w:val="16"/>
          <w:szCs w:val="16"/>
        </w:rPr>
        <w:t xml:space="preserve"/>
      </w:r>
    </w:p>
    <w:p>
      <w:pPr>
        <w:pStyle w:val="QBLHint"/>
        <w:spacing w:after="120" w:before="240" w:line="360" w:lineRule="auto"/>
      </w:pPr>
      <w:r>
        <w:rPr>
          <w:rFonts w:ascii="黑体-简" w:eastAsia="黑体-简" w:hAnsi="黑体-简"/>
          <w:b w:val="false"/>
          <w:bCs w:val="false"/>
          <w:color w:val="7A6D5E"/>
          <w:sz w:val="17"/>
          <w:szCs w:val="17"/>
        </w:rPr>
        <w:t xml:space="preserve">WPS 编辑提示：可直接修改字体、页边距、分页与样式；方印为表格对象，可整体拖动或改写；图片可替换或缩放。</w:t>
      </w:r>
    </w:p>
    <w:sectPr>
      <w:headerReference w:type="default" r:id="rId7"/>
      <w:footerReference w:type="default" r:id="rId8"/>
      <w:pgSz w:w="8391" w:h="11906" w:orient="portrait"/>
      <w:pgMar w:top="1021" w:right="992" w:bottom="1134" w:left="1247" w:header="709" w:footer="709" w:gutter="227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QBLFooter"/>
      <w:spacing w:before="0"/>
      <w:jc w:val="center"/>
    </w:pPr>
    <w:r>
      <w:rPr>
        <w:rFonts w:ascii="黑体-简" w:eastAsia="黑体-简" w:hAnsi="黑体-简"/>
        <w:color w:val="7A6D5E"/>
        <w:sz w:val="17"/>
        <w:szCs w:val="17"/>
      </w:rPr>
      <w:t xml:space="preserve">—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—　共 </w:t>
    </w:r>
    <w:r>
      <w:rPr>
        <w:rFonts w:ascii="黑体-简" w:eastAsia="黑体-简" w:hAnsi="黑体-简"/>
        <w:color w:val="7A6D5E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>
      <w:rPr>
        <w:rFonts w:ascii="黑体-简" w:eastAsia="黑体-简" w:hAnsi="黑体-简"/>
        <w:color w:val="7A6D5E"/>
        <w:sz w:val="17"/>
        <w:szCs w:val="17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Style w:val="QBLHeader"/>
      <w:pBdr>
        <w:bottom w:val="single" w:color="C9B99F" w:sz="4" w:space="4"/>
      </w:pBdr>
      <w:tabs>
        <w:tab w:val="right" w:pos="5925"/>
      </w:tabs>
      <w:spacing w:after="0"/>
    </w:pPr>
    <w:r>
      <w:rPr>
        <w:rFonts w:ascii="黑体-简" w:eastAsia="黑体-简" w:hAnsi="黑体-简"/>
        <w:color w:val="7A6D5E"/>
        <w:sz w:val="17"/>
        <w:szCs w:val="17"/>
      </w:rPr>
      <w:t xml:space="preserve">岐伯论 · 阅读正文版</w:t>
    </w:r>
    <w:r>
      <w:rPr>
        <w:rFonts w:ascii="黑体-简" w:eastAsia="黑体-简" w:hAnsi="黑体-简"/>
        <w:color w:val="7A6D5E"/>
        <w:sz w:val="17"/>
        <w:szCs w:val="17"/>
      </w:rPr>
      <w:t xml:space="preserve">	APPENDIX　档案册（待审·排除候选·材料不足）　第 1 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书宋-简" w:eastAsia="书宋-简" w:hAnsi="书宋-简"/>
        <w:color w:val="1F1B16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2F5FA8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QBLBody">
    <w:name w:val="QBL 正文"/>
    <w:pPr>
      <w:spacing w:after="12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ArticleTitle">
    <w:name w:val="QBL 篇题"/>
    <w:pPr>
      <w:spacing w:after="100" w:before="0"/>
    </w:pPr>
    <w:rPr>
      <w:rFonts w:ascii="书宋-简" w:eastAsia="书宋-简" w:hAnsi="书宋-简"/>
      <w:b/>
      <w:bCs/>
      <w:color w:val="1F1B16"/>
      <w:sz w:val="32"/>
      <w:szCs w:val="32"/>
    </w:rPr>
  </w:style>
  <w:style w:type="paragraph" w:styleId="QBLQuestion">
    <w:name w:val="QBL 提问"/>
    <w:pPr>
      <w:spacing w:after="160" w:line="360" w:lineRule="auto"/>
    </w:pPr>
    <w:rPr>
      <w:rFonts w:ascii="书宋-简" w:eastAsia="书宋-简" w:hAnsi="书宋-简"/>
      <w:color w:val="1F1B16"/>
      <w:sz w:val="22"/>
      <w:szCs w:val="22"/>
    </w:rPr>
  </w:style>
  <w:style w:type="paragraph" w:styleId="QBLQuestionLabel">
    <w:name w:val="QBL 提问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BodyLabel">
    <w:name w:val="QBL 正文标签"/>
    <w:pPr>
      <w:spacing w:after="40" w:before="180"/>
    </w:pPr>
    <w:rPr>
      <w:rFonts w:ascii="黑体-简" w:eastAsia="黑体-简" w:hAnsi="黑体-简"/>
      <w:b/>
      <w:bCs/>
      <w:color w:val="A74736"/>
      <w:sz w:val="15"/>
      <w:szCs w:val="15"/>
    </w:rPr>
  </w:style>
  <w:style w:type="paragraph" w:styleId="QBLResearchMeta">
    <w:name w:val="QBL 研究信息"/>
    <w:pPr>
      <w:spacing w:after="20" w:line="300" w:lineRule="auto"/>
    </w:pPr>
    <w:rPr>
      <w:rFonts w:ascii="黑体-简" w:eastAsia="黑体-简" w:hAnsi="黑体-简"/>
      <w:color w:val="6B6258"/>
      <w:sz w:val="16"/>
      <w:szCs w:val="16"/>
    </w:rPr>
  </w:style>
  <w:style w:type="paragraph" w:styleId="QBLResearchLabel">
    <w:name w:val="QBL 研究标签"/>
    <w:pPr>
      <w:spacing w:after="40" w:before="200"/>
    </w:pPr>
    <w:rPr>
      <w:rFonts w:ascii="黑体-简" w:eastAsia="黑体-简" w:hAnsi="黑体-简"/>
      <w:b/>
      <w:bCs/>
      <w:color w:val="7A6D5E"/>
      <w:sz w:val="15"/>
      <w:szCs w:val="15"/>
    </w:rPr>
  </w:style>
  <w:style w:type="paragraph" w:styleId="QBLNoteLabel">
    <w:name w:val="QBL 笔记标签"/>
    <w:pPr>
      <w:spacing w:after="60" w:before="160"/>
    </w:pPr>
    <w:rPr>
      <w:rFonts w:ascii="黑体-简" w:eastAsia="黑体-简" w:hAnsi="黑体-简"/>
      <w:b/>
      <w:bCs/>
      <w:color w:val="7A6D5E"/>
      <w:sz w:val="16"/>
      <w:szCs w:val="16"/>
    </w:rPr>
  </w:style>
  <w:style w:type="paragraph" w:styleId="QBLNoteRule">
    <w:name w:val="QBL 笔记横线"/>
    <w:pPr>
      <w:pBdr>
        <w:bottom w:val="single" w:color="D9C9AE" w:sz="6" w:space="2"/>
      </w:pBdr>
      <w:spacing w:after="200" w:line="360" w:lineRule="auto"/>
    </w:pPr>
    <w:rPr>
      <w:rFonts w:ascii="书宋-简" w:eastAsia="书宋-简" w:hAnsi="书宋-简"/>
      <w:sz w:val="16"/>
      <w:szCs w:val="16"/>
    </w:rPr>
  </w:style>
  <w:style w:type="paragraph" w:styleId="QBLCoverTitle">
    <w:name w:val="QBL 封面题名"/>
    <w:pPr>
      <w:spacing w:after="600" w:before="2000"/>
      <w:jc w:val="center"/>
    </w:pPr>
    <w:rPr>
      <w:rFonts w:ascii="汉仪昌黎宋刻本原版W" w:eastAsia="汉仪昌黎宋刻本原版W" w:hAnsi="汉仪昌黎宋刻本原版W"/>
      <w:b/>
      <w:bCs/>
      <w:color w:val="1F1B16"/>
      <w:sz w:val="64"/>
      <w:szCs w:val="64"/>
    </w:rPr>
  </w:style>
  <w:style w:type="paragraph" w:styleId="QBLCoverSubtitle">
    <w:name w:val="QBL 封面专题"/>
    <w:pPr>
      <w:spacing w:after="900"/>
      <w:jc w:val="center"/>
    </w:pPr>
    <w:rPr>
      <w:rFonts w:ascii="汉仪昌黎宋刻本原版W" w:eastAsia="汉仪昌黎宋刻本原版W" w:hAnsi="汉仪昌黎宋刻本原版W"/>
      <w:color w:val="A74736"/>
      <w:sz w:val="28"/>
      <w:szCs w:val="28"/>
    </w:rPr>
  </w:style>
  <w:style w:type="paragraph" w:styleId="QBLCoverEdition">
    <w:name w:val="QBL 封面版本"/>
    <w:pPr>
      <w:spacing w:after="400"/>
      <w:jc w:val="center"/>
    </w:pPr>
    <w:rPr>
      <w:rFonts w:ascii="汉仪昌黎宋刻本原版W" w:eastAsia="汉仪昌黎宋刻本原版W" w:hAnsi="汉仪昌黎宋刻本原版W"/>
      <w:color w:val="7A6D5E"/>
      <w:sz w:val="20"/>
      <w:szCs w:val="20"/>
    </w:rPr>
  </w:style>
  <w:style w:type="paragraph" w:styleId="QBLCoverMeta">
    <w:name w:val="QBL 封面说明"/>
    <w:pPr>
      <w:spacing w:after="120" w:line="300" w:lineRule="auto"/>
      <w:jc w:val="center"/>
    </w:pPr>
    <w:rPr>
      <w:rFonts w:ascii="黑体-简" w:eastAsia="黑体-简" w:hAnsi="黑体-简"/>
      <w:color w:val="6B6258"/>
      <w:sz w:val="15"/>
      <w:szCs w:val="15"/>
    </w:rPr>
  </w:style>
  <w:style w:type="paragraph" w:styleId="QBLFrontTitle">
    <w:name w:val="QBL 前置标题"/>
    <w:pPr>
      <w:pBdr>
        <w:bottom w:val="single" w:color="C9B99F" w:sz="6" w:space="6"/>
      </w:pBdr>
      <w:spacing w:after="200"/>
    </w:pPr>
    <w:rPr>
      <w:rFonts w:ascii="书宋-简" w:eastAsia="书宋-简" w:hAnsi="书宋-简"/>
      <w:b/>
      <w:bCs/>
      <w:color w:val="1F1B16"/>
      <w:sz w:val="28"/>
      <w:szCs w:val="28"/>
    </w:rPr>
  </w:style>
  <w:style w:type="paragraph" w:styleId="QBLFrontBody">
    <w:name w:val="QBL 前置正文"/>
    <w:pPr>
      <w:spacing w:after="200" w:line="360" w:lineRule="auto"/>
      <w:ind w:firstLineChars="200"/>
    </w:pPr>
    <w:rPr>
      <w:rFonts w:ascii="书宋-简" w:eastAsia="书宋-简" w:hAnsi="书宋-简"/>
      <w:color w:val="1F1B16"/>
      <w:sz w:val="21"/>
      <w:szCs w:val="21"/>
    </w:rPr>
  </w:style>
  <w:style w:type="paragraph" w:styleId="QBLTOC">
    <w:name w:val="QBL 目录"/>
    <w:pPr>
      <w:spacing w:after="60" w:line="320" w:lineRule="auto"/>
    </w:pPr>
    <w:rPr>
      <w:rFonts w:ascii="黑体-简" w:eastAsia="黑体-简" w:hAnsi="黑体-简"/>
      <w:color w:val="1F1B16"/>
      <w:sz w:val="20"/>
      <w:szCs w:val="20"/>
    </w:rPr>
  </w:style>
  <w:style w:type="paragraph" w:styleId="QBLIndex">
    <w:name w:val="QBL 索引"/>
    <w:pPr>
      <w:spacing w:after="30" w:line="300" w:lineRule="auto"/>
    </w:pPr>
    <w:rPr>
      <w:rFonts w:ascii="黑体-简" w:eastAsia="黑体-简" w:hAnsi="黑体-简"/>
      <w:color w:val="1F1B16"/>
      <w:sz w:val="16"/>
      <w:szCs w:val="16"/>
    </w:rPr>
  </w:style>
  <w:style w:type="paragraph" w:styleId="QBLHint">
    <w:name w:val="QBL 提示"/>
    <w:pPr>
      <w:spacing w:after="120" w:before="240" w:line="320" w:lineRule="auto"/>
    </w:pPr>
    <w:rPr>
      <w:rFonts w:ascii="黑体-简" w:eastAsia="黑体-简" w:hAnsi="黑体-简"/>
      <w:color w:val="7A6D5E"/>
      <w:sz w:val="17"/>
      <w:szCs w:val="17"/>
    </w:rPr>
  </w:style>
  <w:style w:type="paragraph" w:styleId="QBLHeader">
    <w:name w:val="QBL 页眉"/>
    <w:pPr>
      <w:spacing w:after="0"/>
    </w:pPr>
    <w:rPr>
      <w:rFonts w:ascii="黑体-简" w:eastAsia="黑体-简" w:hAnsi="黑体-简"/>
      <w:color w:val="7A6D5E"/>
      <w:sz w:val="17"/>
      <w:szCs w:val="17"/>
    </w:rPr>
  </w:style>
  <w:style w:type="paragraph" w:styleId="QBLFooter">
    <w:name w:val="QBL 页脚"/>
    <w:pPr>
      <w:spacing w:before="0"/>
      <w:jc w:val="center"/>
    </w:pPr>
    <w:rPr>
      <w:rFonts w:ascii="黑体-简" w:eastAsia="黑体-简" w:hAnsi="黑体-简"/>
      <w:color w:val="7A6D5E"/>
      <w:sz w:val="17"/>
      <w:szCs w:val="1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hxqlzeugrqognwaiwn9a" Type="http://schemas.openxmlformats.org/officeDocument/2006/relationships/hyperlink" Target="https://www.zhihu.com/question/283193734/answer/616925534" TargetMode="External"/><Relationship Id="rIdzt2x8butnybpalyofaqjx" Type="http://schemas.openxmlformats.org/officeDocument/2006/relationships/hyperlink" Target="https://www.zhihu.com/question/351515039/answer/1064265349" TargetMode="External"/><Relationship Id="rIdhp__zfu5uepq8sbk5y7os" Type="http://schemas.openxmlformats.org/officeDocument/2006/relationships/hyperlink" Target="https://www.zhihu.com/question/379559879/answer/1080246604" TargetMode="External"/><Relationship Id="rIdlq70z8s2jtfmd_i7hipnw" Type="http://schemas.openxmlformats.org/officeDocument/2006/relationships/hyperlink" Target="https://www.zhihu.com/question/290003248/answer/1344906957" TargetMode="External"/><Relationship Id="rIdjzq8uu50bg-hf-vbhhr1p" Type="http://schemas.openxmlformats.org/officeDocument/2006/relationships/hyperlink" Target="https://www.zhihu.com/question/433584800/answer/1622701949" TargetMode="External"/><Relationship Id="rIdrfk5lmhhkf4ueugvgrwtg" Type="http://schemas.openxmlformats.org/officeDocument/2006/relationships/hyperlink" Target="https://www.zhihu.com/question/23916121/answer/1840900023" TargetMode="External"/><Relationship Id="rIda99dn7hro--dnqpqhbdxe" Type="http://schemas.openxmlformats.org/officeDocument/2006/relationships/hyperlink" Target="https://www.zhihu.com/question/29064178/answer/2138370594" TargetMode="External"/><Relationship Id="rIdjb7wmpxb6ij8tz6rskopo" Type="http://schemas.openxmlformats.org/officeDocument/2006/relationships/hyperlink" Target="https://www.zhihu.com/question/593491432/answer/2968189284" TargetMode="External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岐伯论 · 档案册（待审·排除候选·材料不足） · 阅读工作本</dc:title>
  <dc:creator>岐伯论编册生成器（Node docx）</dc:creator>
  <dc:description>源卷：research-rebuild/print-20260926-rebuilt-v2/99-附录-档案册/volume-01.md</dc:description>
  <cp:lastModifiedBy>Un-named</cp:lastModifiedBy>
  <cp:revision>1</cp:revision>
  <dcterms:created xsi:type="dcterms:W3CDTF">2026-09-28T05:44:16.578Z</dcterms:created>
  <dcterms:modified xsi:type="dcterms:W3CDTF">2026-09-28T05:44:16.579Z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