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QBLCoverTitle"/>
        <w:spacing w:after="600" w:before="2000" w:line="360" w:lineRule="auto"/>
        <w:jc w:val="center"/>
      </w:pPr>
      <w:r>
        <w:rPr>
          <w:rFonts w:ascii="汉仪昌黎宋刻本原版W" w:eastAsia="汉仪昌黎宋刻本原版W" w:hAnsi="汉仪昌黎宋刻本原版W"/>
          <w:b/>
          <w:bCs/>
          <w:color w:val="1F1B16"/>
          <w:sz w:val="64"/>
          <w:szCs w:val="64"/>
        </w:rPr>
        <w:t xml:space="preserve">岐　伯　论</w:t>
      </w:r>
    </w:p>
    <w:p>
      <w:pPr>
        <w:pStyle w:val="QBLCoverSubtitle"/>
        <w:spacing w:after="900" w:before="0" w:line="360" w:lineRule="auto"/>
        <w:jc w:val="center"/>
      </w:pPr>
      <w:r>
        <w:rPr>
          <w:rFonts w:ascii="汉仪昌黎宋刻本原版W" w:eastAsia="汉仪昌黎宋刻本原版W" w:hAnsi="汉仪昌黎宋刻本原版W"/>
          <w:b w:val="false"/>
          <w:bCs w:val="false"/>
          <w:color w:val="A74736"/>
          <w:sz w:val="28"/>
          <w:szCs w:val="28"/>
        </w:rPr>
        <w:t xml:space="preserve">艺术审美与文化生产</w:t>
      </w:r>
    </w:p>
    <w:p>
      <w:pPr>
        <w:pStyle w:val="QBLCoverEdition"/>
        <w:spacing w:after="400" w:before="0" w:line="360" w:lineRule="auto"/>
        <w:jc w:val="center"/>
      </w:pPr>
      <w:r>
        <w:rPr>
          <w:rFonts w:ascii="汉仪昌黎宋刻本原版W" w:eastAsia="汉仪昌黎宋刻本原版W" w:hAnsi="汉仪昌黎宋刻本原版W"/>
          <w:b w:val="false"/>
          <w:bCs w:val="false"/>
          <w:color w:val="7A6D5E"/>
          <w:sz w:val="20"/>
          <w:szCs w:val="20"/>
        </w:rPr>
        <w:t xml:space="preserve">阅读正文版 · 研究工作本</w:t>
      </w:r>
    </w:p>
    <w:p>
      <w:pPr>
        <w:pStyle w:val="QBLCoverEdition"/>
        <w:spacing w:after="700" w:before="0" w:line="360" w:lineRule="auto"/>
        <w:jc w:val="center"/>
      </w:pPr>
      <w:r>
        <w:rPr>
          <w:rFonts w:ascii="书宋-简" w:eastAsia="书宋-简" w:hAnsi="书宋-简"/>
          <w:b w:val="false"/>
          <w:bCs w:val="false"/>
          <w:color w:val="7A6D5E"/>
          <w:sz w:val="20"/>
          <w:szCs w:val="20"/>
        </w:rPr>
        <w:t xml:space="preserve">A15　第 1 册 / 共 1 册</w:t>
      </w:r>
    </w:p>
    <w:tbl>
      <w:tblPr>
        <w:tblW w:type="dxa" w:w="1560"/>
        <w:jc w:val="center"/>
        <w:tblBorders>
          <w:top w:val="single" w:color="A74736" w:sz="24"/>
          <w:left w:val="single" w:color="A74736" w:sz="24"/>
          <w:bottom w:val="single" w:color="A74736" w:sz="24"/>
          <w:right w:val="single" w:color="A74736" w:sz="2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560"/>
            <w:tcBorders>
              <w:top w:val="single" w:color="A74736" w:sz="24"/>
              <w:left w:val="single" w:color="A74736" w:sz="24"/>
              <w:bottom w:val="single" w:color="A74736" w:sz="24"/>
              <w:right w:val="single" w:color="A74736" w:sz="2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岐</w:t>
            </w:r>
          </w:p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伯</w:t>
            </w:r>
          </w:p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论</w:t>
            </w:r>
          </w:p>
        </w:tc>
      </w:tr>
    </w:tbl>
    <w:p>
      <w:pPr>
        <w:spacing w:after="60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0"/>
          <w:szCs w:val="20"/>
        </w:rPr>
        <w:t xml:space="preserve"/>
      </w:r>
    </w:p>
    <w:p>
      <w:pPr>
        <w:pStyle w:val="QBLCoverMeta"/>
        <w:spacing w:after="120" w:before="0" w:line="360" w:lineRule="auto"/>
        <w:jc w:val="center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样张 1 篇 / 全册 177 篇　版式 A4 210×297mm</w:t>
      </w:r>
    </w:p>
    <w:p>
      <w:pPr>
        <w:pageBreakBefore/>
      </w:pPr>
      <w:r>
        <w:t xml:space="preserve"/>
      </w:r>
    </w:p>
    <w:p>
      <w:pPr>
        <w:pStyle w:val="QBLFrontTitle"/>
        <w:spacing w:after="200" w:before="0" w:line="360" w:lineRule="auto"/>
      </w:pPr>
      <w:r>
        <w:rPr>
          <w:rFonts w:ascii="书宋-简" w:eastAsia="书宋-简" w:hAnsi="书宋-简"/>
          <w:b/>
          <w:bCs/>
          <w:color w:val="1F1B16"/>
          <w:sz w:val="28"/>
          <w:szCs w:val="28"/>
        </w:rPr>
        <w:t xml:space="preserve">本册说明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本册为 A15 艺术审美与文化生产 的阅读工作本。正文保留发表顺序、提问、正文与篇末研究信息；篇末留有研究笔记横线，页边留有批注空间，供阅读时勾画与批注。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专题界定：艺术、审美、创作、文化产业、传统与价值评价。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使用约定：篇题下为提问与正文；正文之后为图片；篇末以小字保留原文链接、分类标签与官方路径；页码在最终排版后回填。</w:t>
      </w:r>
    </w:p>
    <w:p>
      <w:pPr>
        <w:pStyle w:val="QBLFrontBody"/>
        <w:spacing w:after="20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语料：sooon-q9adg-articles-v2.jsonl（4,305 篇）　SHA-256：cdc9c271309e1d71d9708889a3a31f4777e0c339ea54c3753521894afdb8357d</w:t>
      </w:r>
    </w:p>
    <w:p>
      <w:pPr>
        <w:pStyle w:val="QBLFrontTitle"/>
        <w:spacing w:after="160" w:before="320" w:line="360" w:lineRule="auto"/>
      </w:pPr>
      <w:r>
        <w:rPr>
          <w:rFonts w:ascii="书宋-简" w:eastAsia="书宋-简" w:hAnsi="书宋-简"/>
          <w:b/>
          <w:bCs/>
          <w:color w:val="1F1B16"/>
          <w:sz w:val="24"/>
          <w:szCs w:val="24"/>
        </w:rPr>
        <w:t xml:space="preserve">本册目录</w:t>
      </w:r>
    </w:p>
    <w:p>
      <w:pPr>
        <w:pStyle w:val="QBLTOC"/>
        <w:tabs>
          <w:tab w:val="right" w:pos="9440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3963　丑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Hint"/>
        <w:spacing w:after="120" w:before="20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6"/>
          <w:szCs w:val="16"/>
        </w:rPr>
        <w:t xml:space="preserve">说明：目录页码需在 WPS 最终排版后回填；也可删除本页改用 WPS 自动目录域。</w:t>
      </w:r>
    </w:p>
    <w:p>
      <w:pPr>
        <w:sectPr>
          <w:pgSz w:w="11906" w:h="16838" w:orient="portrait"/>
          <w:pgMar w:top="1021" w:right="992" w:bottom="1134" w:left="1247" w:header="709" w:footer="709" w:gutter="227"/>
          <w:pgNumType/>
          <w:docGrid w:linePitch="360"/>
        </w:sectPr>
      </w:pPr>
    </w:p>
    <w:p>
      <w:pPr>
        <w:pStyle w:val="QBLArticleTitle"/>
        <w:keepNext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3963　丑</w:t>
      </w:r>
    </w:p>
    <w:p>
      <w:pPr>
        <w:pStyle w:val="QBLQuestion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keepNext w:val="false"/>
        <w:spacing w:after="120"/>
      </w:pPr>
      <w:r>
        <w:rPr>
          <w:rFonts w:ascii="书宋-简" w:eastAsia="书宋-简" w:hAnsi="书宋-简"/>
          <w:color w:val="1F1B16"/>
          <w:sz w:val="22"/>
          <w:szCs w:val="22"/>
        </w:rPr>
        <w:t xml:space="preserve">：女生总是觉得自己长得丑，没有自信怎么办？</w:t>
      </w:r>
    </w:p>
    <w:p>
      <w:pPr>
        <w:pStyle w:val="QBLBodyLabel"/>
        <w:keepNext/>
        <w:spacing w:after="40" w:before="120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我们来观察一个很有趣的现象，请看下面这些图（图片来自互联网，侵删）：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印第安无丑女。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为什么？为什么这些按流行标准显然丑陋的女性，一旦作为印第安人被观看，就不但不丑陋，反而出现或平静、或智慧、或神秘、或如王者般的威严呢？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这里面藏着“不够美丽者”的出路。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实际上，并不止印第安人存在这个现象。在黎族、藏族、瑶族、蒙古族、泰雅人、乃至塔希提人、萨摩亚人、还有修女身上也有这种现象。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她们之中高矮胖瘦都有，按照流行的“白富美”审美观而言，她们的长相是偏离基准线甚远的。但是她们却并不因此显得特别丑陋。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这是为什么？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我们先把这问题放在一边，先谈论美本身的问题。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首先，有人跟你们说“人不需要追求外在美”，这是不成立的。这是在销售无用的安慰剂，也许对方没有恶意，但是却是不成立的。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记住这句话——自由是一种不可抛弃的权利，美是一种不可逃避的义务。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这不可抛弃和不可逃避，都不是某个人或者某个统治集团的意志，而是上帝内嵌在自然规律之中、确保强制实施的预定。人若抛弃自由，则必遭奴役而灭亡。人若逃避美的义务，即拒绝对同类最基本的爱，必被自己的同类不自觉的流放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美对人类是一种不可推卸、不可逃避的普遍义务。请断绝“我不必追求美丽”的妄想。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但不要认为我是多余的拿自由放在这里用作对仗。美必须以自由为前提。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大众审美、流行趋势，是一种启发和参考，那不是“美的命令”。完全追随这一标准，为自己无法匹配它们的标准而沮丧、而绝望，或者因为自己匹配甚至引领这一标准和规范而沾沾自喜，则你首先放弃了自由。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你放弃了自由，则对甘为奴隶者的诅咒已经生效，即使“美丽”，你的人生也将不幸。你又为什么要为自己做不成这奴隶而沮丧，为什么要为自己成了这样的奴隶而喜悦？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美作为义务，是不可逃避，也是没有捷径的。那意味着你必须要不断学习美的知识。恕我直言，绘画、音乐、文学和理性的美的知识是你必须要学习的东西。唯有凭着学习去扬弃大众审美的标准答案，你才能找到你自己。而在你自己扬弃的结果面前，他人会因为敬畏而失去审判资格。由此你自然得到美的自由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你将成为无法分类打分的、但却不可否认的值得观看和尊敬的存在。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而这个，就是“印第安无丑女”的秘密。印第安妇女们事实上通过自己坚定然而谦卑的美的呈现，整个的拒绝了被按照流行审美来审判。如果按照流行审美她们当然“丑陋”。但她们全身上下所呈现的美的语言整个都是一门“外语”。李中堂看见英国绅士，是不会轻易说“丑”的。那是另一种美，你想开口审判？你确信你看懂了吗？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但是要造就自己的美学语言，是一个漫长的旅程。当你能呀呀而语时，不要想着用什么高光去遮掩你的矮鼻梁，或者用什么画眉模版去拯救你的粗眉毛。学会用你的努力教训这些不知美为何物的庸人什么叫做“矮鼻梁的美法”，什么叫做“短粗眉的美”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那当然不容易，没人会说这很容易，但你只要记住，这是不可逃避的义务，有进无退。而努力把自己伪装改造成标准人，你会从另一面触怒上帝。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然后你会发现，走这条路，你收获的远非虚荣者所能望见。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走这条路，你才能成为一个真正意义上的人。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你必受祝福。</w:t>
      </w:r>
    </w:p>
    <w:p>
      <w:pPr>
        <w:pStyle w:val="QBLBody"/>
        <w:keepLines/>
        <w:spacing w:after="100" w:line="350" w:lineRule="auto"/>
        <w:ind w:firstLineChars="200"/>
      </w:pPr>
      <w:r>
        <w:rPr>
          <w:rFonts w:ascii="书宋-简" w:eastAsia="书宋-简" w:hAnsi="书宋-简"/>
          <w:color w:val="1F1B16"/>
          <w:sz w:val="21"/>
          <w:szCs w:val="21"/>
        </w:rPr>
        <w:t xml:space="preserve">上帝祝福你，一些臭男人和蠢妞不爽算个屁啊。</w:t>
      </w:r>
    </w:p>
    <w:p>
      <w:pPr>
        <w:spacing w:after="60" w:before="160"/>
        <w:jc w:val="center"/>
      </w:pPr>
      <w:r>
        <w:drawing>
          <wp:inline distT="0" distB="0" distL="0" distR="0">
            <wp:extent cx="5991225" cy="8553450"/>
            <wp:effectExtent t="0" r="0" b="0" l="0"/>
            <wp:docPr id="1" name="图 1　源序号 3963" descr="图 1　源序号 3963" title="图 1　源序号 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图 1　源序号 3963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6096000"/>
            <wp:effectExtent t="0" r="0" b="0" l="0"/>
            <wp:docPr id="1" name="图 2　源序号 3963" descr="图 2　源序号 3963" title="图 2　源序号 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图 2　源序号 3963</w:t>
      </w:r>
    </w:p>
    <w:p>
      <w:pPr>
        <w:spacing w:after="60" w:before="160"/>
        <w:jc w:val="center"/>
      </w:pPr>
      <w:r>
        <w:drawing>
          <wp:inline distT="0" distB="0" distL="0" distR="0">
            <wp:extent cx="5991225" cy="5915025"/>
            <wp:effectExtent t="0" r="0" b="0" l="0"/>
            <wp:docPr id="1" name="图 3　源序号 3963" descr="图 3　源序号 3963" title="图 3　源序号 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图 3　源序号 3963</w:t>
      </w:r>
    </w:p>
    <w:p>
      <w:pPr>
        <w:spacing w:after="60" w:before="160"/>
        <w:jc w:val="center"/>
      </w:pPr>
      <w:r>
        <w:drawing>
          <wp:inline distT="0" distB="0" distL="0" distR="0">
            <wp:extent cx="5991225" cy="4248150"/>
            <wp:effectExtent t="0" r="0" b="0" l="0"/>
            <wp:docPr id="1" name="图 4　源序号 3963" descr="图 4　源序号 3963" title="图 4　源序号 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图 4　源序号 3963</w:t>
      </w:r>
    </w:p>
    <w:p>
      <w:pPr>
        <w:spacing w:after="60" w:before="160"/>
        <w:jc w:val="center"/>
      </w:pPr>
      <w:r>
        <w:drawing>
          <wp:inline distT="0" distB="0" distL="0" distR="0">
            <wp:extent cx="5991225" cy="4495800"/>
            <wp:effectExtent t="0" r="0" b="0" l="0"/>
            <wp:docPr id="1" name="图 5　源序号 3963" descr="图 5　源序号 3963" title="图 5　源序号 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图 5　源序号 3963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5648325"/>
            <wp:effectExtent t="0" r="0" b="0" l="0"/>
            <wp:docPr id="1" name="图 6　源序号 3963" descr="图 6　源序号 3963" title="图 6　源序号 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图 6　源序号 3963</w:t>
      </w:r>
    </w:p>
    <w:p>
      <w:pPr>
        <w:spacing w:after="60" w:before="160"/>
        <w:jc w:val="center"/>
      </w:pPr>
      <w:r>
        <w:drawing>
          <wp:inline distT="0" distB="0" distL="0" distR="0">
            <wp:extent cx="5534025" cy="7620000"/>
            <wp:effectExtent t="0" r="0" b="0" l="0"/>
            <wp:docPr id="1" name="图 7　源序号 3963" descr="图 7　源序号 3963" title="图 7　源序号 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图 7　源序号 3963</w:t>
      </w:r>
    </w:p>
    <w:p>
      <w:pPr>
        <w:pStyle w:val="QBLResearchLabel"/>
        <w:keepNext/>
        <w:spacing w:after="40" w:before="160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/>
      </w:pPr>
      <w:r>
        <w:drawing>
          <wp:inline distT="0" distB="0" distL="0" distR="0">
            <wp:extent cx="685800" cy="685800"/>
            <wp:effectExtent t="0" r="0" b="0" l="0"/>
            <wp:docPr id="1" name="原文二维码 3963" descr="https://www.zhihu.com/question/39317576/answer/601788781" title="原文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-简" w:eastAsia="黑体-简" w:hAnsi="黑体-简"/>
          <w:color w:val="6B6258"/>
          <w:sz w:val="16"/>
          <w:szCs w:val="16"/>
        </w:rPr>
        <w:t xml:space="preserve">  原文入口　3963　2019-02-18　主专题：A15 艺术审美与文化生产　副专题：A02;A17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官方对象—实践路径：与社会 / 与艺术 / 参与;与自己 / 与身体 / 维护;与自己 / 与身体 / 了解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证据状态：manual_confirmed　初读：reviewed_needs_revision　独立复核：reviewed_needs_revision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ageBreakBefore/>
      </w:pPr>
      <w:r>
        <w:t xml:space="preserve"/>
      </w:r>
    </w:p>
    <w:p>
      <w:pPr>
        <w:pStyle w:val="QBLFrontTitle"/>
        <w:spacing w:after="200" w:before="0" w:line="360" w:lineRule="auto"/>
      </w:pPr>
      <w:r>
        <w:rPr>
          <w:rFonts w:ascii="书宋-简" w:eastAsia="书宋-简" w:hAnsi="书宋-简"/>
          <w:b/>
          <w:bCs/>
          <w:color w:val="1F1B16"/>
          <w:sz w:val="28"/>
          <w:szCs w:val="28"/>
        </w:rPr>
        <w:t xml:space="preserve">本册索引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3963　丑　日期 2019-02-18　页码待回填</w:t>
      </w:r>
    </w:p>
    <w:p>
      <w:pPr>
        <w:pStyle w:val="QBLHint"/>
        <w:spacing w:after="120" w:before="20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6"/>
          <w:szCs w:val="16"/>
        </w:rPr>
        <w:t xml:space="preserve">全书索引与交叉索引（副专题、官方路径、23 概念、图片、异常）另行成册，页码在最终排版后统一回填。</w:t>
      </w:r>
    </w:p>
    <w:p>
      <w:pPr>
        <w:pageBreakBefore/>
      </w:pPr>
      <w:r>
        <w:t xml:space="preserve"/>
      </w:r>
    </w:p>
    <w:p>
      <w:pPr>
        <w:pStyle w:val="QBLNoteLabel"/>
        <w:spacing w:after="120" w:before="0" w:line="360" w:lineRule="auto"/>
      </w:pPr>
      <w:r>
        <w:rPr>
          <w:rFonts w:ascii="黑体-简" w:eastAsia="黑体-简" w:hAnsi="黑体-简"/>
          <w:b/>
          <w:bCs/>
          <w:color w:val="7A6D5E"/>
          <w:sz w:val="20"/>
          <w:szCs w:val="20"/>
        </w:rPr>
        <w:t xml:space="preserve">研究笔记页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Hint"/>
        <w:spacing w:after="120" w:before="24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7"/>
          <w:szCs w:val="17"/>
        </w:rPr>
        <w:t xml:space="preserve">WPS 编辑提示：可直接修改字体、页边距、分页与样式；方印为表格对象，可整体拖动或改写；图片可替换或缩放。</w:t>
      </w:r>
    </w:p>
    <w:sectPr>
      <w:headerReference w:type="default" r:id="rId7"/>
      <w:footerReference w:type="default" r:id="rId8"/>
      <w:pgSz w:w="11906" w:h="16838" w:orient="portrait"/>
      <w:pgMar w:top="1021" w:right="992" w:bottom="1134" w:left="1247" w:header="709" w:footer="709" w:gutter="227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QBLFooter"/>
      <w:spacing w:before="0"/>
      <w:jc w:val="center"/>
    </w:pPr>
    <w:r>
      <w:rPr>
        <w:rFonts w:ascii="黑体-简" w:eastAsia="黑体-简" w:hAnsi="黑体-简"/>
        <w:color w:val="7A6D5E"/>
        <w:sz w:val="17"/>
        <w:szCs w:val="17"/>
      </w:rPr>
      <w:t xml:space="preserve">— </w:t>
    </w:r>
    <w:r>
      <w:rPr>
        <w:rFonts w:ascii="黑体-简" w:eastAsia="黑体-简" w:hAnsi="黑体-简"/>
        <w:color w:val="7A6D5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黑体-简" w:eastAsia="黑体-简" w:hAnsi="黑体-简"/>
        <w:color w:val="7A6D5E"/>
        <w:sz w:val="17"/>
        <w:szCs w:val="17"/>
      </w:rPr>
      <w:t xml:space="preserve"> —　共 </w:t>
    </w:r>
    <w:r>
      <w:rPr>
        <w:rFonts w:ascii="黑体-简" w:eastAsia="黑体-简" w:hAnsi="黑体-简"/>
        <w:color w:val="7A6D5E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黑体-简" w:eastAsia="黑体-简" w:hAnsi="黑体-简"/>
        <w:color w:val="7A6D5E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QBLHeader"/>
      <w:pBdr>
        <w:bottom w:val="single" w:color="C9B99F" w:sz="4" w:space="4"/>
      </w:pBdr>
      <w:tabs>
        <w:tab w:val="right" w:pos="9440"/>
      </w:tabs>
      <w:spacing w:after="0"/>
    </w:pPr>
    <w:r>
      <w:rPr>
        <w:rFonts w:ascii="黑体-简" w:eastAsia="黑体-简" w:hAnsi="黑体-简"/>
        <w:color w:val="7A6D5E"/>
        <w:sz w:val="17"/>
        <w:szCs w:val="17"/>
      </w:rPr>
      <w:t xml:space="preserve">岐伯论 · 阅读正文版</w:t>
    </w:r>
    <w:r>
      <w:rPr>
        <w:rFonts w:ascii="黑体-简" w:eastAsia="黑体-简" w:hAnsi="黑体-简"/>
        <w:color w:val="7A6D5E"/>
        <w:sz w:val="17"/>
        <w:szCs w:val="17"/>
      </w:rPr>
      <w:t xml:space="preserve">	A15　艺术审美与文化生产　第 1 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书宋-简" w:eastAsia="书宋-简" w:hAnsi="书宋-简"/>
        <w:color w:val="1F1B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F5FA8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BLBody">
    <w:name w:val="QBL 正文"/>
    <w:pPr>
      <w:spacing w:after="100" w:line="350" w:lineRule="auto"/>
      <w:ind w:firstLineChars="200"/>
    </w:pPr>
    <w:rPr>
      <w:rFonts w:ascii="书宋-简" w:eastAsia="书宋-简" w:hAnsi="书宋-简"/>
      <w:color w:val="1F1B16"/>
      <w:sz w:val="21"/>
      <w:szCs w:val="21"/>
    </w:rPr>
  </w:style>
  <w:style w:type="paragraph" w:styleId="QBLArticleTitle">
    <w:name w:val="QBL 篇题"/>
    <w:pPr>
      <w:spacing w:after="100" w:before="0"/>
    </w:pPr>
    <w:rPr>
      <w:rFonts w:ascii="书宋-简" w:eastAsia="书宋-简" w:hAnsi="书宋-简"/>
      <w:b/>
      <w:bCs/>
      <w:color w:val="1F1B16"/>
      <w:sz w:val="32"/>
      <w:szCs w:val="32"/>
    </w:rPr>
  </w:style>
  <w:style w:type="paragraph" w:styleId="QBLQuestion">
    <w:name w:val="QBL 提问"/>
    <w:pPr>
      <w:spacing w:after="160" w:line="360" w:lineRule="auto"/>
    </w:pPr>
    <w:rPr>
      <w:rFonts w:ascii="书宋-简" w:eastAsia="书宋-简" w:hAnsi="书宋-简"/>
      <w:color w:val="1F1B16"/>
      <w:sz w:val="22"/>
      <w:szCs w:val="22"/>
    </w:rPr>
  </w:style>
  <w:style w:type="paragraph" w:styleId="QBLQuestionLabel">
    <w:name w:val="QBL 提问标签"/>
    <w:pPr>
      <w:keepNext/>
      <w:spacing w:after="40" w:before="120"/>
    </w:pPr>
    <w:rPr>
      <w:rFonts w:ascii="黑体-简" w:eastAsia="黑体-简" w:hAnsi="黑体-简"/>
      <w:b/>
      <w:bCs/>
      <w:color w:val="A74736"/>
      <w:sz w:val="15"/>
      <w:szCs w:val="15"/>
    </w:rPr>
  </w:style>
  <w:style w:type="paragraph" w:styleId="QBLBodyLabel">
    <w:name w:val="QBL 正文标签"/>
    <w:pPr>
      <w:spacing w:after="40" w:before="180"/>
    </w:pPr>
    <w:rPr>
      <w:rFonts w:ascii="黑体-简" w:eastAsia="黑体-简" w:hAnsi="黑体-简"/>
      <w:b/>
      <w:bCs/>
      <w:color w:val="A74736"/>
      <w:sz w:val="15"/>
      <w:szCs w:val="15"/>
    </w:rPr>
  </w:style>
  <w:style w:type="paragraph" w:styleId="QBLResearchMeta">
    <w:name w:val="QBL 研究信息"/>
    <w:pPr>
      <w:spacing w:after="20" w:line="300" w:lineRule="auto"/>
    </w:pPr>
    <w:rPr>
      <w:rFonts w:ascii="黑体-简" w:eastAsia="黑体-简" w:hAnsi="黑体-简"/>
      <w:color w:val="6B6258"/>
      <w:sz w:val="16"/>
      <w:szCs w:val="16"/>
    </w:rPr>
  </w:style>
  <w:style w:type="paragraph" w:styleId="QBLResearchLabel">
    <w:name w:val="QBL 研究标签"/>
    <w:pPr>
      <w:spacing w:after="40" w:before="200"/>
    </w:pPr>
    <w:rPr>
      <w:rFonts w:ascii="黑体-简" w:eastAsia="黑体-简" w:hAnsi="黑体-简"/>
      <w:b/>
      <w:bCs/>
      <w:color w:val="7A6D5E"/>
      <w:sz w:val="15"/>
      <w:szCs w:val="15"/>
    </w:rPr>
  </w:style>
  <w:style w:type="paragraph" w:styleId="QBLNoteLabel">
    <w:name w:val="QBL 笔记标签"/>
    <w:pPr>
      <w:spacing w:after="60" w:before="160"/>
    </w:pPr>
    <w:rPr>
      <w:rFonts w:ascii="黑体-简" w:eastAsia="黑体-简" w:hAnsi="黑体-简"/>
      <w:b/>
      <w:bCs/>
      <w:color w:val="7A6D5E"/>
      <w:sz w:val="16"/>
      <w:szCs w:val="16"/>
    </w:rPr>
  </w:style>
  <w:style w:type="paragraph" w:styleId="QBLNoteRule">
    <w:name w:val="QBL 笔记横线"/>
    <w:pPr>
      <w:pBdr>
        <w:bottom w:val="single" w:color="D9C9AE" w:sz="6" w:space="2"/>
      </w:pBdr>
      <w:spacing w:after="200" w:line="360" w:lineRule="auto"/>
    </w:pPr>
    <w:rPr>
      <w:rFonts w:ascii="书宋-简" w:eastAsia="书宋-简" w:hAnsi="书宋-简"/>
      <w:sz w:val="16"/>
      <w:szCs w:val="16"/>
    </w:rPr>
  </w:style>
  <w:style w:type="paragraph" w:styleId="QBLCoverTitle">
    <w:name w:val="QBL 封面题名"/>
    <w:pPr>
      <w:spacing w:after="600" w:before="2000"/>
      <w:jc w:val="center"/>
    </w:pPr>
    <w:rPr>
      <w:rFonts w:ascii="汉仪昌黎宋刻本原版W" w:eastAsia="汉仪昌黎宋刻本原版W" w:hAnsi="汉仪昌黎宋刻本原版W"/>
      <w:b/>
      <w:bCs/>
      <w:color w:val="1F1B16"/>
      <w:sz w:val="64"/>
      <w:szCs w:val="64"/>
    </w:rPr>
  </w:style>
  <w:style w:type="paragraph" w:styleId="QBLCoverSubtitle">
    <w:name w:val="QBL 封面专题"/>
    <w:pPr>
      <w:spacing w:after="900"/>
      <w:jc w:val="center"/>
    </w:pPr>
    <w:rPr>
      <w:rFonts w:ascii="汉仪昌黎宋刻本原版W" w:eastAsia="汉仪昌黎宋刻本原版W" w:hAnsi="汉仪昌黎宋刻本原版W"/>
      <w:color w:val="A74736"/>
      <w:sz w:val="28"/>
      <w:szCs w:val="28"/>
    </w:rPr>
  </w:style>
  <w:style w:type="paragraph" w:styleId="QBLCoverEdition">
    <w:name w:val="QBL 封面版本"/>
    <w:pPr>
      <w:spacing w:after="400"/>
      <w:jc w:val="center"/>
    </w:pPr>
    <w:rPr>
      <w:rFonts w:ascii="汉仪昌黎宋刻本原版W" w:eastAsia="汉仪昌黎宋刻本原版W" w:hAnsi="汉仪昌黎宋刻本原版W"/>
      <w:color w:val="7A6D5E"/>
      <w:sz w:val="20"/>
      <w:szCs w:val="20"/>
    </w:rPr>
  </w:style>
  <w:style w:type="paragraph" w:styleId="QBLCoverMeta">
    <w:name w:val="QBL 封面说明"/>
    <w:pPr>
      <w:spacing w:after="120" w:line="300" w:lineRule="auto"/>
      <w:jc w:val="center"/>
    </w:pPr>
    <w:rPr>
      <w:rFonts w:ascii="黑体-简" w:eastAsia="黑体-简" w:hAnsi="黑体-简"/>
      <w:color w:val="6B6258"/>
      <w:sz w:val="15"/>
      <w:szCs w:val="15"/>
    </w:rPr>
  </w:style>
  <w:style w:type="paragraph" w:styleId="QBLFrontTitle">
    <w:name w:val="QBL 前置标题"/>
    <w:pPr>
      <w:pBdr>
        <w:bottom w:val="single" w:color="C9B99F" w:sz="6" w:space="6"/>
      </w:pBdr>
      <w:spacing w:after="200"/>
    </w:pPr>
    <w:rPr>
      <w:rFonts w:ascii="书宋-简" w:eastAsia="书宋-简" w:hAnsi="书宋-简"/>
      <w:b/>
      <w:bCs/>
      <w:color w:val="1F1B16"/>
      <w:sz w:val="28"/>
      <w:szCs w:val="28"/>
    </w:rPr>
  </w:style>
  <w:style w:type="paragraph" w:styleId="QBLFrontBody">
    <w:name w:val="QBL 前置正文"/>
    <w:pPr>
      <w:spacing w:after="200" w:line="360" w:lineRule="auto"/>
      <w:ind w:firstLineChars="200"/>
    </w:pPr>
    <w:rPr>
      <w:rFonts w:ascii="书宋-简" w:eastAsia="书宋-简" w:hAnsi="书宋-简"/>
      <w:color w:val="1F1B16"/>
      <w:sz w:val="21"/>
      <w:szCs w:val="21"/>
    </w:rPr>
  </w:style>
  <w:style w:type="paragraph" w:styleId="QBLTOC">
    <w:name w:val="QBL 目录"/>
    <w:pPr>
      <w:spacing w:after="60" w:line="320" w:lineRule="auto"/>
    </w:pPr>
    <w:rPr>
      <w:rFonts w:ascii="黑体-简" w:eastAsia="黑体-简" w:hAnsi="黑体-简"/>
      <w:color w:val="1F1B16"/>
      <w:sz w:val="20"/>
      <w:szCs w:val="20"/>
    </w:rPr>
  </w:style>
  <w:style w:type="paragraph" w:styleId="QBLIndex">
    <w:name w:val="QBL 索引"/>
    <w:pPr>
      <w:spacing w:after="30" w:line="300" w:lineRule="auto"/>
    </w:pPr>
    <w:rPr>
      <w:rFonts w:ascii="黑体-简" w:eastAsia="黑体-简" w:hAnsi="黑体-简"/>
      <w:color w:val="1F1B16"/>
      <w:sz w:val="16"/>
      <w:szCs w:val="16"/>
    </w:rPr>
  </w:style>
  <w:style w:type="paragraph" w:styleId="QBLHint">
    <w:name w:val="QBL 提示"/>
    <w:pPr>
      <w:spacing w:after="120" w:before="240" w:line="320" w:lineRule="auto"/>
    </w:pPr>
    <w:rPr>
      <w:rFonts w:ascii="黑体-简" w:eastAsia="黑体-简" w:hAnsi="黑体-简"/>
      <w:color w:val="7A6D5E"/>
      <w:sz w:val="17"/>
      <w:szCs w:val="17"/>
    </w:rPr>
  </w:style>
  <w:style w:type="paragraph" w:styleId="QBLHeader">
    <w:name w:val="QBL 页眉"/>
    <w:pPr>
      <w:spacing w:after="0"/>
    </w:pPr>
    <w:rPr>
      <w:rFonts w:ascii="黑体-简" w:eastAsia="黑体-简" w:hAnsi="黑体-简"/>
      <w:color w:val="7A6D5E"/>
      <w:sz w:val="17"/>
      <w:szCs w:val="17"/>
    </w:rPr>
  </w:style>
  <w:style w:type="paragraph" w:styleId="QBLFooter">
    <w:name w:val="QBL 页脚"/>
    <w:pPr>
      <w:spacing w:before="0"/>
      <w:jc w:val="center"/>
    </w:pPr>
    <w:rPr>
      <w:rFonts w:ascii="黑体-简" w:eastAsia="黑体-简" w:hAnsi="黑体-简"/>
      <w:color w:val="7A6D5E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23c6bf6b822504c057925cbf417a2f76cef92c.jpg"/><Relationship Id="rId10" Type="http://schemas.openxmlformats.org/officeDocument/2006/relationships/image" Target="media/e7626daaff4aa1b41612a7e95b06f59bb604e681.jpg"/><Relationship Id="rId11" Type="http://schemas.openxmlformats.org/officeDocument/2006/relationships/image" Target="media/20d893762b4081df518f4ef460d455a83f0cf7cd.jpg"/><Relationship Id="rId12" Type="http://schemas.openxmlformats.org/officeDocument/2006/relationships/image" Target="media/710319ea2898065f3c914d7f4144564480043cf1.jpg"/><Relationship Id="rId13" Type="http://schemas.openxmlformats.org/officeDocument/2006/relationships/image" Target="media/6c4278fb79f80572a47b6685942c40fd0cf021a7.jpg"/><Relationship Id="rId14" Type="http://schemas.openxmlformats.org/officeDocument/2006/relationships/image" Target="media/c1d034d715d8481425047a6c90068038fbdfb629.jpg"/><Relationship Id="rId15" Type="http://schemas.openxmlformats.org/officeDocument/2006/relationships/image" Target="media/846718a9adaebb58068b74ccc56ff97c53d8f987.jpg"/><Relationship Id="rId16" Type="http://schemas.openxmlformats.org/officeDocument/2006/relationships/image" Target="media/7b6a602469e84ca7670ebbf13cf585ebc1abe3e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岐伯论 · 艺术审美与文化生产 · 阅读工作本</dc:title>
  <dc:creator>岐伯论编册生成器（Node docx）</dc:creator>
  <dc:description>源卷：research-rebuild/print-20260926-rebuilt-v2/A15-艺术审美与文化生产/volume-01.md</dc:description>
  <cp:lastModifiedBy>Un-named</cp:lastModifiedBy>
  <cp:revision>1</cp:revision>
  <dcterms:created xsi:type="dcterms:W3CDTF">2026-09-28T16:08:20.144Z</dcterms:created>
  <dcterms:modified xsi:type="dcterms:W3CDTF">2026-09-28T16:08:20.144Z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