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02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489" w:beforeLines="2400" w:after="3745" w:afterLines="1200"/>
        <w:jc w:val="center"/>
        <w:textAlignment w:val="auto"/>
        <w:rPr>
          <w:rFonts w:hint="default" w:ascii="Arial" w:hAnsi="Arial" w:cs="Arial"/>
          <w:b/>
          <w:bCs/>
          <w:sz w:val="32"/>
          <w:szCs w:val="32"/>
          <w:lang w:val="en-US" w:eastAsia="zh-CN"/>
        </w:rPr>
      </w:pPr>
      <w:r>
        <w:rPr>
          <w:rFonts w:hint="default" w:ascii="Arial" w:hAnsi="Arial" w:cs="Arial"/>
          <w:b/>
          <w:bCs/>
          <w:sz w:val="32"/>
          <w:szCs w:val="32"/>
          <w:lang w:val="en-US" w:eastAsia="zh-CN"/>
        </w:rPr>
        <w:t>MiniOTA编码规范</w:t>
      </w:r>
    </w:p>
    <w:p w14:paraId="0942E3AF">
      <w:pPr>
        <w:tabs>
          <w:tab w:val="left" w:pos="627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Version:v1.0</w:t>
      </w:r>
    </w:p>
    <w:p w14:paraId="10A5306C">
      <w:pPr>
        <w:tabs>
          <w:tab w:val="left" w:pos="627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Editor:GuoHaiZhe</w:t>
      </w:r>
    </w:p>
    <w:p w14:paraId="195223C1">
      <w:pPr>
        <w:tabs>
          <w:tab w:val="left" w:pos="627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Data:2026/01/07</w:t>
      </w:r>
    </w:p>
    <w:p w14:paraId="781E0D3F">
      <w:pPr>
        <w:tabs>
          <w:tab w:val="left" w:pos="627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B827A09">
      <w:pPr>
        <w:tabs>
          <w:tab w:val="left" w:pos="627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CB2FEE0">
      <w:pPr>
        <w:tabs>
          <w:tab w:val="left" w:pos="627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76E1D84">
      <w:pPr>
        <w:tabs>
          <w:tab w:val="left" w:pos="627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Arial" w:hAnsi="Arial" w:cs="Arial"/>
          <w:kern w:val="2"/>
          <w:sz w:val="28"/>
          <w:szCs w:val="28"/>
          <w:lang w:val="en-US" w:eastAsia="zh-CN" w:bidi="ar-SA"/>
        </w:rPr>
        <w:t>一、</w:t>
      </w:r>
      <w:r>
        <w:rPr>
          <w:rFonts w:hint="default" w:ascii="Arial" w:hAnsi="Arial" w:cs="Arial"/>
          <w:kern w:val="2"/>
          <w:sz w:val="28"/>
          <w:szCs w:val="28"/>
          <w:lang w:val="en-US" w:eastAsia="zh-CN" w:bidi="ar-SA"/>
        </w:rPr>
        <w:t>命名规则</w:t>
      </w:r>
    </w:p>
    <w:p w14:paraId="73C3345F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① 除模块名外，标识符的有效字符不多于20个字节</w:t>
      </w:r>
    </w:p>
    <w:p w14:paraId="51E98DCA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② 有效字符：26个英文字母、10个数字、下划线</w:t>
      </w:r>
    </w:p>
    <w:p w14:paraId="76566630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③ 宏定义、枚举成员和常量的命名，使用全大写与下划线</w:t>
      </w:r>
    </w:p>
    <w:p w14:paraId="74F7C0A4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④ 内外部变量名，不能在重合的作用域内重名</w:t>
      </w:r>
    </w:p>
    <w:p w14:paraId="2B70BA20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⑤ typedef的类型，必须是唯一的标识符</w:t>
      </w:r>
    </w:p>
    <w:p w14:paraId="31D477C5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⑥ 各模块在typedef类型时，应以模块名+类型名的形式命名；防止工程内重名，公用类型typedef时无需加模块名</w:t>
      </w:r>
    </w:p>
    <w:p w14:paraId="26349E32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⑦ 函数命名为：模块名+具体含义（全大写）</w:t>
      </w:r>
    </w:p>
    <w:p w14:paraId="5F26E94B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⑧ 模块名→动词→其余部分</w:t>
      </w:r>
    </w:p>
    <w:p w14:paraId="30F729F6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⑨ bool型变量应用动宾结构命名</w:t>
      </w:r>
    </w:p>
    <w:p w14:paraId="6CA93C58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⑩ 函数指针的命名与函数命名规则一致</w:t>
      </w:r>
      <w:bookmarkStart w:id="0" w:name="_GoBack"/>
      <w:bookmarkEnd w:id="0"/>
    </w:p>
    <w:p w14:paraId="4B3DA1B7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⑪ 各功能的源文件与头文件应放在单独的文件夹中，该文件夹以小写字母结合下划线的方式命名，与架构设计时该模块的模块命名一致</w:t>
      </w:r>
    </w:p>
    <w:p w14:paraId="6A655FDF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⑫ 各模块的源文件以小写字母结合下划线的形式命名，具体为：模块名+具体功能名</w:t>
      </w:r>
    </w:p>
    <w:p w14:paraId="3D8C4F74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46001206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cs="Arial"/>
          <w:kern w:val="2"/>
          <w:sz w:val="28"/>
          <w:szCs w:val="28"/>
          <w:lang w:val="en-US" w:eastAsia="zh-CN" w:bidi="ar-SA"/>
        </w:rPr>
        <w:t>注释规则</w:t>
      </w:r>
    </w:p>
    <w:p w14:paraId="33C65F99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① 说明性文件（.h、.inc、.def、.cfg）头部应进行注释，且应包含（版权说明、主要描述、编制者、更改记录）</w:t>
      </w:r>
    </w:p>
    <w:p w14:paraId="2770E38D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② 源代码文件也要注释</w:t>
      </w:r>
    </w:p>
    <w:p w14:paraId="3C4915E8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③ 全局变量也要详尽的注释（功能、取值范围、约束）</w:t>
      </w:r>
    </w:p>
    <w:p w14:paraId="32287B03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④ 对外的接口函数，应在头部注释（版权、功能、参数、返回值）和编制者</w:t>
      </w:r>
    </w:p>
    <w:p w14:paraId="2ED3DEE2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⑤ 有软件分层需求时，应表明源码与分层软件的追溯关系</w:t>
      </w:r>
    </w:p>
    <w:p w14:paraId="6FC8BB14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C34A015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cs="Arial"/>
          <w:kern w:val="2"/>
          <w:sz w:val="28"/>
          <w:szCs w:val="28"/>
          <w:lang w:val="en-US" w:eastAsia="zh-CN" w:bidi="ar-SA"/>
        </w:rPr>
        <w:t>排版规则</w:t>
      </w:r>
    </w:p>
    <w:p w14:paraId="773150CE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① 一个文件中的代码不应超过2000行</w:t>
      </w:r>
    </w:p>
    <w:p w14:paraId="549B7E06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② 一行只写一条语句</w:t>
      </w:r>
    </w:p>
    <w:p w14:paraId="52087EB5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③ 同一级的大括号应在同一列，且独占一行</w:t>
      </w:r>
    </w:p>
    <w:p w14:paraId="15C1A36E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④ 文件末尾保留一行空格</w:t>
      </w:r>
    </w:p>
    <w:p w14:paraId="75512956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B5DCDCD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cs="Arial"/>
          <w:kern w:val="2"/>
          <w:sz w:val="28"/>
          <w:szCs w:val="28"/>
          <w:lang w:val="en-US" w:eastAsia="zh-CN" w:bidi="ar-SA"/>
        </w:rPr>
        <w:t>预处理规则</w:t>
      </w:r>
    </w:p>
    <w:p w14:paraId="0535D873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① 防止头文件重定义</w:t>
      </w:r>
    </w:p>
    <w:p w14:paraId="1F6D4F0A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② 禁止在#include中使用绝对路径</w:t>
      </w:r>
    </w:p>
    <w:p w14:paraId="324C0579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③ 包含头文件使用双引号，禁止使用&lt;&gt;</w:t>
      </w:r>
    </w:p>
    <w:p w14:paraId="4ED4B8FE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④ 禁止将宏定义放在代码块中</w:t>
      </w:r>
    </w:p>
    <w:p w14:paraId="20287A76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⑤ 禁止使用未知的#define</w:t>
      </w:r>
    </w:p>
    <w:p w14:paraId="5D09464D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⑥ 定义宏函数注意使用括号</w:t>
      </w:r>
    </w:p>
    <w:p w14:paraId="3321ADAA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⑦ 预处理指令中所有标识符需用宏定义</w:t>
      </w:r>
    </w:p>
    <w:p w14:paraId="1056959C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⑧ 所有的#else、#elif都应与它们匹配的#if或#ifdef在同一列</w:t>
      </w:r>
    </w:p>
    <w:p w14:paraId="4560E2A3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⑨ 宏中不应使用return、continue、break</w:t>
      </w:r>
    </w:p>
    <w:p w14:paraId="1EE88D5C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⑩ 宏定义结束不加分号，在调用的地方加</w:t>
      </w:r>
    </w:p>
    <w:p w14:paraId="5EF0A01A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⑪ 存在多条语句的宏应使用do-while结构</w:t>
      </w:r>
    </w:p>
    <w:p w14:paraId="772FE216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EE963EC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cs="Arial"/>
          <w:kern w:val="2"/>
          <w:sz w:val="28"/>
          <w:szCs w:val="28"/>
          <w:lang w:val="en-US" w:eastAsia="zh-CN" w:bidi="ar-SA"/>
        </w:rPr>
        <w:t>声明与定义规则</w:t>
      </w:r>
    </w:p>
    <w:p w14:paraId="0BF84F74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① 使用70终止字符串</w:t>
      </w:r>
    </w:p>
    <w:p w14:paraId="61A32141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② char只用于存储字符</w:t>
      </w:r>
    </w:p>
    <w:p w14:paraId="4A8EAC1B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③ unsigned char和signed char用于数值存储</w:t>
      </w:r>
    </w:p>
    <w:p w14:paraId="228345A4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④ 慎用8进制常量，和8进制转义序列</w:t>
      </w:r>
    </w:p>
    <w:p w14:paraId="499FE4B8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⑤ 显式声明类型</w:t>
      </w:r>
    </w:p>
    <w:p w14:paraId="6442D539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⑥ 不允许一条语句定义多个变量</w:t>
      </w:r>
    </w:p>
    <w:p w14:paraId="59554D66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⑦ 除内联函数外，头文件只能包含变量或函数声明，不能有定义</w:t>
      </w:r>
    </w:p>
    <w:p w14:paraId="438DD388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710E966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default" w:cstheme="minorBidi"/>
          <w:kern w:val="2"/>
          <w:sz w:val="28"/>
          <w:szCs w:val="28"/>
          <w:lang w:val="en-US" w:eastAsia="zh-CN" w:bidi="ar-SA"/>
        </w:rPr>
        <w:t>类型转换规则</w:t>
      </w:r>
    </w:p>
    <w:p w14:paraId="74F81B01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① 禁止隐式转换</w:t>
      </w:r>
    </w:p>
    <w:p w14:paraId="4DE4F8CA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② 如果运算符&lt;&lt;和&gt;&gt;作用在小于int的整数上，其运算结果应被显式转换为操作数的基本类型</w:t>
      </w:r>
    </w:p>
    <w:p w14:paraId="2E393607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③ 转换不能发生在函数指针和除整形外的任何类型指针之间</w:t>
      </w:r>
    </w:p>
    <w:p w14:paraId="36985C7F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7EE298D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8"/>
          <w:szCs w:val="28"/>
          <w:lang w:val="en-US" w:eastAsia="zh-CN" w:bidi="ar-SA"/>
        </w:rPr>
        <w:t>语句规则</w:t>
      </w:r>
    </w:p>
    <w:p w14:paraId="1B660EA2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① Sizeof是一个编译时执行的函数，其()内不可放置具有副作用的表达式</w:t>
      </w:r>
    </w:p>
    <w:p w14:paraId="74CA0980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② 逻辑运算符&amp;&amp;和||若操作数不能有副作用（短路求值，副作用不一定被触发）</w:t>
      </w:r>
    </w:p>
    <w:p w14:paraId="3A1682BF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③ 位运算不能用在有符号的变量上</w:t>
      </w:r>
    </w:p>
    <w:p w14:paraId="1D0484DE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④ 浮点数不能直接进行相等或不等的检测</w:t>
      </w:r>
    </w:p>
    <w:p w14:paraId="56B61062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⑤ for循环的三个表达式应该只关注循环控制</w:t>
      </w:r>
    </w:p>
    <w:p w14:paraId="54EA1DE6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⑥ 不能有不可达的代码</w:t>
      </w:r>
    </w:p>
    <w:p w14:paraId="6DF39DE8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⑦ 禁止使用goto语句</w:t>
      </w:r>
    </w:p>
    <w:p w14:paraId="23065A55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⑧ 所有的if/elif语句中与常量比较时，常量应在左侧</w:t>
      </w:r>
    </w:p>
    <w:p w14:paraId="2853105D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⑨ 每个非空switch句都要以break结束</w:t>
      </w:r>
    </w:p>
    <w:p w14:paraId="203041EF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⑩ 除枚举型穷举外，switch语句的最后子句一定是default</w:t>
      </w:r>
    </w:p>
    <w:p w14:paraId="20991697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⑪ 每个switch至少有一个case</w:t>
      </w:r>
    </w:p>
    <w:p w14:paraId="005AD55A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4E23E53E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default" w:cstheme="minorBidi"/>
          <w:kern w:val="2"/>
          <w:sz w:val="28"/>
          <w:szCs w:val="28"/>
          <w:lang w:val="en-US" w:eastAsia="zh-CN" w:bidi="ar-SA"/>
        </w:rPr>
        <w:t>函数规则</w:t>
      </w:r>
    </w:p>
    <w:p w14:paraId="021ECC6E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① 不能定义参数可变的函数</w:t>
      </w:r>
    </w:p>
    <w:p w14:paraId="4F7C6B39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② 声明函数原型时要给出所有形参</w:t>
      </w:r>
    </w:p>
    <w:p w14:paraId="0CC23C12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③ 无参函数要填入void</w:t>
      </w:r>
    </w:p>
    <w:p w14:paraId="1F99960A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④ 传递数组时，数组长度应该传递</w:t>
      </w:r>
    </w:p>
    <w:p w14:paraId="1699CF3C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⑤ 函数的圈复杂度应小于10</w:t>
      </w:r>
    </w:p>
    <w:p w14:paraId="061A5240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⑥ 函数的条件语句嵌套应小于4层</w:t>
      </w:r>
    </w:p>
    <w:p w14:paraId="4873BCCD">
      <w:pPr>
        <w:keepNext w:val="0"/>
        <w:keepLines w:val="0"/>
        <w:pageBreakBefore w:val="0"/>
        <w:widowControl w:val="0"/>
        <w:tabs>
          <w:tab w:val="left" w:pos="62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⑦ 定义函数指针时，要列出所有形参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D7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2026-01-07T09:24:02Z</dcterms:created>
  <dc:creator>guo</dc:creator>
  <cp:lastModifiedBy>Evy</cp:lastModifiedBy>
  <dcterms:modified xsi:type="dcterms:W3CDTF">2026-01-07T09:35:02Z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eyJoZGlkIjoiYjYwOGM3MzYxYWU3NGUyZGU5NTM0NDI5ZGZiNDhjMDYiLCJ1c2VySWQiOiIzOTc5NzYzMjcifQ==</vt:lpwstr>
  </property>
  <property fmtid="{D5CDD505-2E9C-101B-9397-08002B2CF9AE}" pid="4" name="ICV">
    <vt:lpwstr>859D254EBEC64394A25DD677B6364225_12</vt:lpwstr>
  </property>
</Properties>
</file>