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551"/>
      </w:pPr>
      <w:r>
        <w:t>Example operations review</w:t>
      </w:r>
    </w:p>
    <w:p>
      <w:pPr>
        <w:pStyle w:val="Subtitle"/>
      </w:pPr>
      <w:r>
        <w:t>Capacity results and next cycle actions</w:t>
      </w:r>
    </w:p>
    <w:p>
      <w:pPr/>
      <w:r>
        <w:t>Example Analyst</w:t>
      </w:r>
    </w:p>
    <w:p>
      <w:pPr/>
      <w:r>
        <w:t>2026-01-15</w:t>
      </w:r>
    </w:p>
    <w:p>
      <w:pPr/>
      <w:r>
        <w:t>Example document</w:t>
      </w:r>
    </w:p>
    <w:p>
      <w:r>
        <w:br w:type="page"/>
      </w:r>
    </w:p>
    <w:p>
      <w:pPr>
        <w:pStyle w:val="TOCHeading"/>
      </w:pPr>
      <w:r>
        <w:t>Contents</w:t>
      </w:r>
    </w:p>
    <w:p>
      <w:r>
        <w:fldChar w:fldCharType="begin"/>
      </w:r>
      <w:r>
        <w:instrText> TOC \o "1-3" \h \z \u </w:instrText>
      </w:r>
      <w:r>
        <w:fldChar w:fldCharType="separate"/>
      </w:r>
    </w:p>
    <w:p>
      <w:pPr>
        <w:ind w:left="0"/>
      </w:pPr>
      <w:hyperlink w:anchor="sec_summary">
        <w:r>
          <w:rPr>
            <w:color w:val="215B70"/>
          </w:rPr>
          <w:t>1 Summary</w:t>
        </w:r>
      </w:hyperlink>
    </w:p>
    <w:p>
      <w:pPr>
        <w:ind w:left="283"/>
      </w:pPr>
      <w:hyperlink w:anchor="sec_outcomes">
        <w:r>
          <w:rPr>
            <w:color w:val="215B70"/>
          </w:rPr>
          <w:t>1.1 Outcome measures</w:t>
        </w:r>
      </w:hyperlink>
    </w:p>
    <w:p>
      <w:pPr>
        <w:ind w:left="0"/>
      </w:pPr>
      <w:hyperlink w:anchor="sec_method">
        <w:r>
          <w:rPr>
            <w:color w:val="215B70"/>
          </w:rPr>
          <w:t>2 Method and comparison</w:t>
        </w:r>
      </w:hyperlink>
    </w:p>
    <w:p>
      <w:pPr>
        <w:ind w:left="283"/>
      </w:pPr>
      <w:hyperlink w:anchor="sec_section_6">
        <w:r>
          <w:rPr>
            <w:color w:val="215B70"/>
          </w:rPr>
          <w:t>2.1 Capacity trend</w:t>
        </w:r>
      </w:hyperlink>
    </w:p>
    <w:p>
      <w:pPr>
        <w:ind w:left="567"/>
      </w:pPr>
      <w:hyperlink w:anchor="sec_section_9">
        <w:r>
          <w:rPr>
            <w:color w:val="215B70"/>
          </w:rPr>
          <w:t>2.1.1 Calculation example</w:t>
        </w:r>
      </w:hyperlink>
    </w:p>
    <w:p>
      <w:pPr>
        <w:ind w:left="0"/>
      </w:pPr>
      <w:hyperlink w:anchor="sec_actions">
        <w:r>
          <w:rPr>
            <w:color w:val="215B70"/>
          </w:rPr>
          <w:t>3 Next actions</w:t>
        </w:r>
      </w:hyperlink>
      <w:r>
        <w:fldChar w:fldCharType="end"/>
      </w:r>
    </w:p>
    <w:p>
      <w:r>
        <w:br w:type="page"/>
      </w:r>
    </w:p>
    <w:p>
      <w:bookmarkStart w:id="1" w:name="sec_summary"/>
      <w:pPr>
        <w:pStyle w:val="Heading1"/>
      </w:pPr>
      <w:r>
        <w:t xml:space="preserve">1 </w:t>
      </w:r>
      <w:r>
        <w:rPr>
          <w:b w:val="0"/>
          <w:i w:val="0"/>
          <w:strike w:val="0"/>
        </w:rPr>
        <w:t>Summary</w:t>
      </w:r>
      <w:bookmarkEnd w:id="1"/>
    </w:p>
    <w:p>
      <w:r>
        <w:rPr>
          <w:b w:val="0"/>
          <w:i w:val="0"/>
          <w:strike w:val="0"/>
        </w:rPr>
        <w:t>The example process completed 96 of 100 planned checks. The next cycle should keep the current staffing level and address the four outstanding checks. This report presents fictional operating data, the comparison method, and the next actions.</w:t>
      </w:r>
    </w:p>
    <w:p>
      <w:r>
        <w:rPr>
          <w:b w:val="0"/>
          <w:i w:val="0"/>
          <w:strike w:val="0"/>
        </w:rPr>
        <w:t xml:space="preserve">Prepared on 2026-01-15 by Example Analyst. The work mix appears in </w:t>
      </w:r>
      <w:r>
        <w:fldChar w:fldCharType="begin"/>
      </w:r>
      <w:r>
        <w:instrText xml:space="preserve"> REF fig_volume \h </w:instrText>
      </w:r>
      <w:r>
        <w:fldChar w:fldCharType="separate"/>
      </w:r>
      <w:r>
        <w:t>Figure 1</w:t>
      </w:r>
      <w:r>
        <w:fldChar w:fldCharType="end"/>
      </w:r>
      <w:r>
        <w:rPr>
          <w:b w:val="0"/>
          <w:i w:val="0"/>
          <w:strike w:val="0"/>
        </w:rPr>
        <w:t xml:space="preserve">, and the outcome measures are in </w:t>
      </w:r>
      <w:r>
        <w:fldChar w:fldCharType="begin"/>
      </w:r>
      <w:r>
        <w:instrText xml:space="preserve"> REF tbl_metrics \h </w:instrText>
      </w:r>
      <w:r>
        <w:fldChar w:fldCharType="separate"/>
      </w:r>
      <w:r>
        <w:t>Table 1</w:t>
      </w:r>
      <w:r>
        <w:fldChar w:fldCharType="end"/>
      </w:r>
      <w:r>
        <w:rPr>
          <w:b w:val="0"/>
          <w:i w:val="0"/>
          <w:strike w:val="0"/>
        </w:rPr>
        <w:t>.</w:t>
      </w:r>
      <w:r>
        <w:rPr>
          <w:vertAlign w:val="superscript"/>
        </w:rPr>
        <w:footnoteReference w:id="1"/>
      </w:r>
    </w:p>
    <w:p>
      <w:bookmarkStart w:id="4" w:name="sec_outcomes"/>
      <w:pPr>
        <w:pStyle w:val="Heading2"/>
      </w:pPr>
      <w:r>
        <w:t xml:space="preserve">1.1 </w:t>
      </w:r>
      <w:r>
        <w:rPr>
          <w:b w:val="0"/>
          <w:i w:val="0"/>
          <w:strike w:val="0"/>
        </w:rPr>
        <w:t>Outcome measures</w:t>
      </w:r>
      <w:bookmarkEnd w:id="4"/>
    </w:p>
    <w:p>
      <w:bookmarkStart w:id="5" w:name="tbl_metrics"/>
      <w:pPr>
        <w:pStyle w:val="Caption"/>
        <w:keepNext/>
      </w:pPr>
      <w:r>
        <w:t xml:space="preserve">Table </w:t>
      </w:r>
      <w:r>
        <w:fldChar w:fldCharType="begin"/>
      </w:r>
      <w:r>
        <w:instrText xml:space="preserve"> SEQ Table \* ARABIC </w:instrText>
      </w:r>
      <w:r>
        <w:fldChar w:fldCharType="separate"/>
      </w:r>
      <w:r>
        <w:t>1</w:t>
      </w:r>
      <w:r>
        <w:fldChar w:fldCharType="end"/>
      </w:r>
      <w:bookmarkEnd w:id="5"/>
      <w:r>
        <w:t xml:space="preserve"> — Planned and completed checks</w:t>
      </w:r>
    </w:p>
    <w:tbl>
      <w:tblPr>
        <w:tblW w:type="auto" w:w="0"/>
        <w:tblLayout w:type="autofit"/>
        <w:tblLook w:firstColumn="1" w:firstRow="1" w:lastColumn="0" w:lastRow="0" w:noHBand="0" w:noVBand="1" w:val="04A0"/>
        <w:tblBorders>
          <w:top w:val="single" w:sz="8" w:color="666666"/>
          <w:bottom w:val="single" w:sz="8" w:color="666666"/>
          <w:left w:val="nil" w:sz="8" w:color="666666"/>
          <w:right w:val="nil" w:sz="8" w:color="666666"/>
          <w:insideH w:val="nil" w:sz="8" w:color="666666"/>
          <w:insideV w:val="nil" w:sz="8" w:color="666666"/>
        </w:tblBorders>
      </w:tblPr>
      <w:tblGrid>
        <w:gridCol w:w="3061"/>
        <w:gridCol w:w="3061"/>
        <w:gridCol w:w="3061"/>
      </w:tblGrid>
      <w:tr>
        <w:trPr>
          <w:cantSplit/>
          <w:tblHeader/>
        </w:trPr>
        <w:tc>
          <w:tcPr>
            <w:tcW w:type="dxa" w:w="4592"/>
            <w:vAlign w:val="center"/>
            <w:shd w:fill="F1F4F5"/>
            <w:tcBorders>
              <w:bottom w:val="single" w:sz="4"/>
            </w:tcBorders>
          </w:tcPr>
          <w:p>
            <w:pPr>
              <w:spacing w:after="100" w:before="100" w:line="276" w:lineRule="auto"/>
            </w:pPr>
            <w:r>
              <w:rPr>
                <w:b/>
                <w:i w:val="0"/>
                <w:strike w:val="0"/>
              </w:rPr>
              <w:t>Measure</w:t>
            </w:r>
          </w:p>
        </w:tc>
        <w:tc>
          <w:tcPr>
            <w:tcW w:type="dxa" w:w="2009"/>
            <w:vAlign w:val="center"/>
            <w:shd w:fill="F1F4F5"/>
            <w:tcBorders>
              <w:bottom w:val="single" w:sz="4"/>
            </w:tcBorders>
          </w:tcPr>
          <w:p>
            <w:pPr>
              <w:spacing w:after="100" w:before="100" w:line="276" w:lineRule="auto"/>
            </w:pPr>
            <w:r>
              <w:rPr>
                <w:b/>
                <w:i w:val="0"/>
                <w:strike w:val="0"/>
              </w:rPr>
              <w:t>Planned</w:t>
            </w:r>
          </w:p>
        </w:tc>
        <w:tc>
          <w:tcPr>
            <w:tcW w:type="dxa" w:w="2583"/>
            <w:vAlign w:val="center"/>
            <w:shd w:fill="F1F4F5"/>
            <w:tcBorders>
              <w:bottom w:val="single" w:sz="4"/>
            </w:tcBorders>
          </w:tcPr>
          <w:p>
            <w:pPr>
              <w:spacing w:after="100" w:before="100" w:line="276" w:lineRule="auto"/>
            </w:pPr>
            <w:r>
              <w:rPr>
                <w:b/>
                <w:i w:val="0"/>
                <w:strike w:val="0"/>
              </w:rPr>
              <w:t>Completed</w:t>
            </w:r>
          </w:p>
        </w:tc>
      </w:tr>
      <w:tr>
        <w:trPr>
          <w:cantSplit/>
        </w:trPr>
        <w:tc>
          <w:tcPr>
            <w:tcW w:type="dxa" w:w="4592"/>
            <w:vAlign w:val="center"/>
          </w:tcPr>
          <w:p>
            <w:pPr>
              <w:spacing w:after="100" w:before="100" w:line="276" w:lineRule="auto"/>
            </w:pPr>
            <w:r>
              <w:rPr>
                <w:b w:val="0"/>
                <w:i w:val="0"/>
                <w:strike w:val="0"/>
              </w:rPr>
              <w:t>Initial review</w:t>
            </w:r>
          </w:p>
        </w:tc>
        <w:tc>
          <w:tcPr>
            <w:tcW w:type="dxa" w:w="2009"/>
            <w:vAlign w:val="center"/>
          </w:tcPr>
          <w:p>
            <w:pPr>
              <w:spacing w:after="100" w:before="100" w:line="276" w:lineRule="auto"/>
            </w:pPr>
            <w:r>
              <w:rPr>
                <w:b w:val="0"/>
                <w:i w:val="0"/>
                <w:strike w:val="0"/>
              </w:rPr>
              <w:t>40</w:t>
            </w:r>
          </w:p>
        </w:tc>
        <w:tc>
          <w:tcPr>
            <w:tcW w:type="dxa" w:w="2583"/>
            <w:vAlign w:val="center"/>
          </w:tcPr>
          <w:p>
            <w:pPr>
              <w:spacing w:after="100" w:before="100" w:line="276" w:lineRule="auto"/>
            </w:pPr>
            <w:r>
              <w:rPr>
                <w:b w:val="0"/>
                <w:i w:val="0"/>
                <w:strike w:val="0"/>
              </w:rPr>
              <w:t>39</w:t>
            </w:r>
          </w:p>
        </w:tc>
      </w:tr>
      <w:tr>
        <w:trPr>
          <w:cantSplit/>
        </w:trPr>
        <w:tc>
          <w:tcPr>
            <w:tcW w:type="dxa" w:w="4592"/>
            <w:vAlign w:val="center"/>
          </w:tcPr>
          <w:p>
            <w:pPr>
              <w:spacing w:after="100" w:before="100" w:line="276" w:lineRule="auto"/>
            </w:pPr>
            <w:r>
              <w:rPr>
                <w:b w:val="0"/>
                <w:i w:val="0"/>
                <w:strike w:val="0"/>
              </w:rPr>
              <w:t>Follow up review</w:t>
            </w:r>
          </w:p>
        </w:tc>
        <w:tc>
          <w:tcPr>
            <w:tcW w:type="dxa" w:w="2009"/>
            <w:vAlign w:val="center"/>
          </w:tcPr>
          <w:p>
            <w:pPr>
              <w:spacing w:after="100" w:before="100" w:line="276" w:lineRule="auto"/>
            </w:pPr>
            <w:r>
              <w:rPr>
                <w:b w:val="0"/>
                <w:i w:val="0"/>
                <w:strike w:val="0"/>
              </w:rPr>
              <w:t>35</w:t>
            </w:r>
          </w:p>
        </w:tc>
        <w:tc>
          <w:tcPr>
            <w:tcW w:type="dxa" w:w="2583"/>
            <w:vAlign w:val="center"/>
          </w:tcPr>
          <w:p>
            <w:pPr>
              <w:spacing w:after="100" w:before="100" w:line="276" w:lineRule="auto"/>
            </w:pPr>
            <w:r>
              <w:rPr>
                <w:b w:val="0"/>
                <w:i w:val="0"/>
                <w:strike w:val="0"/>
              </w:rPr>
              <w:t>33</w:t>
            </w:r>
          </w:p>
        </w:tc>
      </w:tr>
      <w:tr>
        <w:trPr>
          <w:cantSplit/>
        </w:trPr>
        <w:tc>
          <w:tcPr>
            <w:tcW w:type="dxa" w:w="4592"/>
            <w:vAlign w:val="center"/>
          </w:tcPr>
          <w:p>
            <w:pPr>
              <w:spacing w:after="100" w:before="100" w:line="276" w:lineRule="auto"/>
            </w:pPr>
            <w:r>
              <w:rPr>
                <w:b w:val="0"/>
                <w:i w:val="0"/>
                <w:strike w:val="0"/>
              </w:rPr>
              <w:t>Final review</w:t>
            </w:r>
          </w:p>
        </w:tc>
        <w:tc>
          <w:tcPr>
            <w:tcW w:type="dxa" w:w="2009"/>
            <w:vAlign w:val="center"/>
          </w:tcPr>
          <w:p>
            <w:pPr>
              <w:spacing w:after="100" w:before="100" w:line="276" w:lineRule="auto"/>
            </w:pPr>
            <w:r>
              <w:rPr>
                <w:b w:val="0"/>
                <w:i w:val="0"/>
                <w:strike w:val="0"/>
              </w:rPr>
              <w:t>25</w:t>
            </w:r>
          </w:p>
        </w:tc>
        <w:tc>
          <w:tcPr>
            <w:tcW w:type="dxa" w:w="2583"/>
            <w:vAlign w:val="center"/>
          </w:tcPr>
          <w:p>
            <w:pPr>
              <w:spacing w:after="100" w:before="100" w:line="276" w:lineRule="auto"/>
            </w:pPr>
            <w:r>
              <w:rPr>
                <w:b w:val="0"/>
                <w:i w:val="0"/>
                <w:strike w:val="0"/>
              </w:rPr>
              <w:t>24</w:t>
            </w:r>
          </w:p>
        </w:tc>
      </w:tr>
      <w:tr>
        <w:trPr>
          <w:cantSplit/>
        </w:trPr>
        <w:tc>
          <w:tcPr>
            <w:tcW w:type="dxa" w:w="4592"/>
            <w:vAlign w:val="center"/>
          </w:tcPr>
          <w:p>
            <w:pPr>
              <w:spacing w:after="100" w:before="100" w:line="276" w:lineRule="auto"/>
            </w:pPr>
            <w:r>
              <w:rPr>
                <w:b w:val="0"/>
                <w:i w:val="0"/>
                <w:strike w:val="0"/>
              </w:rPr>
              <w:t>Total</w:t>
            </w:r>
          </w:p>
        </w:tc>
        <w:tc>
          <w:tcPr>
            <w:tcW w:type="dxa" w:w="2009"/>
            <w:vAlign w:val="center"/>
          </w:tcPr>
          <w:p>
            <w:pPr>
              <w:spacing w:after="100" w:before="100" w:line="276" w:lineRule="auto"/>
            </w:pPr>
            <w:r>
              <w:rPr>
                <w:b w:val="0"/>
                <w:i w:val="0"/>
                <w:strike w:val="0"/>
              </w:rPr>
              <w:t>100</w:t>
            </w:r>
          </w:p>
        </w:tc>
        <w:tc>
          <w:tcPr>
            <w:tcW w:type="dxa" w:w="2583"/>
            <w:vAlign w:val="center"/>
          </w:tcPr>
          <w:p>
            <w:pPr>
              <w:spacing w:after="100" w:before="100" w:line="276" w:lineRule="auto"/>
            </w:pPr>
            <w:r>
              <w:rPr>
                <w:b w:val="0"/>
                <w:i w:val="0"/>
                <w:strike w:val="0"/>
              </w:rPr>
              <w:t>96</w:t>
            </w:r>
          </w:p>
        </w:tc>
      </w:tr>
    </w:tbl>
    <w:p>
      <w:pPr>
        <w:spacing w:before="160"/>
      </w:pPr>
      <w:r>
        <w:rPr>
          <w:b w:val="0"/>
          <w:i w:val="0"/>
          <w:strike w:val="0"/>
        </w:rPr>
        <w:t xml:space="preserve">The completion fraction is </w:t>
      </w:r>
      <w:r>
        <w:drawing>
          <wp:inline xmlns:a="http://schemas.openxmlformats.org/drawingml/2006/main" xmlns:pic="http://schemas.openxmlformats.org/drawingml/2006/picture">
            <wp:extent cx="1484000" cy="151199"/>
            <wp:docPr id="1" name="Picture 1" descr="r = 96 / 100 = 0.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484000" cy="151199"/>
                    </a:xfrm>
                    <a:prstGeom prst="rect"/>
                  </pic:spPr>
                </pic:pic>
              </a:graphicData>
            </a:graphic>
          </wp:inline>
        </w:drawing>
      </w:r>
      <w:r>
        <w:rPr>
          <w:b w:val="0"/>
          <w:i w:val="0"/>
          <w:strike w:val="0"/>
        </w:rPr>
        <w:t>. The numerical result is a planning indicator, not a claim about any real organization.</w:t>
      </w:r>
    </w:p>
    <w:p>
      <w:pPr>
        <w:keepNext/>
        <w:spacing w:before="160"/>
        <w:jc w:val="center"/>
      </w:pPr>
      <w:r>
        <w:drawing>
          <wp:inline xmlns:a="http://schemas.openxmlformats.org/drawingml/2006/main" xmlns:pic="http://schemas.openxmlformats.org/drawingml/2006/picture">
            <wp:extent cx="5832000" cy="2512246"/>
            <wp:docPr id="2" name="Picture 2" descr="Planned and completed check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32000" cy="2512246"/>
                    </a:xfrm>
                    <a:prstGeom prst="rect"/>
                  </pic:spPr>
                </pic:pic>
              </a:graphicData>
            </a:graphic>
          </wp:inline>
        </w:drawing>
      </w:r>
    </w:p>
    <w:p>
      <w:bookmarkStart w:id="7" w:name="fig_volume"/>
      <w:pPr>
        <w:pStyle w:val="Caption"/>
        <w:jc w:val="center"/>
      </w:pPr>
      <w:r>
        <w:t xml:space="preserve">Figure </w:t>
      </w:r>
      <w:r>
        <w:fldChar w:fldCharType="begin"/>
      </w:r>
      <w:r>
        <w:instrText xml:space="preserve"> SEQ Figure \* ARABIC </w:instrText>
      </w:r>
      <w:r>
        <w:fldChar w:fldCharType="separate"/>
      </w:r>
      <w:r>
        <w:t>1</w:t>
      </w:r>
      <w:r>
        <w:fldChar w:fldCharType="end"/>
      </w:r>
      <w:bookmarkEnd w:id="7"/>
      <w:r>
        <w:t xml:space="preserve"> — Planned and completed checks</w:t>
      </w:r>
    </w:p>
    <w:p>
      <w:bookmarkStart w:id="8" w:name="sec_method"/>
      <w:pPr>
        <w:pStyle w:val="Heading1"/>
      </w:pPr>
      <w:r>
        <w:t xml:space="preserve">2 </w:t>
      </w:r>
      <w:r>
        <w:rPr>
          <w:b w:val="0"/>
          <w:i w:val="0"/>
          <w:strike w:val="0"/>
        </w:rPr>
        <w:t>Method and comparison</w:t>
      </w:r>
      <w:bookmarkEnd w:id="8"/>
    </w:p>
    <w:p>
      <w:r>
        <w:rPr>
          <w:b w:val="0"/>
          <w:i w:val="0"/>
          <w:strike w:val="0"/>
        </w:rPr>
        <w:t>The same counting rule applies to every group. A check counts as complete only when the example reviewer has recorded its result.</w:t>
      </w:r>
    </w:p>
    <w:p>
      <w:bookmarkStart w:id="10" w:name="sec_section_6"/>
      <w:pPr>
        <w:pStyle w:val="Heading2"/>
      </w:pPr>
      <w:r>
        <w:t xml:space="preserve">2.1 </w:t>
      </w:r>
      <w:r>
        <w:rPr>
          <w:b w:val="0"/>
          <w:i w:val="0"/>
          <w:strike w:val="0"/>
        </w:rPr>
        <w:t>Capacity trend</w:t>
      </w:r>
      <w:bookmarkEnd w:id="10"/>
    </w:p>
    <w:p>
      <w:bookmarkStart w:id="11" w:name="tbl_capacity"/>
      <w:pPr>
        <w:pStyle w:val="Caption"/>
        <w:keepNext/>
      </w:pPr>
      <w:r>
        <w:t xml:space="preserve">Table </w:t>
      </w:r>
      <w:r>
        <w:fldChar w:fldCharType="begin"/>
      </w:r>
      <w:r>
        <w:instrText xml:space="preserve"> SEQ Table \* ARABIC </w:instrText>
      </w:r>
      <w:r>
        <w:fldChar w:fldCharType="separate"/>
      </w:r>
      <w:r>
        <w:t>2</w:t>
      </w:r>
      <w:r>
        <w:fldChar w:fldCharType="end"/>
      </w:r>
      <w:bookmarkEnd w:id="11"/>
      <w:r>
        <w:t xml:space="preserve"> — Weekly capacity observations</w:t>
      </w:r>
    </w:p>
    <w:tbl>
      <w:tblPr>
        <w:tblW w:type="auto" w:w="0"/>
        <w:tblLayout w:type="autofit"/>
        <w:tblLook w:firstColumn="1" w:firstRow="1" w:lastColumn="0" w:lastRow="0" w:noHBand="0" w:noVBand="1" w:val="04A0"/>
        <w:tblBorders>
          <w:top w:val="single" w:sz="8" w:color="666666"/>
          <w:bottom w:val="single" w:sz="8" w:color="666666"/>
          <w:left w:val="nil" w:sz="8" w:color="666666"/>
          <w:right w:val="nil" w:sz="8" w:color="666666"/>
          <w:insideH w:val="nil" w:sz="8" w:color="666666"/>
          <w:insideV w:val="nil" w:sz="8" w:color="666666"/>
        </w:tblBorders>
      </w:tblPr>
      <w:tblGrid>
        <w:gridCol w:w="3061"/>
        <w:gridCol w:w="3061"/>
        <w:gridCol w:w="3061"/>
      </w:tblGrid>
      <w:tr>
        <w:trPr>
          <w:cantSplit/>
          <w:tblHeader/>
        </w:trPr>
        <w:tc>
          <w:tcPr>
            <w:tcW w:type="dxa" w:w="2551"/>
            <w:vAlign w:val="center"/>
            <w:shd w:fill="F1F4F5"/>
            <w:tcBorders>
              <w:bottom w:val="single" w:sz="4"/>
            </w:tcBorders>
          </w:tcPr>
          <w:p>
            <w:pPr>
              <w:spacing w:after="100" w:before="100" w:line="276" w:lineRule="auto"/>
            </w:pPr>
            <w:r>
              <w:rPr>
                <w:b/>
                <w:i w:val="0"/>
                <w:strike w:val="0"/>
              </w:rPr>
              <w:t>Week</w:t>
            </w:r>
          </w:p>
        </w:tc>
        <w:tc>
          <w:tcPr>
            <w:tcW w:type="dxa" w:w="4082"/>
            <w:vAlign w:val="center"/>
            <w:shd w:fill="F1F4F5"/>
            <w:tcBorders>
              <w:bottom w:val="single" w:sz="4"/>
            </w:tcBorders>
          </w:tcPr>
          <w:p>
            <w:pPr>
              <w:spacing w:after="100" w:before="100" w:line="276" w:lineRule="auto"/>
            </w:pPr>
            <w:r>
              <w:rPr>
                <w:b/>
                <w:i w:val="0"/>
                <w:strike w:val="0"/>
              </w:rPr>
              <w:t>Capacity</w:t>
            </w:r>
          </w:p>
        </w:tc>
        <w:tc>
          <w:tcPr>
            <w:tcW w:type="dxa" w:w="2551"/>
            <w:vAlign w:val="center"/>
            <w:shd w:fill="F1F4F5"/>
            <w:tcBorders>
              <w:bottom w:val="single" w:sz="4"/>
            </w:tcBorders>
          </w:tcPr>
          <w:p>
            <w:pPr>
              <w:spacing w:after="100" w:before="100" w:line="276" w:lineRule="auto"/>
            </w:pPr>
            <w:r>
              <w:rPr>
                <w:b/>
                <w:i w:val="0"/>
                <w:strike w:val="0"/>
              </w:rPr>
              <w:t>Used</w:t>
            </w:r>
          </w:p>
        </w:tc>
      </w:tr>
      <w:tr>
        <w:trPr>
          <w:cantSplit/>
        </w:trPr>
        <w:tc>
          <w:tcPr>
            <w:tcW w:type="dxa" w:w="2551"/>
            <w:vAlign w:val="center"/>
          </w:tcPr>
          <w:p>
            <w:pPr>
              <w:spacing w:after="100" w:before="100" w:line="276" w:lineRule="auto"/>
            </w:pPr>
            <w:r>
              <w:rPr>
                <w:b w:val="0"/>
                <w:i w:val="0"/>
                <w:strike w:val="0"/>
              </w:rPr>
              <w:t>One</w:t>
            </w:r>
          </w:p>
        </w:tc>
        <w:tc>
          <w:tcPr>
            <w:tcW w:type="dxa" w:w="4082"/>
            <w:vAlign w:val="center"/>
          </w:tcPr>
          <w:p>
            <w:pPr>
              <w:spacing w:after="100" w:before="100" w:line="276" w:lineRule="auto"/>
            </w:pPr>
            <w:r>
              <w:rPr>
                <w:b w:val="0"/>
                <w:i w:val="0"/>
                <w:strike w:val="0"/>
              </w:rPr>
              <w:t>100</w:t>
            </w:r>
          </w:p>
        </w:tc>
        <w:tc>
          <w:tcPr>
            <w:tcW w:type="dxa" w:w="2551"/>
            <w:vAlign w:val="center"/>
          </w:tcPr>
          <w:p>
            <w:pPr>
              <w:spacing w:after="100" w:before="100" w:line="276" w:lineRule="auto"/>
            </w:pPr>
            <w:r>
              <w:rPr>
                <w:b w:val="0"/>
                <w:i w:val="0"/>
                <w:strike w:val="0"/>
              </w:rPr>
              <w:t>82</w:t>
            </w:r>
          </w:p>
        </w:tc>
      </w:tr>
      <w:tr>
        <w:trPr>
          <w:cantSplit/>
        </w:trPr>
        <w:tc>
          <w:tcPr>
            <w:tcW w:type="dxa" w:w="2551"/>
            <w:vAlign w:val="center"/>
          </w:tcPr>
          <w:p>
            <w:pPr>
              <w:spacing w:after="100" w:before="100" w:line="276" w:lineRule="auto"/>
            </w:pPr>
            <w:r>
              <w:rPr>
                <w:b w:val="0"/>
                <w:i w:val="0"/>
                <w:strike w:val="0"/>
              </w:rPr>
              <w:t>Two</w:t>
            </w:r>
          </w:p>
        </w:tc>
        <w:tc>
          <w:tcPr>
            <w:tcW w:type="dxa" w:w="4082"/>
            <w:vAlign w:val="center"/>
          </w:tcPr>
          <w:p>
            <w:pPr>
              <w:spacing w:after="100" w:before="100" w:line="276" w:lineRule="auto"/>
            </w:pPr>
            <w:r>
              <w:rPr>
                <w:b w:val="0"/>
                <w:i w:val="0"/>
                <w:strike w:val="0"/>
              </w:rPr>
              <w:t>100</w:t>
            </w:r>
          </w:p>
        </w:tc>
        <w:tc>
          <w:tcPr>
            <w:tcW w:type="dxa" w:w="2551"/>
            <w:vAlign w:val="center"/>
          </w:tcPr>
          <w:p>
            <w:pPr>
              <w:spacing w:after="100" w:before="100" w:line="276" w:lineRule="auto"/>
            </w:pPr>
            <w:r>
              <w:rPr>
                <w:b w:val="0"/>
                <w:i w:val="0"/>
                <w:strike w:val="0"/>
              </w:rPr>
              <w:t>89</w:t>
            </w:r>
          </w:p>
        </w:tc>
      </w:tr>
      <w:tr>
        <w:trPr>
          <w:cantSplit/>
        </w:trPr>
        <w:tc>
          <w:tcPr>
            <w:tcW w:type="dxa" w:w="2551"/>
            <w:vAlign w:val="center"/>
          </w:tcPr>
          <w:p>
            <w:pPr>
              <w:spacing w:after="100" w:before="100" w:line="276" w:lineRule="auto"/>
            </w:pPr>
            <w:r>
              <w:rPr>
                <w:b w:val="0"/>
                <w:i w:val="0"/>
                <w:strike w:val="0"/>
              </w:rPr>
              <w:t>Three</w:t>
            </w:r>
          </w:p>
        </w:tc>
        <w:tc>
          <w:tcPr>
            <w:tcW w:type="dxa" w:w="4082"/>
            <w:vAlign w:val="center"/>
          </w:tcPr>
          <w:p>
            <w:pPr>
              <w:spacing w:after="100" w:before="100" w:line="276" w:lineRule="auto"/>
            </w:pPr>
            <w:r>
              <w:rPr>
                <w:b w:val="0"/>
                <w:i w:val="0"/>
                <w:strike w:val="0"/>
              </w:rPr>
              <w:t>100</w:t>
            </w:r>
          </w:p>
        </w:tc>
        <w:tc>
          <w:tcPr>
            <w:tcW w:type="dxa" w:w="2551"/>
            <w:vAlign w:val="center"/>
          </w:tcPr>
          <w:p>
            <w:pPr>
              <w:spacing w:after="100" w:before="100" w:line="276" w:lineRule="auto"/>
            </w:pPr>
            <w:r>
              <w:rPr>
                <w:b w:val="0"/>
                <w:i w:val="0"/>
                <w:strike w:val="0"/>
              </w:rPr>
              <w:t>96</w:t>
            </w:r>
          </w:p>
        </w:tc>
      </w:tr>
    </w:tbl>
    <w:p>
      <w:pPr>
        <w:keepNext/>
        <w:spacing w:before="160"/>
        <w:jc w:val="center"/>
      </w:pPr>
      <w:r>
        <w:drawing>
          <wp:inline xmlns:a="http://schemas.openxmlformats.org/drawingml/2006/main" xmlns:pic="http://schemas.openxmlformats.org/drawingml/2006/picture">
            <wp:extent cx="5832000" cy="2512246"/>
            <wp:docPr id="3" name="Picture 3" descr="Completed checks across three week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32000" cy="2512246"/>
                    </a:xfrm>
                    <a:prstGeom prst="rect"/>
                  </pic:spPr>
                </pic:pic>
              </a:graphicData>
            </a:graphic>
          </wp:inline>
        </w:drawing>
      </w:r>
    </w:p>
    <w:p>
      <w:bookmarkStart w:id="12" w:name="fig_trend"/>
      <w:pPr>
        <w:pStyle w:val="Caption"/>
        <w:jc w:val="center"/>
      </w:pPr>
      <w:r>
        <w:t xml:space="preserve">Figure </w:t>
      </w:r>
      <w:r>
        <w:fldChar w:fldCharType="begin"/>
      </w:r>
      <w:r>
        <w:instrText xml:space="preserve"> SEQ Figure \* ARABIC </w:instrText>
      </w:r>
      <w:r>
        <w:fldChar w:fldCharType="separate"/>
      </w:r>
      <w:r>
        <w:t>2</w:t>
      </w:r>
      <w:r>
        <w:fldChar w:fldCharType="end"/>
      </w:r>
      <w:bookmarkEnd w:id="12"/>
      <w:r>
        <w:t xml:space="preserve"> — Completed checks across three weeks</w:t>
      </w:r>
    </w:p>
    <w:p>
      <w:r>
        <w:rPr>
          <w:b w:val="0"/>
          <w:i w:val="0"/>
          <w:strike w:val="0"/>
        </w:rPr>
        <w:t>The arithmetic mean is defined by the following expression.</w:t>
      </w:r>
    </w:p>
    <w:p>
      <w:pPr>
        <w:keepNext w:val="0"/>
        <w:spacing w:before="160"/>
        <w:jc w:val="center"/>
      </w:pPr>
      <w:r>
        <w:drawing>
          <wp:inline xmlns:a="http://schemas.openxmlformats.org/drawingml/2006/main" xmlns:pic="http://schemas.openxmlformats.org/drawingml/2006/picture">
            <wp:extent cx="741679" cy="401319"/>
            <wp:docPr id="4" name="Picture 4" descr="&#10;\bar{x} = \frac{1}{n}\sum_{i=1}^{n} x_i&#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41679" cy="401319"/>
                    </a:xfrm>
                    <a:prstGeom prst="rect"/>
                  </pic:spPr>
                </pic:pic>
              </a:graphicData>
            </a:graphic>
          </wp:inline>
        </w:drawing>
      </w:r>
    </w:p>
    <w:p>
      <w:bookmarkStart w:id="15" w:name="sec_section_9"/>
      <w:pPr>
        <w:pStyle w:val="Heading3"/>
      </w:pPr>
      <w:r>
        <w:t xml:space="preserve">2.1.1 </w:t>
      </w:r>
      <w:r>
        <w:rPr>
          <w:b w:val="0"/>
          <w:i w:val="0"/>
          <w:strike w:val="0"/>
        </w:rPr>
        <w:t>Calculation example</w:t>
      </w:r>
      <w:bookmarkEnd w:id="15"/>
    </w:p>
    <w:p>
      <w:pPr>
        <w:keepLines/>
        <w:spacing w:line="264" w:lineRule="auto"/>
      </w:pPr>
      <w:r>
        <w:rPr>
          <w:rFonts w:ascii="Courier New" w:hAnsi="Courier New"/>
          <w:sz w:val="18"/>
        </w:rPr>
        <w:t>completed = [82, 89, 96]</w:t>
        <w:br/>
        <w:t>mean_completed = sum(completed) / len(completed)</w:t>
        <w:br/>
        <w:t>assert mean_completed == 89</w:t>
      </w:r>
    </w:p>
    <w:p>
      <w:pPr>
        <w:pStyle w:val="Quote"/>
        <w:ind w:left="454"/>
      </w:pPr>
      <w:r>
        <w:rPr>
          <w:b w:val="0"/>
          <w:i w:val="0"/>
          <w:strike w:val="0"/>
        </w:rPr>
        <w:t>Use the same observation window when comparing one cycle with another.</w:t>
      </w:r>
    </w:p>
    <w:p>
      <w:bookmarkStart w:id="18" w:name="sec_actions"/>
      <w:pPr>
        <w:pStyle w:val="Heading1"/>
      </w:pPr>
      <w:r>
        <w:t xml:space="preserve">3 </w:t>
      </w:r>
      <w:r>
        <w:rPr>
          <w:b w:val="0"/>
          <w:i w:val="0"/>
          <w:strike w:val="0"/>
        </w:rPr>
        <w:t>Next actions</w:t>
      </w:r>
      <w:bookmarkEnd w:id="18"/>
    </w:p>
    <w:p>
      <w:bookmarkStart w:id="19" w:name="tbl_actions_table"/>
      <w:pPr>
        <w:pStyle w:val="Caption"/>
        <w:keepNext/>
      </w:pPr>
      <w:r>
        <w:t xml:space="preserve">Table </w:t>
      </w:r>
      <w:r>
        <w:fldChar w:fldCharType="begin"/>
      </w:r>
      <w:r>
        <w:instrText xml:space="preserve"> SEQ Table \* ARABIC </w:instrText>
      </w:r>
      <w:r>
        <w:fldChar w:fldCharType="separate"/>
      </w:r>
      <w:r>
        <w:t>3</w:t>
      </w:r>
      <w:r>
        <w:fldChar w:fldCharType="end"/>
      </w:r>
      <w:bookmarkEnd w:id="19"/>
      <w:r>
        <w:t xml:space="preserve"> — Actions for the next review</w:t>
      </w:r>
    </w:p>
    <w:tbl>
      <w:tblPr>
        <w:tblW w:type="auto" w:w="0"/>
        <w:tblLayout w:type="autofit"/>
        <w:tblLook w:firstColumn="1" w:firstRow="1" w:lastColumn="0" w:lastRow="0" w:noHBand="0" w:noVBand="1" w:val="04A0"/>
        <w:tblBorders>
          <w:top w:val="single" w:sz="8" w:color="666666"/>
          <w:bottom w:val="single" w:sz="8" w:color="666666"/>
          <w:left w:val="nil" w:sz="8" w:color="666666"/>
          <w:right w:val="nil" w:sz="8" w:color="666666"/>
          <w:insideH w:val="nil" w:sz="8" w:color="666666"/>
          <w:insideV w:val="nil" w:sz="8" w:color="666666"/>
        </w:tblBorders>
      </w:tblPr>
      <w:tblGrid>
        <w:gridCol w:w="3061"/>
        <w:gridCol w:w="3061"/>
        <w:gridCol w:w="3061"/>
      </w:tblGrid>
      <w:tr>
        <w:trPr>
          <w:cantSplit/>
          <w:tblHeader/>
        </w:trPr>
        <w:tc>
          <w:tcPr>
            <w:tcW w:type="dxa" w:w="4676"/>
            <w:vAlign w:val="center"/>
            <w:shd w:fill="F1F4F5"/>
            <w:tcBorders>
              <w:bottom w:val="single" w:sz="4"/>
            </w:tcBorders>
          </w:tcPr>
          <w:p>
            <w:pPr>
              <w:spacing w:after="100" w:before="100" w:line="276" w:lineRule="auto"/>
            </w:pPr>
            <w:r>
              <w:rPr>
                <w:b/>
                <w:i w:val="0"/>
                <w:strike w:val="0"/>
              </w:rPr>
              <w:t>Action</w:t>
            </w:r>
          </w:p>
        </w:tc>
        <w:tc>
          <w:tcPr>
            <w:tcW w:type="dxa" w:w="3173"/>
            <w:vAlign w:val="center"/>
            <w:shd w:fill="F1F4F5"/>
            <w:tcBorders>
              <w:bottom w:val="single" w:sz="4"/>
            </w:tcBorders>
          </w:tcPr>
          <w:p>
            <w:pPr>
              <w:spacing w:after="100" w:before="100" w:line="276" w:lineRule="auto"/>
            </w:pPr>
            <w:r>
              <w:rPr>
                <w:b/>
                <w:i w:val="0"/>
                <w:strike w:val="0"/>
              </w:rPr>
              <w:t>Owner</w:t>
            </w:r>
          </w:p>
        </w:tc>
        <w:tc>
          <w:tcPr>
            <w:tcW w:type="dxa" w:w="1336"/>
            <w:vAlign w:val="center"/>
            <w:shd w:fill="F1F4F5"/>
            <w:tcBorders>
              <w:bottom w:val="single" w:sz="4"/>
            </w:tcBorders>
          </w:tcPr>
          <w:p>
            <w:pPr>
              <w:spacing w:after="100" w:before="100" w:line="276" w:lineRule="auto"/>
            </w:pPr>
            <w:r>
              <w:rPr>
                <w:b/>
                <w:i w:val="0"/>
                <w:strike w:val="0"/>
              </w:rPr>
              <w:t>Status</w:t>
            </w:r>
          </w:p>
        </w:tc>
      </w:tr>
      <w:tr>
        <w:trPr>
          <w:cantSplit/>
        </w:trPr>
        <w:tc>
          <w:tcPr>
            <w:tcW w:type="dxa" w:w="4676"/>
            <w:vAlign w:val="center"/>
          </w:tcPr>
          <w:p>
            <w:pPr>
              <w:spacing w:after="100" w:before="100" w:line="276" w:lineRule="auto"/>
            </w:pPr>
            <w:r>
              <w:rPr>
                <w:b w:val="0"/>
                <w:i w:val="0"/>
                <w:strike w:val="0"/>
              </w:rPr>
              <w:t>Recheck four open items</w:t>
            </w:r>
          </w:p>
        </w:tc>
        <w:tc>
          <w:tcPr>
            <w:tcW w:type="dxa" w:w="3173"/>
            <w:vAlign w:val="center"/>
          </w:tcPr>
          <w:p>
            <w:pPr>
              <w:spacing w:after="100" w:before="100" w:line="276" w:lineRule="auto"/>
            </w:pPr>
            <w:r>
              <w:rPr>
                <w:b w:val="0"/>
                <w:i w:val="0"/>
                <w:strike w:val="0"/>
              </w:rPr>
              <w:t>Example Reviewer</w:t>
            </w:r>
          </w:p>
        </w:tc>
        <w:tc>
          <w:tcPr>
            <w:tcW w:type="dxa" w:w="1336"/>
            <w:vAlign w:val="center"/>
          </w:tcPr>
          <w:p>
            <w:pPr>
              <w:spacing w:after="100" w:before="100" w:line="276" w:lineRule="auto"/>
            </w:pPr>
            <w:r>
              <w:rPr>
                <w:b w:val="0"/>
                <w:i w:val="0"/>
                <w:strike w:val="0"/>
              </w:rPr>
              <w:t>Planned</w:t>
            </w:r>
          </w:p>
        </w:tc>
      </w:tr>
      <w:tr>
        <w:trPr>
          <w:cantSplit/>
        </w:trPr>
        <w:tc>
          <w:tcPr>
            <w:tcW w:type="dxa" w:w="4676"/>
            <w:vAlign w:val="center"/>
          </w:tcPr>
          <w:p>
            <w:pPr>
              <w:spacing w:after="100" w:before="100" w:line="276" w:lineRule="auto"/>
            </w:pPr>
            <w:r>
              <w:rPr>
                <w:b w:val="0"/>
                <w:i w:val="0"/>
                <w:strike w:val="0"/>
              </w:rPr>
              <w:t>Confirm next review date</w:t>
            </w:r>
          </w:p>
        </w:tc>
        <w:tc>
          <w:tcPr>
            <w:tcW w:type="dxa" w:w="3173"/>
            <w:vAlign w:val="center"/>
          </w:tcPr>
          <w:p>
            <w:pPr>
              <w:spacing w:after="100" w:before="100" w:line="276" w:lineRule="auto"/>
            </w:pPr>
            <w:r>
              <w:rPr>
                <w:b w:val="0"/>
                <w:i w:val="0"/>
                <w:strike w:val="0"/>
              </w:rPr>
              <w:t>Example Coordinator</w:t>
            </w:r>
          </w:p>
        </w:tc>
        <w:tc>
          <w:tcPr>
            <w:tcW w:type="dxa" w:w="1336"/>
            <w:vAlign w:val="center"/>
          </w:tcPr>
          <w:p>
            <w:pPr>
              <w:spacing w:after="100" w:before="100" w:line="276" w:lineRule="auto"/>
            </w:pPr>
            <w:r>
              <w:rPr>
                <w:b w:val="0"/>
                <w:i w:val="0"/>
                <w:strike w:val="0"/>
              </w:rPr>
              <w:t>Planned</w:t>
            </w:r>
          </w:p>
        </w:tc>
      </w:tr>
      <w:tr>
        <w:trPr>
          <w:cantSplit/>
        </w:trPr>
        <w:tc>
          <w:tcPr>
            <w:tcW w:type="dxa" w:w="4676"/>
            <w:vAlign w:val="center"/>
          </w:tcPr>
          <w:p>
            <w:pPr>
              <w:spacing w:after="100" w:before="100" w:line="276" w:lineRule="auto"/>
            </w:pPr>
            <w:r>
              <w:rPr>
                <w:b w:val="0"/>
                <w:i w:val="0"/>
                <w:strike w:val="0"/>
              </w:rPr>
              <w:t>Archive the completed checks</w:t>
            </w:r>
          </w:p>
        </w:tc>
        <w:tc>
          <w:tcPr>
            <w:tcW w:type="dxa" w:w="3173"/>
            <w:vAlign w:val="center"/>
          </w:tcPr>
          <w:p>
            <w:pPr>
              <w:spacing w:after="100" w:before="100" w:line="276" w:lineRule="auto"/>
            </w:pPr>
            <w:r>
              <w:rPr>
                <w:b w:val="0"/>
                <w:i w:val="0"/>
                <w:strike w:val="0"/>
              </w:rPr>
              <w:t>Example Analyst</w:t>
            </w:r>
          </w:p>
        </w:tc>
        <w:tc>
          <w:tcPr>
            <w:tcW w:type="dxa" w:w="1336"/>
            <w:vAlign w:val="center"/>
          </w:tcPr>
          <w:p>
            <w:pPr>
              <w:spacing w:after="100" w:before="100" w:line="276" w:lineRule="auto"/>
            </w:pPr>
            <w:r>
              <w:rPr>
                <w:b w:val="0"/>
                <w:i w:val="0"/>
                <w:strike w:val="0"/>
              </w:rPr>
              <w:t>Complete</w:t>
            </w:r>
          </w:p>
        </w:tc>
      </w:tr>
    </w:tbl>
    <w:p>
      <w:pPr>
        <w:spacing w:before="160"/>
        <w:ind w:left="283"/>
      </w:pPr>
      <w:r>
        <w:rPr>
          <w:b w:val="0"/>
          <w:i w:val="0"/>
          <w:strike w:val="0"/>
        </w:rPr>
        <w:t>☑ Validate the current sample totals.</w:t>
      </w:r>
    </w:p>
    <w:p>
      <w:pPr>
        <w:ind w:left="283"/>
      </w:pPr>
      <w:r>
        <w:rPr>
          <w:b w:val="0"/>
          <w:i w:val="0"/>
          <w:strike w:val="0"/>
        </w:rPr>
        <w:t>☐ Review the four remaining checks.</w:t>
      </w:r>
    </w:p>
    <w:p>
      <w:pPr>
        <w:ind w:left="283"/>
      </w:pPr>
      <w:r>
        <w:rPr>
          <w:b w:val="0"/>
          <w:i w:val="0"/>
          <w:strike w:val="0"/>
        </w:rPr>
        <w:t xml:space="preserve">☐ Compare the next result with </w:t>
      </w:r>
      <w:r>
        <w:fldChar w:fldCharType="begin"/>
      </w:r>
      <w:r>
        <w:instrText xml:space="preserve"> REF fig_trend \h </w:instrText>
      </w:r>
      <w:r>
        <w:fldChar w:fldCharType="separate"/>
      </w:r>
      <w:r>
        <w:t>Figure 2</w:t>
      </w:r>
      <w:r>
        <w:fldChar w:fldCharType="end"/>
      </w:r>
      <w:r>
        <w:rPr>
          <w:b w:val="0"/>
          <w:i w:val="0"/>
          <w:strike w:val="0"/>
        </w:rPr>
        <w:t>.</w:t>
      </w:r>
    </w:p>
    <w:p>
      <w:pPr>
        <w:pStyle w:val="ListNumber"/>
        <w:ind w:left="283"/>
      </w:pPr>
      <w:r>
        <w:rPr>
          <w:b w:val="0"/>
          <w:i w:val="0"/>
          <w:strike w:val="0"/>
        </w:rPr>
        <w:t>Review the source table before publishing.</w:t>
      </w:r>
    </w:p>
    <w:p>
      <w:pPr>
        <w:pStyle w:val="ListNumber"/>
        <w:ind w:left="283"/>
      </w:pPr>
      <w:r>
        <w:rPr>
          <w:b w:val="0"/>
          <w:i w:val="0"/>
          <w:strike w:val="0"/>
        </w:rPr>
        <w:t>Rebuild the report after changing any data.</w:t>
      </w:r>
    </w:p>
    <w:p>
      <w:r>
        <w:rPr>
          <w:b w:val="0"/>
          <w:i w:val="0"/>
          <w:strike w:val="0"/>
        </w:rPr>
        <w:t xml:space="preserve">See </w:t>
      </w:r>
      <w:r>
        <w:fldChar w:fldCharType="begin"/>
      </w:r>
      <w:r>
        <w:instrText xml:space="preserve"> REF sec_summary \h </w:instrText>
      </w:r>
      <w:r>
        <w:fldChar w:fldCharType="separate"/>
      </w:r>
      <w:r>
        <w:t>1 Summary</w:t>
      </w:r>
      <w:r>
        <w:fldChar w:fldCharType="end"/>
      </w:r>
      <w:r>
        <w:rPr>
          <w:b w:val="0"/>
          <w:i w:val="0"/>
          <w:strike w:val="0"/>
        </w:rPr>
        <w:t xml:space="preserve"> for the decision and </w:t>
      </w:r>
      <w:r>
        <w:fldChar w:fldCharType="begin"/>
      </w:r>
      <w:r>
        <w:instrText xml:space="preserve"> REF tbl_actions_table \h </w:instrText>
      </w:r>
      <w:r>
        <w:fldChar w:fldCharType="separate"/>
      </w:r>
      <w:r>
        <w:t>Table 3</w:t>
      </w:r>
      <w:r>
        <w:fldChar w:fldCharType="end"/>
      </w:r>
      <w:r>
        <w:rPr>
          <w:b w:val="0"/>
          <w:i w:val="0"/>
          <w:strike w:val="0"/>
        </w:rPr>
        <w:t xml:space="preserve"> for ownership.</w:t>
      </w:r>
    </w:p>
    <w:sectPr w:rsidR="00FC693F" w:rsidRPr="0006063C" w:rsidSect="00034616">
      <w:headerReference w:type="default" r:id="rId9"/>
      <w:footerReference w:type="default" r:id="rId10"/>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footnoteRef/>
      </w:r>
      <w:r>
        <w:t xml:space="preserve"> Counts are fictional. A completed check has a recorded result; repeated observations count once.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Example operations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Noto Serif CJK SC"/>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Noto Serif CJK SC"/>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Noto Sans CJK S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Noto Sans CJK SC"/>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Noto Sans CJK SC"/>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Noto Sans CJK SC"/>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Noto Sans CJK SC"/>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Noto Sans CJK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Noto Serif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Noto Serif CJK SC"/>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operations review</dc:title>
  <dc:subject>Capacity results and next cycle actions</dc:subject>
  <dc:creator>Example Analyst</dc:creator>
  <cp:keywords/>
  <dc:description>generated by python-docx</dc:description>
  <cp:lastModifiedBy>md-report-builder</cp:lastModifiedBy>
  <cp:revision>1</cp:revision>
  <dcterms:created xsi:type="dcterms:W3CDTF">2013-12-23T23:15:00Z</dcterms:created>
  <dcterms:modified xsi:type="dcterms:W3CDTF">2013-12-23T23:15:00Z</dcterms:modified>
  <cp:category/>
</cp:coreProperties>
</file>