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4EFCAC89" w:rsidR="00A30983" w:rsidRPr="00C96866" w:rsidRDefault="00C96866" w:rsidP="00862049">
      <w:pPr>
        <w:pStyle w:val="Heading2"/>
        <w:rPr>
          <w:rStyle w:val="BookTitle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C96866">
        <w:rPr>
          <w:rStyle w:val="BookTitle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Atte</w:t>
      </w:r>
      <w:r w:rsidRPr="00C96866">
        <w:rPr>
          <w:rStyle w:val="BookTitle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ntion based on scale-dot product</w:t>
      </w:r>
    </w:p>
    <w:p w14:paraId="45AA8A85" w14:textId="05FB9DFA" w:rsidR="00EC6BF7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In machine learning, “attention” refers to assigning relevance and importance to specific parts of the input data while ignoring the rest to mimic the cognitive attention process. Below is a small dataset that illustrates ow the attention mechanism works. </w:t>
      </w:r>
    </w:p>
    <w:p w14:paraId="20E83EFD" w14:textId="77777777" w:rsidR="00C96866" w:rsidRDefault="00C96866" w:rsidP="00F3255C">
      <w:pPr>
        <w:rPr>
          <w:sz w:val="16"/>
          <w:szCs w:val="16"/>
        </w:rPr>
      </w:pPr>
    </w:p>
    <w:p w14:paraId="072359CD" w14:textId="21F807C5" w:rsidR="00C96866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Assume we have the predictor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>
        <w:rPr>
          <w:sz w:val="16"/>
          <w:szCs w:val="16"/>
        </w:rPr>
        <w:t xml:space="preserve"> to determine the value of the target variable </w:t>
      </w:r>
      <m:oMath>
        <m:r>
          <w:rPr>
            <w:rFonts w:ascii="Cambria Math" w:hAnsi="Cambria Math"/>
            <w:sz w:val="16"/>
            <w:szCs w:val="16"/>
          </w:rPr>
          <m:t>y</m:t>
        </m:r>
      </m:oMath>
      <w:r>
        <w:rPr>
          <w:sz w:val="16"/>
          <w:szCs w:val="16"/>
        </w:rPr>
        <w:t xml:space="preserve">. </w:t>
      </w:r>
      <w:r w:rsidRPr="00C96866">
        <w:rPr>
          <w:sz w:val="16"/>
          <w:szCs w:val="16"/>
        </w:rPr>
        <w:t xml:space="preserve">If you use a least squares linear regression model, you can predict the value of the target variable by using a fixed weight </w:t>
      </w:r>
      <m:oMath>
        <m:r>
          <w:rPr>
            <w:rFonts w:ascii="Cambria Math" w:hAnsi="Cambria Math"/>
            <w:sz w:val="16"/>
            <w:szCs w:val="16"/>
          </w:rPr>
          <m:t>w</m:t>
        </m:r>
      </m:oMath>
      <w:r w:rsidRPr="00C96866">
        <w:rPr>
          <w:sz w:val="16"/>
          <w:szCs w:val="16"/>
        </w:rPr>
        <w:t xml:space="preserve"> regardless of the input values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Pr="00C96866">
        <w:rPr>
          <w:sz w:val="16"/>
          <w:szCs w:val="16"/>
        </w:rPr>
        <w:t xml:space="preserve">. An example expression is given below, with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Pr="00C96866">
        <w:rPr>
          <w:sz w:val="16"/>
          <w:szCs w:val="16"/>
        </w:rPr>
        <w:t xml:space="preserve"> as a constant.</w:t>
      </w:r>
    </w:p>
    <w:p w14:paraId="434EE2C3" w14:textId="3150F3AA" w:rsidR="00C96866" w:rsidRPr="00C96866" w:rsidRDefault="00C96866" w:rsidP="00F3255C">
      <w:pPr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y</m:t>
              </m:r>
              <m:ctrlPr>
                <w:rPr>
                  <w:rFonts w:ascii="Cambria Math" w:hAnsi="Cambria Math" w:hint="eastAsia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predict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 w:hint="eastAsia"/>
              <w:sz w:val="16"/>
              <w:szCs w:val="16"/>
            </w:rPr>
            <m:t>w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test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+b</m:t>
          </m:r>
        </m:oMath>
      </m:oMathPara>
    </w:p>
    <w:p w14:paraId="240D014F" w14:textId="21F58373" w:rsidR="00C96866" w:rsidRDefault="00C96866" w:rsidP="00F3255C">
      <w:pPr>
        <w:rPr>
          <w:sz w:val="16"/>
          <w:szCs w:val="16"/>
        </w:rPr>
      </w:pPr>
      <w:r>
        <w:rPr>
          <w:sz w:val="16"/>
          <w:szCs w:val="16"/>
        </w:rPr>
        <w:t xml:space="preserve">While the attention mechanism </w:t>
      </w:r>
      <w:proofErr w:type="gramStart"/>
      <w:r>
        <w:rPr>
          <w:sz w:val="16"/>
          <w:szCs w:val="16"/>
        </w:rPr>
        <w:t>takes into account</w:t>
      </w:r>
      <w:proofErr w:type="gramEnd"/>
      <w:r>
        <w:rPr>
          <w:sz w:val="16"/>
          <w:szCs w:val="16"/>
        </w:rPr>
        <w:t xml:space="preserve"> the relevance of the input values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="00296183">
        <w:rPr>
          <w:sz w:val="16"/>
          <w:szCs w:val="16"/>
        </w:rPr>
        <w:t xml:space="preserve"> to the predictors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 w:rsidR="00296183">
        <w:rPr>
          <w:sz w:val="16"/>
          <w:szCs w:val="16"/>
        </w:rPr>
        <w:t xml:space="preserve"> in the dataset. </w:t>
      </w:r>
      <w:r w:rsidR="00296183" w:rsidRPr="00296183">
        <w:rPr>
          <w:sz w:val="16"/>
          <w:szCs w:val="16"/>
        </w:rPr>
        <w:t xml:space="preserve">Instead of using a static value </w:t>
      </w:r>
      <m:oMath>
        <m:r>
          <w:rPr>
            <w:rFonts w:ascii="Cambria Math" w:hAnsi="Cambria Math"/>
            <w:sz w:val="16"/>
            <w:szCs w:val="16"/>
          </w:rPr>
          <m:t>w</m:t>
        </m:r>
      </m:oMath>
      <w:r w:rsidR="00296183" w:rsidRPr="00296183">
        <w:rPr>
          <w:sz w:val="16"/>
          <w:szCs w:val="16"/>
        </w:rPr>
        <w:t xml:space="preserve">, the weights are generated according to how similar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  <w:r w:rsidR="00296183" w:rsidRPr="00296183">
        <w:rPr>
          <w:sz w:val="16"/>
          <w:szCs w:val="16"/>
        </w:rPr>
        <w:t xml:space="preserve"> is to a data point in the training instances. The generalized attention model predicts the target </w:t>
      </w:r>
      <m:oMath>
        <m:r>
          <w:rPr>
            <w:rFonts w:ascii="Cambria Math" w:hAnsi="Cambria Math"/>
            <w:sz w:val="16"/>
            <w:szCs w:val="16"/>
          </w:rPr>
          <m:t xml:space="preserve">y </m:t>
        </m:r>
      </m:oMath>
      <w:r w:rsidR="00296183" w:rsidRPr="00296183">
        <w:rPr>
          <w:sz w:val="16"/>
          <w:szCs w:val="16"/>
        </w:rPr>
        <w:t>as:</w:t>
      </w:r>
    </w:p>
    <w:p w14:paraId="62C095FC" w14:textId="3BE7F599" w:rsidR="00296183" w:rsidRPr="00B66C3A" w:rsidRDefault="00296183" w:rsidP="00F3255C">
      <w:pPr>
        <w:rPr>
          <w:rFonts w:ascii="Cambria Math" w:hAnsi="Cambria Math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sz w:val="16"/>
                  <w:szCs w:val="16"/>
                </w:rPr>
                <m:t>predict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16"/>
                  <w:szCs w:val="16"/>
                </w:rPr>
                <m:t> </m:t>
              </m:r>
            </m:e>
          </m:nary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,Q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69B82B4" w14:textId="545CBA40" w:rsidR="00296183" w:rsidRDefault="00296183" w:rsidP="00F3255C">
      <w:pPr>
        <w:rPr>
          <w:sz w:val="16"/>
          <w:szCs w:val="16"/>
        </w:rPr>
      </w:pPr>
      <w:r>
        <w:rPr>
          <w:sz w:val="16"/>
          <w:szCs w:val="16"/>
        </w:rPr>
        <w:t>Where, the main ingredients of this equation are:</w:t>
      </w:r>
    </w:p>
    <w:p w14:paraId="04621A78" w14:textId="42ABFABF" w:rsidR="00296183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Keys K</m:t>
        </m:r>
      </m:oMath>
      <w:r w:rsidR="00B66C3A">
        <w:rPr>
          <w:sz w:val="16"/>
          <w:szCs w:val="16"/>
        </w:rPr>
        <w:t>: Th</w:t>
      </w:r>
      <w:r>
        <w:rPr>
          <w:sz w:val="16"/>
          <w:szCs w:val="16"/>
        </w:rPr>
        <w:t>ese</w:t>
      </w:r>
      <w:r w:rsidR="00B66C3A">
        <w:rPr>
          <w:sz w:val="16"/>
          <w:szCs w:val="16"/>
        </w:rPr>
        <w:t xml:space="preserve"> correspond to the values of the predictors</w:t>
      </w:r>
      <w:r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 w:rsidR="00B66C3A">
        <w:rPr>
          <w:sz w:val="16"/>
          <w:szCs w:val="16"/>
        </w:rPr>
        <w:t xml:space="preserve"> in the training dataset. </w:t>
      </w:r>
    </w:p>
    <w:p w14:paraId="194B0CA0" w14:textId="1A1D5A77" w:rsidR="00C071FA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Values V</m:t>
        </m:r>
      </m:oMath>
      <w:r>
        <w:rPr>
          <w:sz w:val="16"/>
          <w:szCs w:val="16"/>
        </w:rPr>
        <w:t>: These correspond to the values of the target values y in the training dataset</w:t>
      </w:r>
    </w:p>
    <w:p w14:paraId="6AE30D43" w14:textId="5ABF49BA" w:rsidR="00C071FA" w:rsidRDefault="00C071FA" w:rsidP="00F3255C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Query Q</m:t>
        </m:r>
      </m:oMath>
      <w:r>
        <w:rPr>
          <w:sz w:val="16"/>
          <w:szCs w:val="16"/>
        </w:rPr>
        <w:t xml:space="preserve">: This is the value of the test data point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test</m:t>
            </m:r>
          </m:sub>
        </m:sSub>
      </m:oMath>
    </w:p>
    <w:p w14:paraId="3B5279F2" w14:textId="56EAFAD6" w:rsidR="00C071FA" w:rsidRDefault="00C071FA" w:rsidP="00C071FA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Alignment function a</m:t>
        </m:r>
      </m:oMath>
      <w:r w:rsidRPr="00C071FA">
        <w:rPr>
          <w:sz w:val="16"/>
          <w:szCs w:val="16"/>
        </w:rPr>
        <w:t>: This function determines the similarity of keys with the query.</w:t>
      </w:r>
    </w:p>
    <w:p w14:paraId="0FA5BF15" w14:textId="7498ADAC" w:rsidR="00703A7B" w:rsidRPr="00703A7B" w:rsidRDefault="00703A7B" w:rsidP="00703A7B">
      <w:pPr>
        <w:ind w:left="420"/>
        <w:rPr>
          <w:sz w:val="14"/>
          <w:szCs w:val="14"/>
        </w:rPr>
      </w:pPr>
      <w:r w:rsidRPr="00703A7B">
        <w:rPr>
          <w:sz w:val="14"/>
          <w:szCs w:val="14"/>
          <w:highlight w:val="yellow"/>
        </w:rPr>
        <w:t xml:space="preserve">The main idea here is to compute the similarity between the </w:t>
      </w:r>
      <m:oMath>
        <m:r>
          <w:rPr>
            <w:rFonts w:ascii="Cambria Math" w:hAnsi="Cambria Math"/>
            <w:sz w:val="14"/>
            <w:szCs w:val="14"/>
            <w:highlight w:val="yellow"/>
          </w:rPr>
          <m:t>Q</m:t>
        </m:r>
      </m:oMath>
      <w:r w:rsidRPr="00703A7B">
        <w:rPr>
          <w:sz w:val="14"/>
          <w:szCs w:val="14"/>
          <w:highlight w:val="yellow"/>
        </w:rPr>
        <w:t xml:space="preserve"> and </w:t>
      </w:r>
      <m:oMath>
        <m:r>
          <w:rPr>
            <w:rFonts w:ascii="Cambria Math" w:hAnsi="Cambria Math"/>
            <w:sz w:val="14"/>
            <w:szCs w:val="14"/>
            <w:highlight w:val="yellow"/>
          </w:rPr>
          <m:t>K</m:t>
        </m:r>
      </m:oMath>
      <w:r w:rsidRPr="00703A7B">
        <w:rPr>
          <w:sz w:val="14"/>
          <w:szCs w:val="14"/>
          <w:highlight w:val="yellow"/>
        </w:rPr>
        <w:t xml:space="preserve"> and assign a high value if the query is close to the key, and a low value if they are very different. You can choose the function that fit your application.</w:t>
      </w:r>
      <w:r w:rsidRPr="00703A7B">
        <w:rPr>
          <w:sz w:val="14"/>
          <w:szCs w:val="14"/>
        </w:rPr>
        <w:t xml:space="preserve"> </w:t>
      </w:r>
    </w:p>
    <w:p w14:paraId="33972490" w14:textId="204B9B91" w:rsidR="00C071FA" w:rsidRDefault="00C071FA" w:rsidP="00C071FA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Distribution function f</m:t>
        </m:r>
      </m:oMath>
      <w:r w:rsidRPr="00C071FA">
        <w:rPr>
          <w:sz w:val="16"/>
          <w:szCs w:val="16"/>
        </w:rPr>
        <w:t>: This function normalizes the weights.</w:t>
      </w:r>
    </w:p>
    <w:p w14:paraId="0F9BDBBA" w14:textId="47A725F3" w:rsidR="00703A7B" w:rsidRDefault="00703A7B" w:rsidP="00C071FA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03A7B">
        <w:rPr>
          <w:rFonts w:hint="eastAsia"/>
          <w:sz w:val="14"/>
          <w:szCs w:val="14"/>
          <w:highlight w:val="yellow"/>
        </w:rPr>
        <w:t>T</w:t>
      </w:r>
      <w:r w:rsidRPr="00703A7B">
        <w:rPr>
          <w:sz w:val="14"/>
          <w:szCs w:val="14"/>
          <w:highlight w:val="yellow"/>
        </w:rPr>
        <w:t>his function is used to ensure that the attention weights lie between 0 and 1 and normalize to sum to 1.</w:t>
      </w:r>
    </w:p>
    <w:p w14:paraId="3008032C" w14:textId="62414D9C" w:rsidR="00C071FA" w:rsidRDefault="00C071FA" w:rsidP="00703A7B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493A7486" wp14:editId="16313F29">
            <wp:extent cx="5284947" cy="2621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2"/>
                    <a:stretch/>
                  </pic:blipFill>
                  <pic:spPr bwMode="auto">
                    <a:xfrm>
                      <a:off x="0" y="0"/>
                      <a:ext cx="5299026" cy="26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B5693" w14:textId="77777777" w:rsidR="00714DD0" w:rsidRDefault="00714DD0" w:rsidP="00714DD0">
      <w:pPr>
        <w:rPr>
          <w:sz w:val="16"/>
          <w:szCs w:val="16"/>
        </w:rPr>
      </w:pPr>
    </w:p>
    <w:p w14:paraId="2EF0A84B" w14:textId="77777777" w:rsidR="00703A7B" w:rsidRPr="007277DA" w:rsidRDefault="00703A7B" w:rsidP="00C071FA">
      <w:pPr>
        <w:rPr>
          <w:sz w:val="16"/>
          <w:szCs w:val="16"/>
        </w:rPr>
      </w:pPr>
    </w:p>
    <w:sectPr w:rsidR="00703A7B" w:rsidRPr="0072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8C71" w14:textId="77777777" w:rsidR="001D7460" w:rsidRDefault="001D7460" w:rsidP="00F3255C">
      <w:r>
        <w:separator/>
      </w:r>
    </w:p>
  </w:endnote>
  <w:endnote w:type="continuationSeparator" w:id="0">
    <w:p w14:paraId="47D3ED9D" w14:textId="77777777" w:rsidR="001D7460" w:rsidRDefault="001D7460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F807" w14:textId="77777777" w:rsidR="001D7460" w:rsidRDefault="001D7460" w:rsidP="00F3255C">
      <w:r>
        <w:separator/>
      </w:r>
    </w:p>
  </w:footnote>
  <w:footnote w:type="continuationSeparator" w:id="0">
    <w:p w14:paraId="2DA74196" w14:textId="77777777" w:rsidR="001D7460" w:rsidRDefault="001D7460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87E7E"/>
    <w:rsid w:val="000B2CEE"/>
    <w:rsid w:val="000E04B8"/>
    <w:rsid w:val="001173BE"/>
    <w:rsid w:val="00191203"/>
    <w:rsid w:val="001D7460"/>
    <w:rsid w:val="002604FF"/>
    <w:rsid w:val="00296183"/>
    <w:rsid w:val="002A54FA"/>
    <w:rsid w:val="002A7603"/>
    <w:rsid w:val="002E5AF8"/>
    <w:rsid w:val="00305DCB"/>
    <w:rsid w:val="0031005E"/>
    <w:rsid w:val="0032461F"/>
    <w:rsid w:val="00380656"/>
    <w:rsid w:val="00441B87"/>
    <w:rsid w:val="004E234C"/>
    <w:rsid w:val="00550FA4"/>
    <w:rsid w:val="00586BEA"/>
    <w:rsid w:val="00596979"/>
    <w:rsid w:val="005C060F"/>
    <w:rsid w:val="005F63E0"/>
    <w:rsid w:val="006053B3"/>
    <w:rsid w:val="00637B34"/>
    <w:rsid w:val="006924D0"/>
    <w:rsid w:val="006A6F4F"/>
    <w:rsid w:val="007002BB"/>
    <w:rsid w:val="00703A7B"/>
    <w:rsid w:val="00714DD0"/>
    <w:rsid w:val="007277DA"/>
    <w:rsid w:val="0079095A"/>
    <w:rsid w:val="00862049"/>
    <w:rsid w:val="008E4FE0"/>
    <w:rsid w:val="008F4A48"/>
    <w:rsid w:val="009242D5"/>
    <w:rsid w:val="00934B27"/>
    <w:rsid w:val="0094297F"/>
    <w:rsid w:val="00963D87"/>
    <w:rsid w:val="009E37E6"/>
    <w:rsid w:val="00A30983"/>
    <w:rsid w:val="00A60ED1"/>
    <w:rsid w:val="00A62079"/>
    <w:rsid w:val="00A81295"/>
    <w:rsid w:val="00B12A75"/>
    <w:rsid w:val="00B352F2"/>
    <w:rsid w:val="00B578D5"/>
    <w:rsid w:val="00B66C3A"/>
    <w:rsid w:val="00BD3B07"/>
    <w:rsid w:val="00BD6691"/>
    <w:rsid w:val="00C071FA"/>
    <w:rsid w:val="00C749C4"/>
    <w:rsid w:val="00C96866"/>
    <w:rsid w:val="00CB1015"/>
    <w:rsid w:val="00D16078"/>
    <w:rsid w:val="00D71882"/>
    <w:rsid w:val="00DF766D"/>
    <w:rsid w:val="00E020AA"/>
    <w:rsid w:val="00E70830"/>
    <w:rsid w:val="00EA1285"/>
    <w:rsid w:val="00EA235D"/>
    <w:rsid w:val="00EB101C"/>
    <w:rsid w:val="00EC6BF7"/>
    <w:rsid w:val="00EE520F"/>
    <w:rsid w:val="00EF5FD9"/>
    <w:rsid w:val="00F10C78"/>
    <w:rsid w:val="00F20CFA"/>
    <w:rsid w:val="00F3255C"/>
    <w:rsid w:val="00F933F5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0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204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5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55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2</cp:revision>
  <dcterms:created xsi:type="dcterms:W3CDTF">2022-10-25T22:37:00Z</dcterms:created>
  <dcterms:modified xsi:type="dcterms:W3CDTF">2022-10-25T22:37:00Z</dcterms:modified>
</cp:coreProperties>
</file>