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宋体"/>
          <w:b/>
          <w:sz w:val="40"/>
        </w:rPr>
        <w:t>基于 YOLOv11 的钢铁表面缺陷检测智能体平台</w:t>
      </w:r>
    </w:p>
    <w:p>
      <w:pPr>
        <w:jc w:val="center"/>
      </w:pPr>
      <w:r>
        <w:rPr>
          <w:rFonts w:ascii="Times New Roman" w:hAnsi="Times New Roman" w:eastAsia="宋体"/>
          <w:b/>
          <w:sz w:val="36"/>
        </w:rPr>
        <w:t>需求分析与概要设计说明书</w:t>
      </w:r>
    </w:p>
    <w:p/>
    <w:p/>
    <w:p/>
    <w:tbl>
      <w:tblPr>
        <w:tblStyle w:val="TableGrid"/>
        <w:tblW w:type="auto" w:w="0"/>
        <w:jc w:val="center"/>
        <w:tblLayout w:type="fixed"/>
        <w:tblLook w:firstColumn="1" w:firstRow="1" w:lastColumn="0" w:lastRow="0" w:noHBand="0" w:noVBand="1" w:val="04A0"/>
      </w:tblPr>
      <w:tblGrid>
        <w:gridCol w:w="4513"/>
        <w:gridCol w:w="4513"/>
      </w:tblGrid>
      <w:tr>
        <w:tc>
          <w:tcPr>
            <w:tcW w:type="dxa" w:w="2268"/>
            <w:shd w:fill="F2F2F2"/>
            <w:vAlign w:val="center"/>
            <w:tcMar>
              <w:top w:w="80" w:type="dxa"/>
              <w:bottom w:w="80" w:type="dxa"/>
              <w:start w:w="120" w:type="dxa"/>
              <w:end w:w="120" w:type="dxa"/>
            </w:tcMar>
          </w:tcPr>
          <w:p>
            <w:pPr>
              <w:jc w:val="center"/>
            </w:pPr>
            <w:r>
              <w:rPr>
                <w:rFonts w:ascii="Times New Roman" w:hAnsi="Times New Roman" w:eastAsia="宋体"/>
                <w:b/>
                <w:sz w:val="19"/>
              </w:rPr>
              <w:t>项目</w:t>
            </w:r>
          </w:p>
        </w:tc>
        <w:tc>
          <w:tcPr>
            <w:tcW w:type="dxa" w:w="6803"/>
            <w:shd w:fill="F2F2F2"/>
            <w:vAlign w:val="center"/>
            <w:tcMar>
              <w:top w:w="80" w:type="dxa"/>
              <w:bottom w:w="80" w:type="dxa"/>
              <w:start w:w="120" w:type="dxa"/>
              <w:end w:w="120" w:type="dxa"/>
            </w:tcMar>
          </w:tcPr>
          <w:p>
            <w:pPr>
              <w:jc w:val="center"/>
            </w:pPr>
            <w:r>
              <w:rPr>
                <w:rFonts w:ascii="Times New Roman" w:hAnsi="Times New Roman" w:eastAsia="宋体"/>
                <w:b/>
                <w:sz w:val="19"/>
              </w:rPr>
              <w:t>内容</w:t>
            </w:r>
          </w:p>
        </w:tc>
      </w:tr>
      <w:tr>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项目定位</w:t>
            </w:r>
          </w:p>
        </w:tc>
        <w:tc>
          <w:tcPr>
            <w:tcW w:type="dxa" w:w="6803"/>
            <w:vAlign w:val="center"/>
            <w:tcMar>
              <w:top w:w="80" w:type="dxa"/>
              <w:bottom w:w="80" w:type="dxa"/>
              <w:start w:w="120" w:type="dxa"/>
              <w:end w:w="120" w:type="dxa"/>
            </w:tcMar>
          </w:tcPr>
          <w:p>
            <w:pPr>
              <w:spacing w:after="0"/>
            </w:pPr>
            <w:r>
              <w:rPr>
                <w:rFonts w:ascii="Times New Roman" w:hAnsi="Times New Roman" w:eastAsia="宋体"/>
                <w:b w:val="0"/>
                <w:sz w:val="18"/>
              </w:rPr>
              <w:t>工业缺陷检测、Web 平台、多 Agent 智能体、RAG 知识问答的综合实训项目</w:t>
            </w:r>
          </w:p>
        </w:tc>
      </w:tr>
      <w:tr>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检测对象</w:t>
            </w:r>
          </w:p>
        </w:tc>
        <w:tc>
          <w:tcPr>
            <w:tcW w:type="dxa" w:w="6803"/>
            <w:vAlign w:val="center"/>
            <w:tcMar>
              <w:top w:w="80" w:type="dxa"/>
              <w:bottom w:w="80" w:type="dxa"/>
              <w:start w:w="120" w:type="dxa"/>
              <w:end w:w="120" w:type="dxa"/>
            </w:tcMar>
          </w:tcPr>
          <w:p>
            <w:pPr>
              <w:spacing w:after="0"/>
            </w:pPr>
            <w:r>
              <w:rPr>
                <w:rFonts w:ascii="Times New Roman" w:hAnsi="Times New Roman" w:eastAsia="宋体"/>
                <w:b w:val="0"/>
                <w:sz w:val="18"/>
              </w:rPr>
              <w:t>钢板、钢卷、带钢等钢铁材料表面缺陷</w:t>
            </w:r>
          </w:p>
        </w:tc>
      </w:tr>
      <w:tr>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核心技术</w:t>
            </w:r>
          </w:p>
        </w:tc>
        <w:tc>
          <w:tcPr>
            <w:tcW w:type="dxa" w:w="6803"/>
            <w:vAlign w:val="center"/>
            <w:tcMar>
              <w:top w:w="80" w:type="dxa"/>
              <w:bottom w:w="80" w:type="dxa"/>
              <w:start w:w="120" w:type="dxa"/>
              <w:end w:w="120" w:type="dxa"/>
            </w:tcMar>
          </w:tcPr>
          <w:p>
            <w:pPr>
              <w:spacing w:after="0"/>
            </w:pPr>
            <w:r>
              <w:rPr>
                <w:rFonts w:ascii="Times New Roman" w:hAnsi="Times New Roman" w:eastAsia="宋体"/>
                <w:b w:val="0"/>
                <w:sz w:val="18"/>
              </w:rPr>
              <w:t>YOLOv11、FastAPI、Vue 3、LangGraph、PostgreSQL、Redis、MinIO、Pgvector</w:t>
            </w:r>
          </w:p>
        </w:tc>
      </w:tr>
      <w:tr>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文档版本</w:t>
            </w:r>
          </w:p>
        </w:tc>
        <w:tc>
          <w:tcPr>
            <w:tcW w:type="dxa" w:w="6803"/>
            <w:vAlign w:val="center"/>
            <w:tcMar>
              <w:top w:w="80" w:type="dxa"/>
              <w:bottom w:w="80" w:type="dxa"/>
              <w:start w:w="120" w:type="dxa"/>
              <w:end w:w="120" w:type="dxa"/>
            </w:tcMar>
          </w:tcPr>
          <w:p>
            <w:pPr>
              <w:spacing w:after="0"/>
            </w:pPr>
            <w:r>
              <w:rPr>
                <w:rFonts w:ascii="Times New Roman" w:hAnsi="Times New Roman" w:eastAsia="宋体"/>
                <w:b w:val="0"/>
                <w:sz w:val="18"/>
              </w:rPr>
              <w:t>V2.0</w:t>
            </w:r>
          </w:p>
        </w:tc>
      </w:tr>
    </w:tbl>
    <w:p/>
    <w:p>
      <w:r>
        <w:br w:type="page"/>
      </w:r>
    </w:p>
    <w:p>
      <w:pPr>
        <w:pStyle w:val="Heading1"/>
        <w:spacing w:before="200" w:after="100"/>
      </w:pPr>
      <w:r>
        <w:rPr>
          <w:rFonts w:ascii="Times New Roman" w:hAnsi="Times New Roman" w:eastAsia="宋体"/>
          <w:b/>
          <w:color w:val="000000"/>
          <w:sz w:val="32"/>
        </w:rPr>
        <w:t>目录</w:t>
      </w:r>
    </w:p>
    <w:p>
      <w:pPr>
        <w:spacing w:line="283" w:lineRule="auto" w:after="100"/>
      </w:pPr>
      <w:r>
        <w:rPr>
          <w:rFonts w:ascii="Times New Roman" w:hAnsi="Times New Roman" w:eastAsia="宋体"/>
          <w:b w:val="0"/>
          <w:sz w:val="21"/>
        </w:rPr>
        <w:t>1. 引言</w:t>
      </w:r>
    </w:p>
    <w:p>
      <w:pPr>
        <w:spacing w:line="283" w:lineRule="auto" w:after="100"/>
      </w:pPr>
      <w:r>
        <w:rPr>
          <w:rFonts w:ascii="Times New Roman" w:hAnsi="Times New Roman" w:eastAsia="宋体"/>
          <w:b w:val="0"/>
          <w:sz w:val="21"/>
        </w:rPr>
        <w:t>2. 项目背景与建设目标</w:t>
      </w:r>
    </w:p>
    <w:p>
      <w:pPr>
        <w:spacing w:line="283" w:lineRule="auto" w:after="100"/>
      </w:pPr>
      <w:r>
        <w:rPr>
          <w:rFonts w:ascii="Times New Roman" w:hAnsi="Times New Roman" w:eastAsia="宋体"/>
          <w:b w:val="0"/>
          <w:sz w:val="21"/>
        </w:rPr>
        <w:t>3. 用户与业务场景分析</w:t>
      </w:r>
    </w:p>
    <w:p>
      <w:pPr>
        <w:spacing w:line="283" w:lineRule="auto" w:after="100"/>
      </w:pPr>
      <w:r>
        <w:rPr>
          <w:rFonts w:ascii="Times New Roman" w:hAnsi="Times New Roman" w:eastAsia="宋体"/>
          <w:b w:val="0"/>
          <w:sz w:val="21"/>
        </w:rPr>
        <w:t>4. 需求分析</w:t>
      </w:r>
    </w:p>
    <w:p>
      <w:pPr>
        <w:spacing w:line="283" w:lineRule="auto" w:after="100"/>
      </w:pPr>
      <w:r>
        <w:rPr>
          <w:rFonts w:ascii="Times New Roman" w:hAnsi="Times New Roman" w:eastAsia="宋体"/>
          <w:b w:val="0"/>
          <w:sz w:val="21"/>
        </w:rPr>
        <w:t>5. 概要设计</w:t>
      </w:r>
    </w:p>
    <w:p>
      <w:pPr>
        <w:spacing w:line="283" w:lineRule="auto" w:after="100"/>
      </w:pPr>
      <w:r>
        <w:rPr>
          <w:rFonts w:ascii="Times New Roman" w:hAnsi="Times New Roman" w:eastAsia="宋体"/>
          <w:b w:val="0"/>
          <w:sz w:val="21"/>
        </w:rPr>
        <w:t>6. 项目计划与人员分工</w:t>
      </w:r>
    </w:p>
    <w:p>
      <w:pPr>
        <w:spacing w:line="283" w:lineRule="auto" w:after="100"/>
      </w:pPr>
      <w:r>
        <w:rPr>
          <w:rFonts w:ascii="Times New Roman" w:hAnsi="Times New Roman" w:eastAsia="宋体"/>
          <w:b w:val="0"/>
          <w:sz w:val="21"/>
        </w:rPr>
        <w:t>7. 风险分析与应对措施</w:t>
      </w:r>
    </w:p>
    <w:p>
      <w:pPr>
        <w:spacing w:line="283" w:lineRule="auto" w:after="100"/>
      </w:pPr>
      <w:r>
        <w:rPr>
          <w:rFonts w:ascii="Times New Roman" w:hAnsi="Times New Roman" w:eastAsia="宋体"/>
          <w:b w:val="0"/>
          <w:sz w:val="21"/>
        </w:rPr>
        <w:t>8. 需求-设计-测试追踪矩阵</w:t>
      </w:r>
    </w:p>
    <w:p>
      <w:pPr>
        <w:spacing w:line="283" w:lineRule="auto" w:after="100"/>
      </w:pPr>
      <w:r>
        <w:rPr>
          <w:rFonts w:ascii="Times New Roman" w:hAnsi="Times New Roman" w:eastAsia="宋体"/>
          <w:b w:val="0"/>
          <w:sz w:val="21"/>
        </w:rPr>
        <w:t>9. 附录</w:t>
      </w:r>
    </w:p>
    <w:p>
      <w:r>
        <w:br w:type="page"/>
      </w:r>
    </w:p>
    <w:p>
      <w:pPr>
        <w:pStyle w:val="Heading1"/>
        <w:spacing w:before="200" w:after="100"/>
      </w:pPr>
      <w:r>
        <w:rPr>
          <w:rFonts w:ascii="Times New Roman" w:hAnsi="Times New Roman" w:eastAsia="宋体"/>
          <w:b/>
          <w:color w:val="000000"/>
          <w:sz w:val="32"/>
        </w:rPr>
        <w:t>1. 引言</w:t>
      </w:r>
    </w:p>
    <w:p>
      <w:pPr>
        <w:pStyle w:val="Heading2"/>
        <w:spacing w:before="120" w:after="100"/>
      </w:pPr>
      <w:r>
        <w:rPr>
          <w:rFonts w:ascii="Times New Roman" w:hAnsi="Times New Roman" w:eastAsia="宋体"/>
          <w:b/>
          <w:color w:val="000000"/>
          <w:sz w:val="26"/>
        </w:rPr>
        <w:t>1.1 文档目的</w:t>
      </w:r>
    </w:p>
    <w:p>
      <w:pPr>
        <w:spacing w:line="283" w:lineRule="auto" w:after="100"/>
      </w:pPr>
      <w:r>
        <w:rPr>
          <w:rFonts w:ascii="Times New Roman" w:hAnsi="Times New Roman" w:eastAsia="宋体"/>
          <w:b w:val="0"/>
          <w:sz w:val="21"/>
        </w:rPr>
        <w:t>本文档用于说明“基于 YOLOv11 的钢铁表面缺陷检测智能体平台”的需求边界、功能目标、非功能要求、概要设计、接口边界、数据流向、测试验收口径和团队分工。文档不是单纯的项目介绍，而是面向开发、测试、部署和答辩交付的工程说明书。</w:t>
      </w:r>
    </w:p>
    <w:p>
      <w:pPr>
        <w:spacing w:line="283" w:lineRule="auto" w:after="100"/>
      </w:pPr>
      <w:r>
        <w:rPr>
          <w:rFonts w:ascii="Times New Roman" w:hAnsi="Times New Roman" w:eastAsia="宋体"/>
          <w:b w:val="0"/>
          <w:sz w:val="21"/>
        </w:rPr>
        <w:t>参考资料中的技术方案给出了目标检测智能体平台的基础能力，包括自然语言交互、智能意图识别、多 Agent 协作、YOLOv11 检测、SSE 流式响应和 RAG 知识问答；实训计划给出了 15 个工作日、6-7 人一组、源码/录屏/文档/PPT 交付的组织约束。本文档在这些基础上，将原遥感目标检测方向调整为钢铁表面缺陷检测方向，并结合 7 人分工建议细化为可开发、可测试、可验收的方案。</w:t>
      </w:r>
    </w:p>
    <w:p>
      <w:pPr>
        <w:pStyle w:val="Heading2"/>
        <w:spacing w:before="120" w:after="100"/>
      </w:pPr>
      <w:r>
        <w:rPr>
          <w:rFonts w:ascii="Times New Roman" w:hAnsi="Times New Roman" w:eastAsia="宋体"/>
          <w:b/>
          <w:color w:val="000000"/>
          <w:sz w:val="26"/>
        </w:rPr>
        <w:t>1.2 项目范围</w:t>
      </w:r>
    </w:p>
    <w:p>
      <w:pPr>
        <w:spacing w:line="283" w:lineRule="auto" w:after="100"/>
      </w:pPr>
      <w:r>
        <w:rPr>
          <w:rFonts w:ascii="Times New Roman" w:hAnsi="Times New Roman" w:eastAsia="宋体"/>
          <w:b w:val="0"/>
          <w:sz w:val="21"/>
        </w:rPr>
        <w:t>本项目的核心范围是构建一个可以完整演示的钢铁表面缺陷检测平台。用户能够上传钢铁表面图片，系统调用 YOLOv11 模型检测缺陷，返回缺陷类别、置信度、位置框和标注图，并保存检测历史。平台还需要提供数据看板、模型训练与评估、智能体对话和缺陷知识问答，使项目从“模型 demo”升级为“可解释、可追踪、可答辩”的综合系统。</w:t>
      </w:r>
    </w:p>
    <w:p>
      <w:pPr>
        <w:spacing w:line="283" w:lineRule="auto" w:after="100"/>
      </w:pPr>
      <w:r>
        <w:rPr>
          <w:rFonts w:ascii="Times New Roman" w:hAnsi="Times New Roman" w:eastAsia="宋体"/>
          <w:b w:val="0"/>
          <w:sz w:val="21"/>
        </w:rPr>
        <w:t>项目范围中特别需要纳入视频检测、摄像头实时检测、RAG 缺陷知识库、多模型切换四项能力。它们不应只写成可选口号，而要在需求和设计中给出实现边界：视频检测以短视频上传、抽帧检测、关键帧汇总为主；摄像头实时检测以前端采集帧并通过 WebSocket 或周期性请求发送后端为主；RAG 知识库以钢铁缺陷说明、数据集说明、训练报告和项目文档作为知识源；多模型切换以“内置模型、训练模型、上传模型”的版本选择为主。</w:t>
      </w:r>
    </w:p>
    <w:p>
      <w:pPr>
        <w:spacing w:line="283" w:lineRule="auto" w:after="100"/>
      </w:pPr>
      <w:r>
        <w:rPr>
          <w:rFonts w:ascii="Times New Roman" w:hAnsi="Times New Roman" w:eastAsia="宋体"/>
          <w:b w:val="0"/>
          <w:sz w:val="21"/>
        </w:rPr>
        <w:t>同时，项目不包含真实产线 PLC 接入、工业相机硬件控制、企业级复杂权限体系、缺陷自动维修决策和超大规模分布式训练。这样划定边界的原因是实训周期短、学生工程经验有限，系统应优先保证主链路稳定可演示，再逐步补足增强能力。</w:t>
      </w:r>
    </w:p>
    <w:p>
      <w:pPr>
        <w:pStyle w:val="Heading1"/>
        <w:spacing w:before="200" w:after="100"/>
      </w:pPr>
      <w:r>
        <w:rPr>
          <w:rFonts w:ascii="Times New Roman" w:hAnsi="Times New Roman" w:eastAsia="宋体"/>
          <w:b/>
          <w:color w:val="000000"/>
          <w:sz w:val="32"/>
        </w:rPr>
        <w:t>2. 项目背景与建设目标</w:t>
      </w:r>
    </w:p>
    <w:p>
      <w:pPr>
        <w:pStyle w:val="Heading2"/>
        <w:spacing w:before="120" w:after="100"/>
      </w:pPr>
      <w:r>
        <w:rPr>
          <w:rFonts w:ascii="Times New Roman" w:hAnsi="Times New Roman" w:eastAsia="宋体"/>
          <w:b/>
          <w:color w:val="000000"/>
          <w:sz w:val="26"/>
        </w:rPr>
        <w:t>2.1 项目背景</w:t>
      </w:r>
    </w:p>
    <w:p>
      <w:pPr>
        <w:spacing w:line="283" w:lineRule="auto" w:after="100"/>
      </w:pPr>
      <w:r>
        <w:rPr>
          <w:rFonts w:ascii="Times New Roman" w:hAnsi="Times New Roman" w:eastAsia="宋体"/>
          <w:b w:val="0"/>
          <w:sz w:val="21"/>
        </w:rPr>
        <w:t>在钢铁生产和加工场景中，钢板、钢卷、带钢等材料表面可能出现划痕、裂纹、夹杂、麻点、斑块、氧化皮压入等缺陷。这些缺陷会影响材料外观、后续加工质量和结构可靠性。传统人工质检依赖经验，存在效率低、主观性强、检测记录不完整、难以长期统计分析等问题。</w:t>
      </w:r>
    </w:p>
    <w:p>
      <w:pPr>
        <w:spacing w:line="283" w:lineRule="auto" w:after="100"/>
      </w:pPr>
      <w:r>
        <w:rPr>
          <w:rFonts w:ascii="Times New Roman" w:hAnsi="Times New Roman" w:eastAsia="宋体"/>
          <w:b w:val="0"/>
          <w:sz w:val="21"/>
        </w:rPr>
        <w:t>YOLO 系列模型适合用于表面缺陷检测。它能够在一次前向推理中输出缺陷类别、位置框和置信度，推理速度较快，结果也便于在 Web 页面上可视化展示。参考技术方案中的 YOLOv11 检测能力原本面向遥感目标，本项目将其迁移到工业检测方向，检测目标由飞机、油罐、操场等遥感对象替换为钢铁表面缺陷。</w:t>
      </w:r>
    </w:p>
    <w:p>
      <w:pPr>
        <w:spacing w:line="283" w:lineRule="auto" w:after="100"/>
      </w:pPr>
      <w:r>
        <w:rPr>
          <w:rFonts w:ascii="Times New Roman" w:hAnsi="Times New Roman" w:eastAsia="宋体"/>
          <w:b w:val="0"/>
          <w:sz w:val="21"/>
        </w:rPr>
        <w:t>本项目的价值不只在于训练一个模型，而在于打通“数据集整理—模型训练—模型评估—推理服务—结果保存—统计分析—智能体解释”的完整链路。通过多 Agent 设计，用户可以用自然语言触发检测、查询历史统计、询问缺陷知识；通过 RAG 知识库，系统可以基于项目文档和缺陷资料给出更稳定的解释。</w:t>
      </w:r>
    </w:p>
    <w:p>
      <w:pPr>
        <w:pStyle w:val="Heading2"/>
        <w:spacing w:before="120" w:after="100"/>
      </w:pPr>
      <w:r>
        <w:rPr>
          <w:rFonts w:ascii="Times New Roman" w:hAnsi="Times New Roman" w:eastAsia="宋体"/>
          <w:b/>
          <w:color w:val="000000"/>
          <w:sz w:val="26"/>
        </w:rPr>
        <w:t>2.2 建设目标</w:t>
      </w:r>
    </w:p>
    <w:p>
      <w:pPr>
        <w:pStyle w:val="ListBullet"/>
        <w:spacing w:after="60"/>
      </w:pPr>
      <w:r>
        <w:rPr>
          <w:rFonts w:ascii="Times New Roman" w:hAnsi="Times New Roman" w:eastAsia="宋体"/>
          <w:b w:val="0"/>
          <w:sz w:val="21"/>
        </w:rPr>
        <w:t>检测目标：至少支持 4 类钢铁表面缺陷，建议从划痕、裂纹/龟裂、夹杂、麻点/凹坑开始，若数据和时间允许再扩展到斑块、氧化皮压入。</w:t>
      </w:r>
    </w:p>
    <w:p>
      <w:pPr>
        <w:pStyle w:val="ListBullet"/>
        <w:spacing w:after="60"/>
      </w:pPr>
      <w:r>
        <w:rPr>
          <w:rFonts w:ascii="Times New Roman" w:hAnsi="Times New Roman" w:eastAsia="宋体"/>
          <w:b w:val="0"/>
          <w:sz w:val="21"/>
        </w:rPr>
        <w:t>平台目标：支持单图检测、批量检测、视频检测、摄像头实时检测、历史记录、缺陷统计、训练监控和多模型切换。</w:t>
      </w:r>
    </w:p>
    <w:p>
      <w:pPr>
        <w:pStyle w:val="ListBullet"/>
        <w:spacing w:after="60"/>
      </w:pPr>
      <w:r>
        <w:rPr>
          <w:rFonts w:ascii="Times New Roman" w:hAnsi="Times New Roman" w:eastAsia="宋体"/>
          <w:b w:val="0"/>
          <w:sz w:val="21"/>
        </w:rPr>
        <w:t>智能体目标：支持用户通过自然语言发起检测、追问检测结果、查询历史趋势、咨询缺陷知识，并通过 SSE 流式展示回答。</w:t>
      </w:r>
    </w:p>
    <w:p>
      <w:pPr>
        <w:pStyle w:val="ListBullet"/>
        <w:spacing w:after="60"/>
      </w:pPr>
      <w:r>
        <w:rPr>
          <w:rFonts w:ascii="Times New Roman" w:hAnsi="Times New Roman" w:eastAsia="宋体"/>
          <w:b w:val="0"/>
          <w:sz w:val="21"/>
        </w:rPr>
        <w:t>工程目标：完成前后端分离、数据库持久化、对象存储、统一 API、日志、异常处理、测试用例、Docker Compose 部署和答辩材料。</w:t>
      </w:r>
    </w:p>
    <w:p>
      <w:pPr>
        <w:pStyle w:val="Heading1"/>
        <w:spacing w:before="200" w:after="100"/>
      </w:pPr>
      <w:r>
        <w:rPr>
          <w:rFonts w:ascii="Times New Roman" w:hAnsi="Times New Roman" w:eastAsia="宋体"/>
          <w:b/>
          <w:color w:val="000000"/>
          <w:sz w:val="32"/>
        </w:rPr>
        <w:t>3. 用户与业务场景分析</w:t>
      </w:r>
    </w:p>
    <w:p>
      <w:pPr>
        <w:pStyle w:val="Heading2"/>
        <w:spacing w:before="120" w:after="100"/>
      </w:pPr>
      <w:r>
        <w:rPr>
          <w:rFonts w:ascii="Times New Roman" w:hAnsi="Times New Roman" w:eastAsia="宋体"/>
          <w:b/>
          <w:color w:val="000000"/>
          <w:sz w:val="26"/>
        </w:rPr>
        <w:t>3.1 用户角色</w:t>
      </w:r>
    </w:p>
    <w:p>
      <w:pPr>
        <w:spacing w:line="283" w:lineRule="auto" w:after="100"/>
      </w:pPr>
      <w:r>
        <w:rPr>
          <w:rFonts w:ascii="Times New Roman" w:hAnsi="Times New Roman" w:eastAsia="宋体"/>
          <w:b w:val="0"/>
          <w:sz w:val="21"/>
        </w:rPr>
        <w:t>本系统面向的主要用户可以分为五类。质检员关注检测操作是否简单、结果是否直观；质检主管关注历史记录、缺陷趋势和统计看板；模型维护人员关注数据集、训练过程、评估指标和模型版本；系统管理员关注用户、服务状态和文件存储；实训评委关注系统演示是否完整、架构是否合理、分工是否清楚、测试是否可信。</w:t>
      </w:r>
    </w:p>
    <w:p>
      <w:pPr>
        <w:spacing w:line="283" w:lineRule="auto" w:after="100"/>
      </w:pPr>
      <w:r>
        <w:rPr>
          <w:rFonts w:ascii="Times New Roman" w:hAnsi="Times New Roman" w:eastAsia="宋体"/>
          <w:b w:val="0"/>
          <w:sz w:val="21"/>
        </w:rPr>
        <w:t>从实训角度看，用户角色不需要设计成复杂的企业级权限体系。系统可以采用普通用户和管理员两个角色：普通用户完成检测、历史、对话和训练查看；管理员可管理模型、知识文档和用户状态。</w:t>
      </w:r>
    </w:p>
    <w:p>
      <w:pPr>
        <w:pStyle w:val="Heading2"/>
        <w:spacing w:before="120" w:after="100"/>
      </w:pPr>
      <w:r>
        <w:rPr>
          <w:rFonts w:ascii="Times New Roman" w:hAnsi="Times New Roman" w:eastAsia="宋体"/>
          <w:b/>
          <w:color w:val="000000"/>
          <w:sz w:val="26"/>
        </w:rPr>
        <w:t>3.2 业务流程</w:t>
      </w:r>
    </w:p>
    <w:p>
      <w:pPr>
        <w:spacing w:line="283" w:lineRule="auto" w:after="100"/>
      </w:pPr>
      <w:r>
        <w:rPr>
          <w:rFonts w:ascii="Times New Roman" w:hAnsi="Times New Roman" w:eastAsia="宋体"/>
          <w:b w:val="0"/>
          <w:sz w:val="21"/>
        </w:rPr>
        <w:t>主流程从用户登录开始。用户进入检测工作台后上传钢铁表面图片，选择模型版本和置信度阈值，点击检测。后端接收文件后保存原图，调用 YOLOv11 模型推理，绘制标注图并写入检测记录。前端展示原图、标注图、缺陷列表、置信度和缺陷数量。用户随后可以进入历史记录页查看检测详情，也可以进入数据看板查看缺陷类别分布、每日检测趋势、平均置信度和模型指标。</w:t>
      </w:r>
    </w:p>
    <w:p>
      <w:pPr>
        <w:spacing w:line="283" w:lineRule="auto" w:after="100"/>
      </w:pPr>
      <w:r>
        <w:rPr>
          <w:rFonts w:ascii="Times New Roman" w:hAnsi="Times New Roman" w:eastAsia="宋体"/>
          <w:b w:val="0"/>
          <w:sz w:val="21"/>
        </w:rPr>
        <w:t>智能体流程与检测流程并行存在。用户在对话页输入“帮我检测这张钢板有没有划痕，并解释结果”，Supervisor 先判断这是检测意图，如果存在关联图片，则路由到 DetectionAgent；DetectionAgent 调用检测工具得到结构化结果；Supervisor 再把缺陷类别、置信度、位置和建议汇总为中文回答。若用户继续询问“这种缺陷通常由什么造成”，系统再路由到 QAAgent，通过 RAG 知识库检索缺陷说明。</w:t>
      </w:r>
    </w:p>
    <w:p>
      <w:pPr>
        <w:spacing w:line="283" w:lineRule="auto" w:after="100"/>
      </w:pPr>
      <w:r>
        <w:rPr>
          <w:rFonts w:ascii="Times New Roman" w:hAnsi="Times New Roman" w:eastAsia="宋体"/>
          <w:b w:val="0"/>
          <w:sz w:val="21"/>
        </w:rPr>
        <w:t>视频和摄像头流程属于增强检测场景。视频检测以任务形式运行：用户上传视频后，系统创建检测任务，按固定帧间隔抽帧检测，保存关键帧和统计结果，并在前端展示任务进度。摄像头检测以实时体验为主：前端采集摄像头帧，后端调用轻量模型或缓存模型进行推理，返回检测框，前端叠加在画面上。</w:t>
      </w:r>
    </w:p>
    <w:p>
      <w:pPr>
        <w:pStyle w:val="Heading1"/>
        <w:spacing w:before="200" w:after="100"/>
      </w:pPr>
      <w:r>
        <w:rPr>
          <w:rFonts w:ascii="Times New Roman" w:hAnsi="Times New Roman" w:eastAsia="宋体"/>
          <w:b/>
          <w:color w:val="000000"/>
          <w:sz w:val="32"/>
        </w:rPr>
        <w:t>4. 需求分析</w:t>
      </w:r>
    </w:p>
    <w:p>
      <w:pPr>
        <w:spacing w:line="283" w:lineRule="auto" w:after="100"/>
      </w:pPr>
      <w:r>
        <w:rPr>
          <w:rFonts w:ascii="Times New Roman" w:hAnsi="Times New Roman" w:eastAsia="宋体"/>
          <w:b w:val="0"/>
          <w:sz w:val="21"/>
        </w:rPr>
        <w:t>需求优先级采用 P0/P1/P2。P0 是项目成立所必须完成的能力，P1 是显著提升完整度的能力，P2 是纳入范围但实现深度可根据进度调整的能力。和上一版相比，本章减少表格堆叠，改用条目说明业务规则、输入输出和验收口径。</w:t>
      </w:r>
    </w:p>
    <w:p>
      <w:pPr>
        <w:pStyle w:val="Heading2"/>
        <w:spacing w:before="120" w:after="100"/>
      </w:pPr>
      <w:r>
        <w:rPr>
          <w:rFonts w:ascii="Times New Roman" w:hAnsi="Times New Roman" w:eastAsia="宋体"/>
          <w:b/>
          <w:color w:val="000000"/>
          <w:sz w:val="26"/>
        </w:rPr>
        <w:t>4.1 用户认证与基础管理需求</w:t>
      </w:r>
    </w:p>
    <w:p>
      <w:pPr>
        <w:spacing w:line="283" w:lineRule="auto" w:after="100"/>
      </w:pPr>
      <w:r>
        <w:rPr>
          <w:rFonts w:ascii="Times New Roman" w:hAnsi="Times New Roman" w:eastAsia="宋体"/>
          <w:b w:val="0"/>
          <w:sz w:val="21"/>
        </w:rPr>
        <w:t>FR-001 用户注册与登录（P1）。系统应支持用户名和密码注册，密码必须以哈希形式保存。登录成功后返回 JWT Token，前端保存 Token 并在后续请求中自动携带。未登录用户访问检测、历史、训练、模型管理等受保护接口时应返回 401。验收时需要检查 users 表记录、密码字段、登录返回值和前端路由守卫。</w:t>
      </w:r>
    </w:p>
    <w:p>
      <w:pPr>
        <w:spacing w:line="283" w:lineRule="auto" w:after="100"/>
      </w:pPr>
      <w:r>
        <w:rPr>
          <w:rFonts w:ascii="Times New Roman" w:hAnsi="Times New Roman" w:eastAsia="宋体"/>
          <w:b w:val="0"/>
          <w:sz w:val="21"/>
        </w:rPr>
        <w:t>FR-002 用户角色与基础权限（P2）。系统至少区分普通用户和管理员。普通用户可以发起检测、查看自己的历史记录、使用智能体和查看训练结果；管理员可以维护模型版本、知识库文档和用户状态。由于本项目不追求企业级权限系统，因此不设计复杂角色树、部门组织和细粒度菜单权限。</w:t>
      </w:r>
    </w:p>
    <w:p>
      <w:pPr>
        <w:spacing w:line="283" w:lineRule="auto" w:after="100"/>
      </w:pPr>
      <w:r>
        <w:rPr>
          <w:rFonts w:ascii="Times New Roman" w:hAnsi="Times New Roman" w:eastAsia="宋体"/>
          <w:b w:val="0"/>
          <w:sz w:val="21"/>
        </w:rPr>
        <w:t>FR-003 个人信息与使用统计（P2）。用户可在个人中心查看用户名、创建时间、检测次数、最近一次检测时间和常见缺陷类型。该功能可服务于答辩展示，但不应影响检测主链路开发。</w:t>
      </w:r>
    </w:p>
    <w:p>
      <w:pPr>
        <w:pStyle w:val="Heading2"/>
        <w:spacing w:before="120" w:after="100"/>
      </w:pPr>
      <w:r>
        <w:rPr>
          <w:rFonts w:ascii="Times New Roman" w:hAnsi="Times New Roman" w:eastAsia="宋体"/>
          <w:b/>
          <w:color w:val="000000"/>
          <w:sz w:val="26"/>
        </w:rPr>
        <w:t>4.2 图像、视频与摄像头检测需求</w:t>
      </w:r>
    </w:p>
    <w:p>
      <w:pPr>
        <w:spacing w:line="283" w:lineRule="auto" w:after="100"/>
      </w:pPr>
      <w:r>
        <w:rPr>
          <w:rFonts w:ascii="Times New Roman" w:hAnsi="Times New Roman" w:eastAsia="宋体"/>
          <w:b w:val="0"/>
          <w:sz w:val="21"/>
        </w:rPr>
        <w:t>FR-101 单图检测（P0）。用户上传一张钢铁表面图片后，系统应完成格式校验、原图保存、模型推理、结果后处理、标注图保存和数据库记录。输入包括图片文件、模型版本、置信度阈值和 IoU 阈值；输出包括 record_id、原图地址、标注图地址、缺陷列表、缺陷总数、类别统计和检测耗时。验收时至少准备 20 张测试图片，检查页面是否能显示检测框、类别、置信度和检测摘要。</w:t>
      </w:r>
    </w:p>
    <w:p>
      <w:pPr>
        <w:spacing w:line="283" w:lineRule="auto" w:after="100"/>
      </w:pPr>
      <w:r>
        <w:rPr>
          <w:rFonts w:ascii="Times New Roman" w:hAnsi="Times New Roman" w:eastAsia="宋体"/>
          <w:b w:val="0"/>
          <w:sz w:val="21"/>
        </w:rPr>
        <w:t>FR-102 批量检测（P0/P1）。用户一次上传多张图片，系统应逐张检测并分别保存记录。批量检测需要处理部分失败场景：如果某张图片格式错误或检测失败，不应导致整个批次失败，而应在结果列表中标记失败原因。建议限制单批次数量，例如最多 20 张，以避免实训环境中内存和耗时不可控。</w:t>
      </w:r>
    </w:p>
    <w:p>
      <w:pPr>
        <w:spacing w:line="283" w:lineRule="auto" w:after="100"/>
      </w:pPr>
      <w:r>
        <w:rPr>
          <w:rFonts w:ascii="Times New Roman" w:hAnsi="Times New Roman" w:eastAsia="宋体"/>
          <w:b w:val="0"/>
          <w:sz w:val="21"/>
        </w:rPr>
        <w:t>FR-103 检测结果可视化（P0）。前端应展示原图、标注图和结构化缺陷列表。每个缺陷至少显示中文类别、英文类别、置信度、bbox 坐标和面积占比。若模型没有检测到缺陷，系统应返回空数组并提示“未检测到明显缺陷”，而不是报错。</w:t>
      </w:r>
    </w:p>
    <w:p>
      <w:pPr>
        <w:spacing w:line="283" w:lineRule="auto" w:after="100"/>
      </w:pPr>
      <w:r>
        <w:rPr>
          <w:rFonts w:ascii="Times New Roman" w:hAnsi="Times New Roman" w:eastAsia="宋体"/>
          <w:b w:val="0"/>
          <w:sz w:val="21"/>
        </w:rPr>
        <w:t>FR-104 视频检测（P2，但必须纳入设计）。系统支持上传短视频文件，后端按固定帧间隔抽帧，例如每 5 帧或每 10 帧检测一次。系统不要求在实训周期内完成高性能视频编码优化，但应能输出关键帧检测结果、缺陷统计和处理进度。验收口径可以设为：上传一个短 mp4，系统生成任务 ID，前端能查看进度，并展示至少若干关键帧检测结果。</w:t>
      </w:r>
    </w:p>
    <w:p>
      <w:pPr>
        <w:spacing w:line="283" w:lineRule="auto" w:after="100"/>
      </w:pPr>
      <w:r>
        <w:rPr>
          <w:rFonts w:ascii="Times New Roman" w:hAnsi="Times New Roman" w:eastAsia="宋体"/>
          <w:b w:val="0"/>
          <w:sz w:val="21"/>
        </w:rPr>
        <w:t>FR-105 摄像头实时检测（P2，但必须纳入设计）。前端通过浏览器摄像头获取画面，按一定频率截取帧发送到后端；后端使用 DetectionService.detect_frame() 完成推理并返回框坐标。为了控制难度，实时检测可以以低帧率方式实现，例如每秒 1-5 帧，不强求工业实时性。验收时只需证明摄像头画面可打开、后端可返回检测框、前端可叠加展示。</w:t>
      </w:r>
    </w:p>
    <w:p>
      <w:pPr>
        <w:spacing w:line="283" w:lineRule="auto" w:after="100"/>
      </w:pPr>
      <w:r>
        <w:rPr>
          <w:rFonts w:ascii="Times New Roman" w:hAnsi="Times New Roman" w:eastAsia="宋体"/>
          <w:b w:val="0"/>
          <w:sz w:val="21"/>
        </w:rPr>
        <w:t>FR-106 多模型切换（P2，但必须纳入设计）。系统应支持至少三类模型来源：默认 YOLOv11n 示例模型、训练完成后的 steel_defect_best.pt、用户上传的 .pt 模型。每次检测记录必须保存使用的 model_version，便于后续比较不同模型效果。若时间不足，前端可先提供模型下拉框，后端按模型路径加载对应权重。</w:t>
      </w:r>
    </w:p>
    <w:p>
      <w:pPr>
        <w:pStyle w:val="Heading2"/>
        <w:spacing w:before="120" w:after="100"/>
      </w:pPr>
      <w:r>
        <w:rPr>
          <w:rFonts w:ascii="Times New Roman" w:hAnsi="Times New Roman" w:eastAsia="宋体"/>
          <w:b/>
          <w:color w:val="000000"/>
          <w:sz w:val="26"/>
        </w:rPr>
        <w:t>4.3 模型训练与评估需求</w:t>
      </w:r>
    </w:p>
    <w:p>
      <w:pPr>
        <w:spacing w:line="283" w:lineRule="auto" w:after="100"/>
      </w:pPr>
      <w:r>
        <w:rPr>
          <w:rFonts w:ascii="Times New Roman" w:hAnsi="Times New Roman" w:eastAsia="宋体"/>
          <w:b w:val="0"/>
          <w:sz w:val="21"/>
        </w:rPr>
        <w:t>FR-201 数据集整理（P0）。模型/数据负责人需要确定数据来源，优先选择 NEU-DET、KolektorSDD 或 Roboflow 工业缺陷数据集。数据目录应符合 YOLO 训练要求，包括 images/train、images/val、labels/train、labels/val 和 data.yaml。若数据类别较多但质量不均衡，应优先保证 4 类缺陷可训练，不必强行覆盖所有类别。</w:t>
      </w:r>
    </w:p>
    <w:p>
      <w:pPr>
        <w:spacing w:line="283" w:lineRule="auto" w:after="100"/>
      </w:pPr>
      <w:r>
        <w:rPr>
          <w:rFonts w:ascii="Times New Roman" w:hAnsi="Times New Roman" w:eastAsia="宋体"/>
          <w:b w:val="0"/>
          <w:sz w:val="21"/>
        </w:rPr>
        <w:t>FR-202 标注格式转换与校验（P0）。系统或项目脚本至少支持一种常见标注格式转换为 YOLO TXT 格式，例如 VOC XML、COCO JSON 或 LabelMe JSON。转换后需要抽样检查类别编号、中心点坐标、宽高是否归一化，是否存在标签越界、图片无标签、标签无图片等问题。</w:t>
      </w:r>
    </w:p>
    <w:p>
      <w:pPr>
        <w:spacing w:line="283" w:lineRule="auto" w:after="100"/>
      </w:pPr>
      <w:r>
        <w:rPr>
          <w:rFonts w:ascii="Times New Roman" w:hAnsi="Times New Roman" w:eastAsia="宋体"/>
          <w:b w:val="0"/>
          <w:sz w:val="21"/>
        </w:rPr>
        <w:t>FR-203 模型训练（P0）。训练以 YOLOv11n 为优先选择，原因是模型较轻、训练速度较快、适合实训环境。训练过程需要保留训练命令、参数、results.csv、best.pt、混淆矩阵或评估截图。实训计划建议 mAP50 最低达到 0.5；若因数据限制无法达到，需要在模型报告中说明原因并给出改进方向。</w:t>
      </w:r>
    </w:p>
    <w:p>
      <w:pPr>
        <w:spacing w:line="283" w:lineRule="auto" w:after="100"/>
      </w:pPr>
      <w:r>
        <w:rPr>
          <w:rFonts w:ascii="Times New Roman" w:hAnsi="Times New Roman" w:eastAsia="宋体"/>
          <w:b w:val="0"/>
          <w:sz w:val="21"/>
        </w:rPr>
        <w:t>FR-204 训练状态监控（P1）。后端应提供训练任务状态接口，返回 status、epoch、total_epochs、loss、mAP50、Precision、Recall 等字段；前端训练页面用 ECharts 绘制曲线。若训练由命令行完成，也应至少把 results.csv 解析为前端可展示的数据。</w:t>
      </w:r>
    </w:p>
    <w:p>
      <w:pPr>
        <w:spacing w:line="283" w:lineRule="auto" w:after="100"/>
      </w:pPr>
      <w:r>
        <w:rPr>
          <w:rFonts w:ascii="Times New Roman" w:hAnsi="Times New Roman" w:eastAsia="宋体"/>
          <w:b w:val="0"/>
          <w:sz w:val="21"/>
        </w:rPr>
        <w:t>FR-205 模型评估报告（P0）。模型报告应包含数据来源、类别设置、训练参数、最终指标、每类 AP、典型误检和漏检案例。报告不应只写“模型效果良好”，而要指出哪些缺陷容易混淆，例如划痕与裂纹、麻点与斑块，方便答辩时解释模型局限。</w:t>
      </w:r>
    </w:p>
    <w:p>
      <w:pPr>
        <w:pStyle w:val="Heading2"/>
        <w:spacing w:before="120" w:after="100"/>
      </w:pPr>
      <w:r>
        <w:rPr>
          <w:rFonts w:ascii="Times New Roman" w:hAnsi="Times New Roman" w:eastAsia="宋体"/>
          <w:b/>
          <w:color w:val="000000"/>
          <w:sz w:val="26"/>
        </w:rPr>
        <w:t>4.4 智能体与 RAG 需求</w:t>
      </w:r>
    </w:p>
    <w:p>
      <w:pPr>
        <w:spacing w:line="283" w:lineRule="auto" w:after="100"/>
      </w:pPr>
      <w:r>
        <w:rPr>
          <w:rFonts w:ascii="Times New Roman" w:hAnsi="Times New Roman" w:eastAsia="宋体"/>
          <w:b w:val="0"/>
          <w:sz w:val="21"/>
        </w:rPr>
        <w:t>FR-301 自然语言触发检测（P0）。用户可以输入“检测这张图片是否有划痕”“帮我分析这张钢板缺陷情况”等自然语言，Supervisor 应识别为检测意图，并检查是否存在关联图片。如果缺少图片，应要求用户上传图片，而不是直接生成虚假结果。</w:t>
      </w:r>
    </w:p>
    <w:p>
      <w:pPr>
        <w:spacing w:line="283" w:lineRule="auto" w:after="100"/>
      </w:pPr>
      <w:r>
        <w:rPr>
          <w:rFonts w:ascii="Times New Roman" w:hAnsi="Times New Roman" w:eastAsia="宋体"/>
          <w:b w:val="0"/>
          <w:sz w:val="21"/>
        </w:rPr>
        <w:t>FR-302 历史分析问答（P1）。用户可以询问“最近 10 次检测中哪类缺陷最多”“平均置信度是多少”“最近一天检测了多少张图片”等问题。AnalysisAgent 必须调用历史统计接口或数据库聚合结果回答，不能让大模型凭空推断。</w:t>
      </w:r>
    </w:p>
    <w:p>
      <w:pPr>
        <w:spacing w:line="283" w:lineRule="auto" w:after="100"/>
      </w:pPr>
      <w:r>
        <w:rPr>
          <w:rFonts w:ascii="Times New Roman" w:hAnsi="Times New Roman" w:eastAsia="宋体"/>
          <w:b w:val="0"/>
          <w:sz w:val="21"/>
        </w:rPr>
        <w:t>FR-303 RAG 缺陷知识库（P1）。知识库应包含钢铁缺陷类别说明、数据集说明、模型训练报告、项目文档和常见问题。文档进入知识库前需要分块、向量化并写入 Pgvector 或等价向量库。QAAgent 回答时应优先引用检索到的内容，适合回答“划痕和裂纹有什么区别”“置信度阈值为什么影响漏检”“夹杂缺陷的成因是什么”等问题。</w:t>
      </w:r>
    </w:p>
    <w:p>
      <w:pPr>
        <w:spacing w:line="283" w:lineRule="auto" w:after="100"/>
      </w:pPr>
      <w:r>
        <w:rPr>
          <w:rFonts w:ascii="Times New Roman" w:hAnsi="Times New Roman" w:eastAsia="宋体"/>
          <w:b w:val="0"/>
          <w:sz w:val="21"/>
        </w:rPr>
        <w:t>FR-304 流式响应与工具调用展示（P1）。参考技术方案中的 fetch stream / SSE 设计，前端应逐步显示 Agent 输出，并展示“正在识别意图”“正在调用检测工具”“正在查询历史数据”“正在检索知识库”等状态。这样可以让答辩评委清楚看到多 Agent 工作过程。</w:t>
      </w:r>
    </w:p>
    <w:p>
      <w:pPr>
        <w:pStyle w:val="Heading2"/>
        <w:spacing w:before="120" w:after="100"/>
      </w:pPr>
      <w:r>
        <w:rPr>
          <w:rFonts w:ascii="Times New Roman" w:hAnsi="Times New Roman" w:eastAsia="宋体"/>
          <w:b/>
          <w:color w:val="000000"/>
          <w:sz w:val="26"/>
        </w:rPr>
        <w:t>4.5 历史记录、统计看板与报告需求</w:t>
      </w:r>
    </w:p>
    <w:p>
      <w:pPr>
        <w:spacing w:line="283" w:lineRule="auto" w:after="100"/>
      </w:pPr>
      <w:r>
        <w:rPr>
          <w:rFonts w:ascii="Times New Roman" w:hAnsi="Times New Roman" w:eastAsia="宋体"/>
          <w:b w:val="0"/>
          <w:sz w:val="21"/>
        </w:rPr>
        <w:t>FR-401 历史记录（P0）。每次检测都应保存检测时间、用户、原图、结果图、模型版本、缺陷总数和缺陷明细。历史列表支持按时间倒序分页，详情页展示单次检测的完整结果。删除历史记录时应同步处理数据库记录和 MinIO 文件，至少保证不会在页面上出现无法访问的图片链接。</w:t>
      </w:r>
    </w:p>
    <w:p>
      <w:pPr>
        <w:spacing w:line="283" w:lineRule="auto" w:after="100"/>
      </w:pPr>
      <w:r>
        <w:rPr>
          <w:rFonts w:ascii="Times New Roman" w:hAnsi="Times New Roman" w:eastAsia="宋体"/>
          <w:b w:val="0"/>
          <w:sz w:val="21"/>
        </w:rPr>
        <w:t>FR-402 数据看板（P1）。看板应展示缺陷类别分布、每日检测次数、平均置信度、缺陷面积占比、模型 mAP/loss 曲线等。看板图表不需要追求复杂设计，关键是数据来源明确、能与检测记录对应。</w:t>
      </w:r>
    </w:p>
    <w:p>
      <w:pPr>
        <w:spacing w:line="283" w:lineRule="auto" w:after="100"/>
      </w:pPr>
      <w:r>
        <w:rPr>
          <w:rFonts w:ascii="Times New Roman" w:hAnsi="Times New Roman" w:eastAsia="宋体"/>
          <w:b w:val="0"/>
          <w:sz w:val="21"/>
        </w:rPr>
        <w:t>FR-403 检测报告（P2）。系统可以基于单次检测或批量检测生成 Markdown 报告，由 Agent 总结缺陷数量、主要缺陷类型、置信度范围和复检建议。报告适合作为答辩展示项，也可作为项目文档的一部分。</w:t>
      </w:r>
    </w:p>
    <w:p>
      <w:pPr>
        <w:pStyle w:val="Heading2"/>
        <w:spacing w:before="120" w:after="100"/>
      </w:pPr>
      <w:r>
        <w:rPr>
          <w:rFonts w:ascii="Times New Roman" w:hAnsi="Times New Roman" w:eastAsia="宋体"/>
          <w:b/>
          <w:color w:val="000000"/>
          <w:sz w:val="26"/>
        </w:rPr>
        <w:t>4.6 非功能性需求</w:t>
      </w:r>
    </w:p>
    <w:p>
      <w:pPr>
        <w:pStyle w:val="ListBullet"/>
        <w:spacing w:after="60"/>
      </w:pPr>
      <w:r>
        <w:rPr>
          <w:rFonts w:ascii="Times New Roman" w:hAnsi="Times New Roman" w:eastAsia="宋体"/>
          <w:b w:val="0"/>
          <w:sz w:val="21"/>
        </w:rPr>
        <w:t>性能：单图检测在本地 GPU 环境下尽量控制在 3 秒以内；CPU 环境允许更慢，但需要在报告中说明硬件条件和平均耗时。视频和摄像头检测不承诺工业实时性，以可演示为目标。</w:t>
      </w:r>
    </w:p>
    <w:p>
      <w:pPr>
        <w:pStyle w:val="ListBullet"/>
        <w:spacing w:after="60"/>
      </w:pPr>
      <w:r>
        <w:rPr>
          <w:rFonts w:ascii="Times New Roman" w:hAnsi="Times New Roman" w:eastAsia="宋体"/>
          <w:b w:val="0"/>
          <w:sz w:val="21"/>
        </w:rPr>
        <w:t>可靠性：图片格式错误、模型文件缺失、数据库连接失败、MinIO 上传失败、Agent 路由失败时，都应返回明确错误信息，并写入日志。</w:t>
      </w:r>
    </w:p>
    <w:p>
      <w:pPr>
        <w:pStyle w:val="ListBullet"/>
        <w:spacing w:after="60"/>
      </w:pPr>
      <w:r>
        <w:rPr>
          <w:rFonts w:ascii="Times New Roman" w:hAnsi="Times New Roman" w:eastAsia="宋体"/>
          <w:b w:val="0"/>
          <w:sz w:val="21"/>
        </w:rPr>
        <w:t>可维护性：后端按 config、entity、database、storage、services、agent、rag、api、tests 分层；前端按 views、components、api、stores、utils 分层。7 人小组可以按模块并行开发。</w:t>
      </w:r>
    </w:p>
    <w:p>
      <w:pPr>
        <w:pStyle w:val="ListBullet"/>
        <w:spacing w:after="60"/>
      </w:pPr>
      <w:r>
        <w:rPr>
          <w:rFonts w:ascii="Times New Roman" w:hAnsi="Times New Roman" w:eastAsia="宋体"/>
          <w:b w:val="0"/>
          <w:sz w:val="21"/>
        </w:rPr>
        <w:t>安全性：用户密码不明文保存；受保护接口需要 JWT；上传文件限制类型和大小；管理员接口限制角色。</w:t>
      </w:r>
    </w:p>
    <w:p>
      <w:pPr>
        <w:pStyle w:val="ListBullet"/>
        <w:spacing w:after="60"/>
      </w:pPr>
      <w:r>
        <w:rPr>
          <w:rFonts w:ascii="Times New Roman" w:hAnsi="Times New Roman" w:eastAsia="宋体"/>
          <w:b w:val="0"/>
          <w:sz w:val="21"/>
        </w:rPr>
        <w:t>可部署性：PostgreSQL、Redis、MinIO 通过 Docker Compose 启动；后端和前端提供清晰启动命令；答辩前准备录屏和备用数据。</w:t>
      </w:r>
    </w:p>
    <w:p>
      <w:pPr>
        <w:pStyle w:val="ListBullet"/>
        <w:spacing w:after="60"/>
      </w:pPr>
      <w:r>
        <w:rPr>
          <w:rFonts w:ascii="Times New Roman" w:hAnsi="Times New Roman" w:eastAsia="宋体"/>
          <w:b w:val="0"/>
          <w:sz w:val="21"/>
        </w:rPr>
        <w:t>可测试性：至少覆盖登录、单图检测、批量检测、历史查询、训练状态、Agent 路由、RAG 问答等测试用例。</w:t>
      </w:r>
    </w:p>
    <w:p>
      <w:pPr>
        <w:pStyle w:val="Heading2"/>
        <w:spacing w:before="120" w:after="100"/>
      </w:pPr>
      <w:r>
        <w:rPr>
          <w:rFonts w:ascii="Times New Roman" w:hAnsi="Times New Roman" w:eastAsia="宋体"/>
          <w:b/>
          <w:color w:val="000000"/>
          <w:sz w:val="26"/>
        </w:rPr>
        <w:t>4.7 优先级与验收摘要</w:t>
      </w:r>
    </w:p>
    <w:tbl>
      <w:tblPr>
        <w:tblStyle w:val="TableGrid"/>
        <w:tblW w:type="auto" w:w="0"/>
        <w:jc w:val="center"/>
        <w:tblLayout w:type="fixed"/>
        <w:tblLook w:firstColumn="1" w:firstRow="1" w:lastColumn="0" w:lastRow="0" w:noHBand="0" w:noVBand="1" w:val="04A0"/>
      </w:tblPr>
      <w:tblGrid>
        <w:gridCol w:w="3009"/>
        <w:gridCol w:w="3009"/>
        <w:gridCol w:w="3009"/>
      </w:tblGrid>
      <w:tr>
        <w:tc>
          <w:tcPr>
            <w:tcW w:type="dxa" w:w="1134"/>
            <w:shd w:fill="F2F2F2"/>
            <w:vAlign w:val="center"/>
            <w:tcMar>
              <w:top w:w="80" w:type="dxa"/>
              <w:bottom w:w="80" w:type="dxa"/>
              <w:start w:w="120" w:type="dxa"/>
              <w:end w:w="120" w:type="dxa"/>
            </w:tcMar>
          </w:tcPr>
          <w:p>
            <w:pPr>
              <w:jc w:val="center"/>
            </w:pPr>
            <w:r>
              <w:rPr>
                <w:rFonts w:ascii="Times New Roman" w:hAnsi="Times New Roman" w:eastAsia="宋体"/>
                <w:b/>
                <w:sz w:val="19"/>
              </w:rPr>
              <w:t>优先级</w:t>
            </w:r>
          </w:p>
        </w:tc>
        <w:tc>
          <w:tcPr>
            <w:tcW w:type="dxa" w:w="3969"/>
            <w:shd w:fill="F2F2F2"/>
            <w:vAlign w:val="center"/>
            <w:tcMar>
              <w:top w:w="80" w:type="dxa"/>
              <w:bottom w:w="80" w:type="dxa"/>
              <w:start w:w="120" w:type="dxa"/>
              <w:end w:w="120" w:type="dxa"/>
            </w:tcMar>
          </w:tcPr>
          <w:p>
            <w:pPr>
              <w:jc w:val="center"/>
            </w:pPr>
            <w:r>
              <w:rPr>
                <w:rFonts w:ascii="Times New Roman" w:hAnsi="Times New Roman" w:eastAsia="宋体"/>
                <w:b/>
                <w:sz w:val="19"/>
              </w:rPr>
              <w:t>功能范围</w:t>
            </w:r>
          </w:p>
        </w:tc>
        <w:tc>
          <w:tcPr>
            <w:tcW w:type="dxa" w:w="3969"/>
            <w:shd w:fill="F2F2F2"/>
            <w:vAlign w:val="center"/>
            <w:tcMar>
              <w:top w:w="80" w:type="dxa"/>
              <w:bottom w:w="80" w:type="dxa"/>
              <w:start w:w="120" w:type="dxa"/>
              <w:end w:w="120" w:type="dxa"/>
            </w:tcMar>
          </w:tcPr>
          <w:p>
            <w:pPr>
              <w:jc w:val="center"/>
            </w:pPr>
            <w:r>
              <w:rPr>
                <w:rFonts w:ascii="Times New Roman" w:hAnsi="Times New Roman" w:eastAsia="宋体"/>
                <w:b/>
                <w:sz w:val="19"/>
              </w:rPr>
              <w:t>验收重点</w:t>
            </w:r>
          </w:p>
        </w:tc>
      </w:tr>
      <w:tr>
        <w:tc>
          <w:tcPr>
            <w:tcW w:type="dxa" w:w="1134"/>
            <w:vAlign w:val="center"/>
            <w:tcMar>
              <w:top w:w="80" w:type="dxa"/>
              <w:bottom w:w="80" w:type="dxa"/>
              <w:start w:w="120" w:type="dxa"/>
              <w:end w:w="120" w:type="dxa"/>
            </w:tcMar>
          </w:tcPr>
          <w:p>
            <w:pPr>
              <w:spacing w:after="0"/>
            </w:pPr>
            <w:r>
              <w:rPr>
                <w:rFonts w:ascii="Times New Roman" w:hAnsi="Times New Roman" w:eastAsia="宋体"/>
                <w:b w:val="0"/>
                <w:sz w:val="18"/>
              </w:rPr>
              <w:t>P0</w:t>
            </w:r>
          </w:p>
        </w:tc>
        <w:tc>
          <w:tcPr>
            <w:tcW w:type="dxa" w:w="3969"/>
            <w:vAlign w:val="center"/>
            <w:tcMar>
              <w:top w:w="80" w:type="dxa"/>
              <w:bottom w:w="80" w:type="dxa"/>
              <w:start w:w="120" w:type="dxa"/>
              <w:end w:w="120" w:type="dxa"/>
            </w:tcMar>
          </w:tcPr>
          <w:p>
            <w:pPr>
              <w:spacing w:after="0"/>
            </w:pPr>
            <w:r>
              <w:rPr>
                <w:rFonts w:ascii="Times New Roman" w:hAnsi="Times New Roman" w:eastAsia="宋体"/>
                <w:b w:val="0"/>
                <w:sz w:val="18"/>
              </w:rPr>
              <w:t>单图检测、结果展示、历史保存、模型训练与评估、Agent 触发检测</w:t>
            </w:r>
          </w:p>
        </w:tc>
        <w:tc>
          <w:tcPr>
            <w:tcW w:type="dxa" w:w="3969"/>
            <w:vAlign w:val="center"/>
            <w:tcMar>
              <w:top w:w="80" w:type="dxa"/>
              <w:bottom w:w="80" w:type="dxa"/>
              <w:start w:w="120" w:type="dxa"/>
              <w:end w:w="120" w:type="dxa"/>
            </w:tcMar>
          </w:tcPr>
          <w:p>
            <w:pPr>
              <w:spacing w:after="0"/>
            </w:pPr>
            <w:r>
              <w:rPr>
                <w:rFonts w:ascii="Times New Roman" w:hAnsi="Times New Roman" w:eastAsia="宋体"/>
                <w:b w:val="0"/>
                <w:sz w:val="18"/>
              </w:rPr>
              <w:t>主链路必须跑通，能完成答辩核心演示。</w:t>
            </w:r>
          </w:p>
        </w:tc>
      </w:tr>
      <w:tr>
        <w:tc>
          <w:tcPr>
            <w:tcW w:type="dxa" w:w="1134"/>
            <w:vAlign w:val="center"/>
            <w:tcMar>
              <w:top w:w="80" w:type="dxa"/>
              <w:bottom w:w="80" w:type="dxa"/>
              <w:start w:w="120" w:type="dxa"/>
              <w:end w:w="120" w:type="dxa"/>
            </w:tcMar>
          </w:tcPr>
          <w:p>
            <w:pPr>
              <w:spacing w:after="0"/>
            </w:pPr>
            <w:r>
              <w:rPr>
                <w:rFonts w:ascii="Times New Roman" w:hAnsi="Times New Roman" w:eastAsia="宋体"/>
                <w:b w:val="0"/>
                <w:sz w:val="18"/>
              </w:rPr>
              <w:t>P1</w:t>
            </w:r>
          </w:p>
        </w:tc>
        <w:tc>
          <w:tcPr>
            <w:tcW w:type="dxa" w:w="3969"/>
            <w:vAlign w:val="center"/>
            <w:tcMar>
              <w:top w:w="80" w:type="dxa"/>
              <w:bottom w:w="80" w:type="dxa"/>
              <w:start w:w="120" w:type="dxa"/>
              <w:end w:w="120" w:type="dxa"/>
            </w:tcMar>
          </w:tcPr>
          <w:p>
            <w:pPr>
              <w:spacing w:after="0"/>
            </w:pPr>
            <w:r>
              <w:rPr>
                <w:rFonts w:ascii="Times New Roman" w:hAnsi="Times New Roman" w:eastAsia="宋体"/>
                <w:b w:val="0"/>
                <w:sz w:val="18"/>
              </w:rPr>
              <w:t>批量检测、训练曲线、数据看板、RAG 知识问答、SSE 流式输出</w:t>
            </w:r>
          </w:p>
        </w:tc>
        <w:tc>
          <w:tcPr>
            <w:tcW w:type="dxa" w:w="3969"/>
            <w:vAlign w:val="center"/>
            <w:tcMar>
              <w:top w:w="80" w:type="dxa"/>
              <w:bottom w:w="80" w:type="dxa"/>
              <w:start w:w="120" w:type="dxa"/>
              <w:end w:w="120" w:type="dxa"/>
            </w:tcMar>
          </w:tcPr>
          <w:p>
            <w:pPr>
              <w:spacing w:after="0"/>
            </w:pPr>
            <w:r>
              <w:rPr>
                <w:rFonts w:ascii="Times New Roman" w:hAnsi="Times New Roman" w:eastAsia="宋体"/>
                <w:b w:val="0"/>
                <w:sz w:val="18"/>
              </w:rPr>
              <w:t>提升系统完整度，体现平台化与智能体能力。</w:t>
            </w:r>
          </w:p>
        </w:tc>
      </w:tr>
      <w:tr>
        <w:tc>
          <w:tcPr>
            <w:tcW w:type="dxa" w:w="1134"/>
            <w:vAlign w:val="center"/>
            <w:tcMar>
              <w:top w:w="80" w:type="dxa"/>
              <w:bottom w:w="80" w:type="dxa"/>
              <w:start w:w="120" w:type="dxa"/>
              <w:end w:w="120" w:type="dxa"/>
            </w:tcMar>
          </w:tcPr>
          <w:p>
            <w:pPr>
              <w:spacing w:after="0"/>
            </w:pPr>
            <w:r>
              <w:rPr>
                <w:rFonts w:ascii="Times New Roman" w:hAnsi="Times New Roman" w:eastAsia="宋体"/>
                <w:b w:val="0"/>
                <w:sz w:val="18"/>
              </w:rPr>
              <w:t>P2</w:t>
            </w:r>
          </w:p>
        </w:tc>
        <w:tc>
          <w:tcPr>
            <w:tcW w:type="dxa" w:w="3969"/>
            <w:vAlign w:val="center"/>
            <w:tcMar>
              <w:top w:w="80" w:type="dxa"/>
              <w:bottom w:w="80" w:type="dxa"/>
              <w:start w:w="120" w:type="dxa"/>
              <w:end w:w="120" w:type="dxa"/>
            </w:tcMar>
          </w:tcPr>
          <w:p>
            <w:pPr>
              <w:spacing w:after="0"/>
            </w:pPr>
            <w:r>
              <w:rPr>
                <w:rFonts w:ascii="Times New Roman" w:hAnsi="Times New Roman" w:eastAsia="宋体"/>
                <w:b w:val="0"/>
                <w:sz w:val="18"/>
              </w:rPr>
              <w:t>视频检测、摄像头实时检测、多模型切换、报告生成、基础权限完善</w:t>
            </w:r>
          </w:p>
        </w:tc>
        <w:tc>
          <w:tcPr>
            <w:tcW w:type="dxa" w:w="3969"/>
            <w:vAlign w:val="center"/>
            <w:tcMar>
              <w:top w:w="80" w:type="dxa"/>
              <w:bottom w:w="80" w:type="dxa"/>
              <w:start w:w="120" w:type="dxa"/>
              <w:end w:w="120" w:type="dxa"/>
            </w:tcMar>
          </w:tcPr>
          <w:p>
            <w:pPr>
              <w:spacing w:after="0"/>
            </w:pPr>
            <w:r>
              <w:rPr>
                <w:rFonts w:ascii="Times New Roman" w:hAnsi="Times New Roman" w:eastAsia="宋体"/>
                <w:b w:val="0"/>
                <w:sz w:val="18"/>
              </w:rPr>
              <w:t>纳入设计并尽量实现最小可演示版本。</w:t>
            </w:r>
          </w:p>
        </w:tc>
      </w:tr>
    </w:tbl>
    <w:p/>
    <w:p>
      <w:pPr>
        <w:pStyle w:val="Heading1"/>
        <w:spacing w:before="200" w:after="100"/>
      </w:pPr>
      <w:r>
        <w:rPr>
          <w:rFonts w:ascii="Times New Roman" w:hAnsi="Times New Roman" w:eastAsia="宋体"/>
          <w:b/>
          <w:color w:val="000000"/>
          <w:sz w:val="32"/>
        </w:rPr>
        <w:t>5. 概要设计</w:t>
      </w:r>
    </w:p>
    <w:p>
      <w:pPr>
        <w:pStyle w:val="Heading2"/>
        <w:spacing w:before="120" w:after="100"/>
      </w:pPr>
      <w:r>
        <w:rPr>
          <w:rFonts w:ascii="Times New Roman" w:hAnsi="Times New Roman" w:eastAsia="宋体"/>
          <w:b/>
          <w:color w:val="000000"/>
          <w:sz w:val="26"/>
        </w:rPr>
        <w:t>5.1 总体架构设计</w:t>
      </w:r>
    </w:p>
    <w:p>
      <w:pPr>
        <w:spacing w:line="283" w:lineRule="auto" w:after="100"/>
      </w:pPr>
      <w:r>
        <w:rPr>
          <w:rFonts w:ascii="Times New Roman" w:hAnsi="Times New Roman" w:eastAsia="宋体"/>
          <w:b w:val="0"/>
          <w:sz w:val="21"/>
        </w:rPr>
        <w:t>系统采用前后端分离的 B/S 架构。前端使用 Vue 3、Element Plus 和 ECharts 构建检测工作台、智能体对话、历史记录、训练监控和数据看板。后端使用 FastAPI 提供 REST API、SSE 和 WebSocket 服务。业务服务层负责检测、训练、历史、模型和知识库管理。智能体编排层使用 LangGraph，围绕 Supervisor、DetectionAgent、AnalysisAgent、QAAgent 实现路由和工具调用。模型与数据层包括 YOLOv11、PostgreSQL、Redis、MinIO 和 Pgvector。</w:t>
      </w:r>
    </w:p>
    <w:p>
      <w:pPr>
        <w:spacing w:line="283" w:lineRule="auto" w:after="100"/>
      </w:pPr>
      <w:r>
        <w:rPr>
          <w:rFonts w:ascii="Times New Roman" w:hAnsi="Times New Roman" w:eastAsia="宋体"/>
          <w:b w:val="0"/>
          <w:sz w:val="21"/>
        </w:rPr>
        <w:t>系统调用链路可以概括为：用户操作或自然语言输入进入前端，前端通过 Axios、SSE 或 WebSocket 访问后端，后端 API 层进行鉴权和参数校验，业务服务层调用检测服务、训练服务、历史服务或 RAG 服务，必要时由 Agent 层完成意图识别和工具编排，最终将结构化结果返回前端展示。</w:t>
      </w:r>
    </w:p>
    <w:p>
      <w:pPr>
        <w:pStyle w:val="Heading2"/>
        <w:spacing w:before="120" w:after="100"/>
      </w:pPr>
      <w:r>
        <w:rPr>
          <w:rFonts w:ascii="Times New Roman" w:hAnsi="Times New Roman" w:eastAsia="宋体"/>
          <w:b/>
          <w:color w:val="000000"/>
          <w:sz w:val="26"/>
        </w:rPr>
        <w:t>5.2 后端概要设计</w:t>
      </w:r>
    </w:p>
    <w:p>
      <w:pPr>
        <w:spacing w:line="283" w:lineRule="auto" w:after="100"/>
      </w:pPr>
      <w:r>
        <w:rPr>
          <w:rFonts w:ascii="Times New Roman" w:hAnsi="Times New Roman" w:eastAsia="宋体"/>
          <w:b w:val="0"/>
          <w:sz w:val="21"/>
        </w:rPr>
        <w:t>后端入口为 backend/main.py，负责创建 FastAPI 应用、注册路由、初始化中间件和异常处理。app/api 下按业务拆分路由，包括 auth.py、detection.py、training.py、history.py、agent.py、models.py 和 rag.py。API 层只处理请求参数、鉴权和响应格式，不直接编写复杂业务逻辑。</w:t>
      </w:r>
    </w:p>
    <w:p>
      <w:pPr>
        <w:spacing w:line="283" w:lineRule="auto" w:after="100"/>
      </w:pPr>
      <w:r>
        <w:rPr>
          <w:rFonts w:ascii="Times New Roman" w:hAnsi="Times New Roman" w:eastAsia="宋体"/>
          <w:b w:val="0"/>
          <w:sz w:val="21"/>
        </w:rPr>
        <w:t>services 层承载核心业务。DetectionService 负责加载 YOLOv11 模型、缓存模型实例、执行单图和批量推理、处理视频抽帧和摄像头帧检测。TrainingService 负责启动训练任务、读取 results.csv、保存训练指标和模型文件。HistoryService 负责检测记录保存、详情查询、统计聚合。ModelService 负责模型版本管理、模型上传、模型切换和模型指标展示。</w:t>
      </w:r>
    </w:p>
    <w:p>
      <w:pPr>
        <w:spacing w:line="283" w:lineRule="auto" w:after="100"/>
      </w:pPr>
      <w:r>
        <w:rPr>
          <w:rFonts w:ascii="Times New Roman" w:hAnsi="Times New Roman" w:eastAsia="宋体"/>
          <w:b w:val="0"/>
          <w:sz w:val="21"/>
        </w:rPr>
        <w:t>storage 层封装 MinIO 客户端，统一处理 uploads、results、videos、models 等 bucket。database 层管理 PostgreSQL 连接和 Session。entity 层定义 SQLAlchemy 模型和 Pydantic Schema。这样的分层方式对应实训分工：后端 A 负责 API、数据库、认证和历史记录；后端 B 负责检测、训练、MinIO 和模型接入。</w:t>
      </w:r>
    </w:p>
    <w:p>
      <w:pPr>
        <w:pStyle w:val="Heading2"/>
        <w:spacing w:before="120" w:after="100"/>
      </w:pPr>
      <w:r>
        <w:rPr>
          <w:rFonts w:ascii="Times New Roman" w:hAnsi="Times New Roman" w:eastAsia="宋体"/>
          <w:b/>
          <w:color w:val="000000"/>
          <w:sz w:val="26"/>
        </w:rPr>
        <w:t>5.3 前端概要设计</w:t>
      </w:r>
    </w:p>
    <w:p>
      <w:pPr>
        <w:spacing w:line="283" w:lineRule="auto" w:after="100"/>
      </w:pPr>
      <w:r>
        <w:rPr>
          <w:rFonts w:ascii="Times New Roman" w:hAnsi="Times New Roman" w:eastAsia="宋体"/>
          <w:b w:val="0"/>
          <w:sz w:val="21"/>
        </w:rPr>
        <w:t>前端页面不宜设计成营销式首页，而应直接围绕工作台和演示流程。登录后默认进入检测工作台，用户可以上传图片、选择模型、设置阈值并查看检测结果。侧边栏提供智能体对话、历史记录、数据看板、训练管理、模型管理和知识库入口。</w:t>
      </w:r>
    </w:p>
    <w:p>
      <w:pPr>
        <w:spacing w:line="283" w:lineRule="auto" w:after="100"/>
      </w:pPr>
      <w:r>
        <w:rPr>
          <w:rFonts w:ascii="Times New Roman" w:hAnsi="Times New Roman" w:eastAsia="宋体"/>
          <w:b w:val="0"/>
          <w:sz w:val="21"/>
        </w:rPr>
        <w:t>DetectionPage 负责单图、批量、视频和摄像头检测的统一入口。为了避免页面复杂，可以使用标签页或模式切换：图片检测模式处理单图和批量，视频检测模式处理视频上传和任务进度，摄像头模式处理浏览器摄像头和实时框展示。AgentPage 负责 ChatInterface、MessageItem、ToolCallDisplay 和 Markdown 渲染。DashboardPage 通过 ECharts 展示统计结果。TrainingPage 展示训练任务状态和曲线。ModelPage 展示当前模型、模型列表和上传入口。</w:t>
      </w:r>
    </w:p>
    <w:p>
      <w:pPr>
        <w:spacing w:line="283" w:lineRule="auto" w:after="100"/>
      </w:pPr>
      <w:r>
        <w:rPr>
          <w:rFonts w:ascii="Times New Roman" w:hAnsi="Times New Roman" w:eastAsia="宋体"/>
          <w:b w:val="0"/>
          <w:sz w:val="21"/>
        </w:rPr>
        <w:t>前端 api 目录封装 Axios 请求，统一处理 baseURL、Token 注入、错误提示和响应解包。utils/stream.js 负责 SSE 消息解析，utils/markdown.js 负责 Agent 回答渲染。stores/user.js 保存用户和 Token，stores/agent.js 保存会话状态。</w:t>
      </w:r>
    </w:p>
    <w:p>
      <w:pPr>
        <w:pStyle w:val="Heading2"/>
        <w:spacing w:before="120" w:after="100"/>
      </w:pPr>
      <w:r>
        <w:rPr>
          <w:rFonts w:ascii="Times New Roman" w:hAnsi="Times New Roman" w:eastAsia="宋体"/>
          <w:b/>
          <w:color w:val="000000"/>
          <w:sz w:val="26"/>
        </w:rPr>
        <w:t>5.4 多 Agent 概要设计</w:t>
      </w:r>
    </w:p>
    <w:p>
      <w:pPr>
        <w:spacing w:line="283" w:lineRule="auto" w:after="100"/>
      </w:pPr>
      <w:r>
        <w:rPr>
          <w:rFonts w:ascii="Times New Roman" w:hAnsi="Times New Roman" w:eastAsia="宋体"/>
          <w:b w:val="0"/>
          <w:sz w:val="21"/>
        </w:rPr>
        <w:t>多 Agent 设计沿用参考技术方案的 Supervisor 调度结构。AgentState 至少包含 messages、user_id、session_id、file_id、intent、next_agent、detection_result、analysis_result、knowledge_result、final_response 等字段。Supervisor 的核心任务是判断用户意图和缺失条件：检测类问题需要图片或视频，统计类问题需要用户身份和历史数据，知识类问题需要检索知识库。</w:t>
      </w:r>
    </w:p>
    <w:p>
      <w:pPr>
        <w:spacing w:line="283" w:lineRule="auto" w:after="100"/>
      </w:pPr>
      <w:r>
        <w:rPr>
          <w:rFonts w:ascii="Times New Roman" w:hAnsi="Times New Roman" w:eastAsia="宋体"/>
          <w:b w:val="0"/>
          <w:sz w:val="21"/>
        </w:rPr>
        <w:t>DetectionAgent 不直接生成检测结果，而是调用 detection_tool。工具返回结构化 JSON 后，Agent 再把结果解释为自然语言。AnalysisAgent 调用 history_tool 或 statistics_tool，回答必须基于数据库聚合结果。QAAgent 调用 knowledge_tool，从 RAG 检索结果中组织回答。Supervisor 最后负责汇总不同 Agent 的结果，形成适合前端展示的中文说明。</w:t>
      </w:r>
    </w:p>
    <w:p>
      <w:pPr>
        <w:spacing w:line="283" w:lineRule="auto" w:after="100"/>
      </w:pPr>
      <w:r>
        <w:rPr>
          <w:rFonts w:ascii="Times New Roman" w:hAnsi="Times New Roman" w:eastAsia="宋体"/>
          <w:b w:val="0"/>
          <w:sz w:val="21"/>
        </w:rPr>
        <w:t>典型对话流程如下：用户上传图片并输入“帮我检测这张钢板有没有缺陷，并解释可能原因”；Supervisor 判断为 detection intent；DetectionAgent 调用 /api/detection/single；检测工具返回缺陷框和类别；Supervisor 生成回答：“检测到 2 处缺陷，其中划痕置信度 0.87，麻点置信度 0.76，建议进入人工复检”；若用户继续问“麻点通常是什么原因造成的”，Supervisor 路由到 QAAgent，QAAgent 检索知识库并回答。</w:t>
      </w:r>
    </w:p>
    <w:p>
      <w:pPr>
        <w:pStyle w:val="Heading2"/>
        <w:spacing w:before="120" w:after="100"/>
      </w:pPr>
      <w:r>
        <w:rPr>
          <w:rFonts w:ascii="Times New Roman" w:hAnsi="Times New Roman" w:eastAsia="宋体"/>
          <w:b/>
          <w:color w:val="000000"/>
          <w:sz w:val="26"/>
        </w:rPr>
        <w:t>5.5 YOLOv11 检测服务设计</w:t>
      </w:r>
    </w:p>
    <w:p>
      <w:pPr>
        <w:spacing w:line="283" w:lineRule="auto" w:after="100"/>
      </w:pPr>
      <w:r>
        <w:rPr>
          <w:rFonts w:ascii="Times New Roman" w:hAnsi="Times New Roman" w:eastAsia="宋体"/>
          <w:b w:val="0"/>
          <w:sz w:val="21"/>
        </w:rPr>
        <w:t>DetectionService 采用模型缓存机制。首次使用某个模型版本时，根据 model_path 从本地 models 目录或 MinIO 下载权重并加载为 YOLO 实例；后续请求复用缓存，减少重复加载耗时。服务入口包括 detect_single、detect_batch、detect_video_task 和 detect_frame。</w:t>
      </w:r>
    </w:p>
    <w:p>
      <w:pPr>
        <w:spacing w:line="283" w:lineRule="auto" w:after="100"/>
      </w:pPr>
      <w:r>
        <w:rPr>
          <w:rFonts w:ascii="Times New Roman" w:hAnsi="Times New Roman" w:eastAsia="宋体"/>
          <w:b w:val="0"/>
          <w:sz w:val="21"/>
        </w:rPr>
        <w:t>单图检测流程为：校验文件类型和大小；保存原图到 MinIO；读取图片并调用 YOLOv11 推理；按 conf_threshold 和 iou_threshold 过滤结果；将 class_id 映射为英文类别和中文类别；计算 bbox 和 area_ratio；绘制标注图；上传标注图；写入 detection_records 和 detection_results；返回统一响应。</w:t>
      </w:r>
    </w:p>
    <w:p>
      <w:pPr>
        <w:spacing w:line="283" w:lineRule="auto" w:after="100"/>
      </w:pPr>
      <w:r>
        <w:rPr>
          <w:rFonts w:ascii="Times New Roman" w:hAnsi="Times New Roman" w:eastAsia="宋体"/>
          <w:b w:val="0"/>
          <w:sz w:val="21"/>
        </w:rPr>
        <w:t>批量检测复用单图检测逻辑，但需要记录批次内成功和失败数量。视频检测采用任务模式，避免一次请求阻塞过长。摄像头检测尽量使用无文件 I/O 的 detect_frame，只返回框坐标和类别，由前端叠加绘制。</w:t>
      </w:r>
    </w:p>
    <w:p>
      <w:pPr>
        <w:pStyle w:val="Heading2"/>
        <w:spacing w:before="120" w:after="100"/>
      </w:pPr>
      <w:r>
        <w:rPr>
          <w:rFonts w:ascii="Times New Roman" w:hAnsi="Times New Roman" w:eastAsia="宋体"/>
          <w:b/>
          <w:color w:val="000000"/>
          <w:sz w:val="26"/>
        </w:rPr>
        <w:t>5.6 模型训练与评估设计</w:t>
      </w:r>
    </w:p>
    <w:p>
      <w:pPr>
        <w:pStyle w:val="ListNumber"/>
        <w:spacing w:after="60"/>
      </w:pPr>
      <w:r>
        <w:rPr>
          <w:rFonts w:ascii="Times New Roman" w:hAnsi="Times New Roman" w:eastAsia="宋体"/>
          <w:b w:val="0"/>
          <w:sz w:val="21"/>
        </w:rPr>
        <w:t>数据准备：模型/数据负责人确定数据集，统一类别名，整理目录结构，生成 data.yaml。</w:t>
      </w:r>
    </w:p>
    <w:p>
      <w:pPr>
        <w:pStyle w:val="ListNumber"/>
        <w:spacing w:after="60"/>
      </w:pPr>
      <w:r>
        <w:rPr>
          <w:rFonts w:ascii="Times New Roman" w:hAnsi="Times New Roman" w:eastAsia="宋体"/>
          <w:b w:val="0"/>
          <w:sz w:val="21"/>
        </w:rPr>
        <w:t>格式转换：将 VOC、COCO 或 LabelMe 标签转换为 YOLO TXT，转换脚本保存在 backend/app/training/data_converter.py 或 scripts 目录。</w:t>
      </w:r>
    </w:p>
    <w:p>
      <w:pPr>
        <w:pStyle w:val="ListNumber"/>
        <w:spacing w:after="60"/>
      </w:pPr>
      <w:r>
        <w:rPr>
          <w:rFonts w:ascii="Times New Roman" w:hAnsi="Times New Roman" w:eastAsia="宋体"/>
          <w:b w:val="0"/>
          <w:sz w:val="21"/>
        </w:rPr>
        <w:t>数据验证：检查图片和标签数量是否一致、类别编号是否越界、bbox 是否归一化、训练/验证/测试划分是否合理。</w:t>
      </w:r>
    </w:p>
    <w:p>
      <w:pPr>
        <w:pStyle w:val="ListNumber"/>
        <w:spacing w:after="60"/>
      </w:pPr>
      <w:r>
        <w:rPr>
          <w:rFonts w:ascii="Times New Roman" w:hAnsi="Times New Roman" w:eastAsia="宋体"/>
          <w:b w:val="0"/>
          <w:sz w:val="21"/>
        </w:rPr>
        <w:t>初始训练：使用 YOLOv11n 和较小 epoch 启动第一轮训练，记录命令、参数、日志和 results.csv。</w:t>
      </w:r>
    </w:p>
    <w:p>
      <w:pPr>
        <w:pStyle w:val="ListNumber"/>
        <w:spacing w:after="60"/>
      </w:pPr>
      <w:r>
        <w:rPr>
          <w:rFonts w:ascii="Times New Roman" w:hAnsi="Times New Roman" w:eastAsia="宋体"/>
          <w:b w:val="0"/>
          <w:sz w:val="21"/>
        </w:rPr>
        <w:t>评估调优：观察 mAP50、Precision、Recall、混淆矩阵、误检漏检案例，调整 batch size、img size、数据增强和阈值。</w:t>
      </w:r>
    </w:p>
    <w:p>
      <w:pPr>
        <w:pStyle w:val="ListNumber"/>
        <w:spacing w:after="60"/>
      </w:pPr>
      <w:r>
        <w:rPr>
          <w:rFonts w:ascii="Times New Roman" w:hAnsi="Times New Roman" w:eastAsia="宋体"/>
          <w:b w:val="0"/>
          <w:sz w:val="21"/>
        </w:rPr>
        <w:t>模型接入：将 best.pt 保存到 models 或 MinIO，写入 model_versions 表，并在检测页面模型下拉框中可选。</w:t>
      </w:r>
    </w:p>
    <w:p>
      <w:pPr>
        <w:pStyle w:val="Heading2"/>
        <w:spacing w:before="120" w:after="100"/>
      </w:pPr>
      <w:r>
        <w:rPr>
          <w:rFonts w:ascii="Times New Roman" w:hAnsi="Times New Roman" w:eastAsia="宋体"/>
          <w:b/>
          <w:color w:val="000000"/>
          <w:sz w:val="26"/>
        </w:rPr>
        <w:t>5.7 RAG 知识库设计</w:t>
      </w:r>
    </w:p>
    <w:p>
      <w:pPr>
        <w:spacing w:line="283" w:lineRule="auto" w:after="100"/>
      </w:pPr>
      <w:r>
        <w:rPr>
          <w:rFonts w:ascii="Times New Roman" w:hAnsi="Times New Roman" w:eastAsia="宋体"/>
          <w:b w:val="0"/>
          <w:sz w:val="21"/>
        </w:rPr>
        <w:t>RAG 知识库的目标不是让大模型自由发挥，而是让回答有项目资料依据。知识源包括钢铁缺陷类别说明、NEU-DET 或 KolektorSDD 数据集说明、模型训练报告、测试报告、需求设计文档和常见问答。文档导入后按段落或固定长度分块，记录来源标题、来源路径和 chunk_text，再调用 embedding 模型生成向量，写入 Pgvector。</w:t>
      </w:r>
    </w:p>
    <w:p>
      <w:pPr>
        <w:spacing w:line="283" w:lineRule="auto" w:after="100"/>
      </w:pPr>
      <w:r>
        <w:rPr>
          <w:rFonts w:ascii="Times New Roman" w:hAnsi="Times New Roman" w:eastAsia="宋体"/>
          <w:b w:val="0"/>
          <w:sz w:val="21"/>
        </w:rPr>
        <w:t>检索时，QAAgent 将用户问题转为向量，取 top_k 个相关分块，拼接为上下文，再要求 LLM 只基于上下文回答。对于没有检索到依据的问题，系统应提示“知识库中暂未包含该内容”，而不是编造工业知识。</w:t>
      </w:r>
    </w:p>
    <w:p>
      <w:pPr>
        <w:pStyle w:val="Heading2"/>
        <w:spacing w:before="120" w:after="100"/>
      </w:pPr>
      <w:r>
        <w:rPr>
          <w:rFonts w:ascii="Times New Roman" w:hAnsi="Times New Roman" w:eastAsia="宋体"/>
          <w:b/>
          <w:color w:val="000000"/>
          <w:sz w:val="26"/>
        </w:rPr>
        <w:t>5.8 数据库概要设计</w:t>
      </w:r>
    </w:p>
    <w:p>
      <w:pPr>
        <w:spacing w:line="283" w:lineRule="auto" w:after="100"/>
      </w:pPr>
      <w:r>
        <w:rPr>
          <w:rFonts w:ascii="Times New Roman" w:hAnsi="Times New Roman" w:eastAsia="宋体"/>
          <w:b w:val="0"/>
          <w:sz w:val="21"/>
        </w:rPr>
        <w:t>数据库设计以主链路为中心。users 保存用户；detection_records 保存一次检测的主信息；detection_results 保存每个缺陷框；training_tasks 保存训练任务；model_versions 支撑多模型切换；chat_sessions 和 chat_messages 保存智能体对话；knowledge_documents 和 knowledge_chunks 支撑 RAG。</w:t>
      </w:r>
    </w:p>
    <w:tbl>
      <w:tblPr>
        <w:tblStyle w:val="TableGrid"/>
        <w:tblW w:type="auto" w:w="0"/>
        <w:jc w:val="center"/>
        <w:tblLayout w:type="fixed"/>
        <w:tblLook w:firstColumn="1" w:firstRow="1" w:lastColumn="0" w:lastRow="0" w:noHBand="0" w:noVBand="1" w:val="04A0"/>
      </w:tblPr>
      <w:tblGrid>
        <w:gridCol w:w="3009"/>
        <w:gridCol w:w="3009"/>
        <w:gridCol w:w="3009"/>
      </w:tblGrid>
      <w:tr>
        <w:tc>
          <w:tcPr>
            <w:tcW w:type="dxa" w:w="1814"/>
            <w:shd w:fill="F2F2F2"/>
            <w:vAlign w:val="center"/>
            <w:tcMar>
              <w:top w:w="80" w:type="dxa"/>
              <w:bottom w:w="80" w:type="dxa"/>
              <w:start w:w="120" w:type="dxa"/>
              <w:end w:w="120" w:type="dxa"/>
            </w:tcMar>
          </w:tcPr>
          <w:p>
            <w:pPr>
              <w:jc w:val="center"/>
            </w:pPr>
            <w:r>
              <w:rPr>
                <w:rFonts w:ascii="Times New Roman" w:hAnsi="Times New Roman" w:eastAsia="宋体"/>
                <w:b/>
                <w:sz w:val="19"/>
              </w:rPr>
              <w:t>数据表</w:t>
            </w:r>
          </w:p>
        </w:tc>
        <w:tc>
          <w:tcPr>
            <w:tcW w:type="dxa" w:w="4989"/>
            <w:shd w:fill="F2F2F2"/>
            <w:vAlign w:val="center"/>
            <w:tcMar>
              <w:top w:w="80" w:type="dxa"/>
              <w:bottom w:w="80" w:type="dxa"/>
              <w:start w:w="120" w:type="dxa"/>
              <w:end w:w="120" w:type="dxa"/>
            </w:tcMar>
          </w:tcPr>
          <w:p>
            <w:pPr>
              <w:jc w:val="center"/>
            </w:pPr>
            <w:r>
              <w:rPr>
                <w:rFonts w:ascii="Times New Roman" w:hAnsi="Times New Roman" w:eastAsia="宋体"/>
                <w:b/>
                <w:sz w:val="19"/>
              </w:rPr>
              <w:t>核心字段</w:t>
            </w:r>
          </w:p>
        </w:tc>
        <w:tc>
          <w:tcPr>
            <w:tcW w:type="dxa" w:w="2268"/>
            <w:shd w:fill="F2F2F2"/>
            <w:vAlign w:val="center"/>
            <w:tcMar>
              <w:top w:w="80" w:type="dxa"/>
              <w:bottom w:w="80" w:type="dxa"/>
              <w:start w:w="120" w:type="dxa"/>
              <w:end w:w="120" w:type="dxa"/>
            </w:tcMar>
          </w:tcPr>
          <w:p>
            <w:pPr>
              <w:jc w:val="center"/>
            </w:pPr>
            <w:r>
              <w:rPr>
                <w:rFonts w:ascii="Times New Roman" w:hAnsi="Times New Roman" w:eastAsia="宋体"/>
                <w:b/>
                <w:sz w:val="19"/>
              </w:rPr>
              <w:t>说明</w:t>
            </w:r>
          </w:p>
        </w:tc>
      </w:tr>
      <w:tr>
        <w:tc>
          <w:tcPr>
            <w:tcW w:type="dxa" w:w="1814"/>
            <w:vAlign w:val="center"/>
            <w:tcMar>
              <w:top w:w="80" w:type="dxa"/>
              <w:bottom w:w="80" w:type="dxa"/>
              <w:start w:w="120" w:type="dxa"/>
              <w:end w:w="120" w:type="dxa"/>
            </w:tcMar>
          </w:tcPr>
          <w:p>
            <w:pPr>
              <w:spacing w:after="0"/>
            </w:pPr>
            <w:r>
              <w:rPr>
                <w:rFonts w:ascii="Times New Roman" w:hAnsi="Times New Roman" w:eastAsia="宋体"/>
                <w:b w:val="0"/>
                <w:sz w:val="18"/>
              </w:rPr>
              <w:t>users</w:t>
            </w:r>
          </w:p>
        </w:tc>
        <w:tc>
          <w:tcPr>
            <w:tcW w:type="dxa" w:w="4989"/>
            <w:vAlign w:val="center"/>
            <w:tcMar>
              <w:top w:w="80" w:type="dxa"/>
              <w:bottom w:w="80" w:type="dxa"/>
              <w:start w:w="120" w:type="dxa"/>
              <w:end w:w="120" w:type="dxa"/>
            </w:tcMar>
          </w:tcPr>
          <w:p>
            <w:pPr>
              <w:spacing w:after="0"/>
            </w:pPr>
            <w:r>
              <w:rPr>
                <w:rFonts w:ascii="Times New Roman" w:hAnsi="Times New Roman" w:eastAsia="宋体"/>
                <w:b w:val="0"/>
                <w:sz w:val="18"/>
              </w:rPr>
              <w:t>id、username、password_hash、role、is_active、created_at</w:t>
            </w:r>
          </w:p>
        </w:tc>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用户认证和基础权限。</w:t>
            </w:r>
          </w:p>
        </w:tc>
      </w:tr>
      <w:tr>
        <w:tc>
          <w:tcPr>
            <w:tcW w:type="dxa" w:w="1814"/>
            <w:vAlign w:val="center"/>
            <w:tcMar>
              <w:top w:w="80" w:type="dxa"/>
              <w:bottom w:w="80" w:type="dxa"/>
              <w:start w:w="120" w:type="dxa"/>
              <w:end w:w="120" w:type="dxa"/>
            </w:tcMar>
          </w:tcPr>
          <w:p>
            <w:pPr>
              <w:spacing w:after="0"/>
            </w:pPr>
            <w:r>
              <w:rPr>
                <w:rFonts w:ascii="Times New Roman" w:hAnsi="Times New Roman" w:eastAsia="宋体"/>
                <w:b w:val="0"/>
                <w:sz w:val="18"/>
              </w:rPr>
              <w:t>detection_records</w:t>
            </w:r>
          </w:p>
        </w:tc>
        <w:tc>
          <w:tcPr>
            <w:tcW w:type="dxa" w:w="4989"/>
            <w:vAlign w:val="center"/>
            <w:tcMar>
              <w:top w:w="80" w:type="dxa"/>
              <w:bottom w:w="80" w:type="dxa"/>
              <w:start w:w="120" w:type="dxa"/>
              <w:end w:w="120" w:type="dxa"/>
            </w:tcMar>
          </w:tcPr>
          <w:p>
            <w:pPr>
              <w:spacing w:after="0"/>
            </w:pPr>
            <w:r>
              <w:rPr>
                <w:rFonts w:ascii="Times New Roman" w:hAnsi="Times New Roman" w:eastAsia="宋体"/>
                <w:b w:val="0"/>
                <w:sz w:val="18"/>
              </w:rPr>
              <w:t>id、user_id、source_type、image_url、result_image_url、model_version、total_defects、created_at</w:t>
            </w:r>
          </w:p>
        </w:tc>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检测主记录。</w:t>
            </w:r>
          </w:p>
        </w:tc>
      </w:tr>
      <w:tr>
        <w:tc>
          <w:tcPr>
            <w:tcW w:type="dxa" w:w="1814"/>
            <w:vAlign w:val="center"/>
            <w:tcMar>
              <w:top w:w="80" w:type="dxa"/>
              <w:bottom w:w="80" w:type="dxa"/>
              <w:start w:w="120" w:type="dxa"/>
              <w:end w:w="120" w:type="dxa"/>
            </w:tcMar>
          </w:tcPr>
          <w:p>
            <w:pPr>
              <w:spacing w:after="0"/>
            </w:pPr>
            <w:r>
              <w:rPr>
                <w:rFonts w:ascii="Times New Roman" w:hAnsi="Times New Roman" w:eastAsia="宋体"/>
                <w:b w:val="0"/>
                <w:sz w:val="18"/>
              </w:rPr>
              <w:t>detection_results</w:t>
            </w:r>
          </w:p>
        </w:tc>
        <w:tc>
          <w:tcPr>
            <w:tcW w:type="dxa" w:w="4989"/>
            <w:vAlign w:val="center"/>
            <w:tcMar>
              <w:top w:w="80" w:type="dxa"/>
              <w:bottom w:w="80" w:type="dxa"/>
              <w:start w:w="120" w:type="dxa"/>
              <w:end w:w="120" w:type="dxa"/>
            </w:tcMar>
          </w:tcPr>
          <w:p>
            <w:pPr>
              <w:spacing w:after="0"/>
            </w:pPr>
            <w:r>
              <w:rPr>
                <w:rFonts w:ascii="Times New Roman" w:hAnsi="Times New Roman" w:eastAsia="宋体"/>
                <w:b w:val="0"/>
                <w:sz w:val="18"/>
              </w:rPr>
              <w:t>id、record_id、class_name、class_name_cn、confidence、x1、y1、x2、y2、area_ratio</w:t>
            </w:r>
          </w:p>
        </w:tc>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缺陷框明细。</w:t>
            </w:r>
          </w:p>
        </w:tc>
      </w:tr>
      <w:tr>
        <w:tc>
          <w:tcPr>
            <w:tcW w:type="dxa" w:w="1814"/>
            <w:vAlign w:val="center"/>
            <w:tcMar>
              <w:top w:w="80" w:type="dxa"/>
              <w:bottom w:w="80" w:type="dxa"/>
              <w:start w:w="120" w:type="dxa"/>
              <w:end w:w="120" w:type="dxa"/>
            </w:tcMar>
          </w:tcPr>
          <w:p>
            <w:pPr>
              <w:spacing w:after="0"/>
            </w:pPr>
            <w:r>
              <w:rPr>
                <w:rFonts w:ascii="Times New Roman" w:hAnsi="Times New Roman" w:eastAsia="宋体"/>
                <w:b w:val="0"/>
                <w:sz w:val="18"/>
              </w:rPr>
              <w:t>training_tasks</w:t>
            </w:r>
          </w:p>
        </w:tc>
        <w:tc>
          <w:tcPr>
            <w:tcW w:type="dxa" w:w="4989"/>
            <w:vAlign w:val="center"/>
            <w:tcMar>
              <w:top w:w="80" w:type="dxa"/>
              <w:bottom w:w="80" w:type="dxa"/>
              <w:start w:w="120" w:type="dxa"/>
              <w:end w:w="120" w:type="dxa"/>
            </w:tcMar>
          </w:tcPr>
          <w:p>
            <w:pPr>
              <w:spacing w:after="0"/>
            </w:pPr>
            <w:r>
              <w:rPr>
                <w:rFonts w:ascii="Times New Roman" w:hAnsi="Times New Roman" w:eastAsia="宋体"/>
                <w:b w:val="0"/>
                <w:sz w:val="18"/>
              </w:rPr>
              <w:t>task_id、dataset_name、model_name、epochs、status、mAP50、precision、recall、model_path</w:t>
            </w:r>
          </w:p>
        </w:tc>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训练状态和指标。</w:t>
            </w:r>
          </w:p>
        </w:tc>
      </w:tr>
      <w:tr>
        <w:tc>
          <w:tcPr>
            <w:tcW w:type="dxa" w:w="1814"/>
            <w:vAlign w:val="center"/>
            <w:tcMar>
              <w:top w:w="80" w:type="dxa"/>
              <w:bottom w:w="80" w:type="dxa"/>
              <w:start w:w="120" w:type="dxa"/>
              <w:end w:w="120" w:type="dxa"/>
            </w:tcMar>
          </w:tcPr>
          <w:p>
            <w:pPr>
              <w:spacing w:after="0"/>
            </w:pPr>
            <w:r>
              <w:rPr>
                <w:rFonts w:ascii="Times New Roman" w:hAnsi="Times New Roman" w:eastAsia="宋体"/>
                <w:b w:val="0"/>
                <w:sz w:val="18"/>
              </w:rPr>
              <w:t>model_versions</w:t>
            </w:r>
          </w:p>
        </w:tc>
        <w:tc>
          <w:tcPr>
            <w:tcW w:type="dxa" w:w="4989"/>
            <w:vAlign w:val="center"/>
            <w:tcMar>
              <w:top w:w="80" w:type="dxa"/>
              <w:bottom w:w="80" w:type="dxa"/>
              <w:start w:w="120" w:type="dxa"/>
              <w:end w:w="120" w:type="dxa"/>
            </w:tcMar>
          </w:tcPr>
          <w:p>
            <w:pPr>
              <w:spacing w:after="0"/>
            </w:pPr>
            <w:r>
              <w:rPr>
                <w:rFonts w:ascii="Times New Roman" w:hAnsi="Times New Roman" w:eastAsia="宋体"/>
                <w:b w:val="0"/>
                <w:sz w:val="18"/>
              </w:rPr>
              <w:t>id、name、version、path、source、mAP50、is_active、created_at</w:t>
            </w:r>
          </w:p>
        </w:tc>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模型版本与切换。</w:t>
            </w:r>
          </w:p>
        </w:tc>
      </w:tr>
      <w:tr>
        <w:tc>
          <w:tcPr>
            <w:tcW w:type="dxa" w:w="1814"/>
            <w:vAlign w:val="center"/>
            <w:tcMar>
              <w:top w:w="80" w:type="dxa"/>
              <w:bottom w:w="80" w:type="dxa"/>
              <w:start w:w="120" w:type="dxa"/>
              <w:end w:w="120" w:type="dxa"/>
            </w:tcMar>
          </w:tcPr>
          <w:p>
            <w:pPr>
              <w:spacing w:after="0"/>
            </w:pPr>
            <w:r>
              <w:rPr>
                <w:rFonts w:ascii="Times New Roman" w:hAnsi="Times New Roman" w:eastAsia="宋体"/>
                <w:b w:val="0"/>
                <w:sz w:val="18"/>
              </w:rPr>
              <w:t>knowledge_chunks</w:t>
            </w:r>
          </w:p>
        </w:tc>
        <w:tc>
          <w:tcPr>
            <w:tcW w:type="dxa" w:w="4989"/>
            <w:vAlign w:val="center"/>
            <w:tcMar>
              <w:top w:w="80" w:type="dxa"/>
              <w:bottom w:w="80" w:type="dxa"/>
              <w:start w:w="120" w:type="dxa"/>
              <w:end w:w="120" w:type="dxa"/>
            </w:tcMar>
          </w:tcPr>
          <w:p>
            <w:pPr>
              <w:spacing w:after="0"/>
            </w:pPr>
            <w:r>
              <w:rPr>
                <w:rFonts w:ascii="Times New Roman" w:hAnsi="Times New Roman" w:eastAsia="宋体"/>
                <w:b w:val="0"/>
                <w:sz w:val="18"/>
              </w:rPr>
              <w:t>id、doc_title、source、chunk_text、embedding、created_at</w:t>
            </w:r>
          </w:p>
        </w:tc>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RAG 检索分块。</w:t>
            </w:r>
          </w:p>
        </w:tc>
      </w:tr>
    </w:tbl>
    <w:p/>
    <w:p>
      <w:pPr>
        <w:pStyle w:val="Heading2"/>
        <w:spacing w:before="120" w:after="100"/>
      </w:pPr>
      <w:r>
        <w:rPr>
          <w:rFonts w:ascii="Times New Roman" w:hAnsi="Times New Roman" w:eastAsia="宋体"/>
          <w:b/>
          <w:color w:val="000000"/>
          <w:sz w:val="26"/>
        </w:rPr>
        <w:t>5.9 API 概要设计</w:t>
      </w:r>
    </w:p>
    <w:p>
      <w:pPr>
        <w:spacing w:line="283" w:lineRule="auto" w:after="100"/>
      </w:pPr>
      <w:r>
        <w:rPr>
          <w:rFonts w:ascii="Times New Roman" w:hAnsi="Times New Roman" w:eastAsia="宋体"/>
          <w:b w:val="0"/>
          <w:sz w:val="21"/>
        </w:rPr>
        <w:t>API 设计遵循 RESTful 风格，检测、训练和 Agent 接口使用统一响应格式。成功响应包含 success、message、data；错误响应包含 detail 或 error_code。前后端第一天应确定关键 JSON 字段，避免并行开发时互相等待。</w:t>
      </w:r>
    </w:p>
    <w:p>
      <w:pPr>
        <w:pStyle w:val="ListBullet"/>
        <w:spacing w:after="60"/>
      </w:pPr>
      <w:r>
        <w:rPr>
          <w:rFonts w:ascii="Times New Roman" w:hAnsi="Times New Roman" w:eastAsia="宋体"/>
          <w:b w:val="0"/>
          <w:sz w:val="21"/>
        </w:rPr>
        <w:t>POST /api/detection/single：输入 file、model_id、conf_threshold、iou_threshold；输出 record_id、objects、summary、result_image_url。</w:t>
      </w:r>
    </w:p>
    <w:p>
      <w:pPr>
        <w:pStyle w:val="ListBullet"/>
        <w:spacing w:after="60"/>
      </w:pPr>
      <w:r>
        <w:rPr>
          <w:rFonts w:ascii="Times New Roman" w:hAnsi="Times New Roman" w:eastAsia="宋体"/>
          <w:b w:val="0"/>
          <w:sz w:val="21"/>
        </w:rPr>
        <w:t>POST /api/detection/batch：输入 files[] 和检测参数；输出 records[]、success_count、failed_count。</w:t>
      </w:r>
    </w:p>
    <w:p>
      <w:pPr>
        <w:pStyle w:val="ListBullet"/>
        <w:spacing w:after="60"/>
      </w:pPr>
      <w:r>
        <w:rPr>
          <w:rFonts w:ascii="Times New Roman" w:hAnsi="Times New Roman" w:eastAsia="宋体"/>
          <w:b w:val="0"/>
          <w:sz w:val="21"/>
        </w:rPr>
        <w:t>POST /api/detection/video：输入 video、model_id、frame_interval；输出 task_id 和 progress_url。</w:t>
      </w:r>
    </w:p>
    <w:p>
      <w:pPr>
        <w:pStyle w:val="ListBullet"/>
        <w:spacing w:after="60"/>
      </w:pPr>
      <w:r>
        <w:rPr>
          <w:rFonts w:ascii="Times New Roman" w:hAnsi="Times New Roman" w:eastAsia="宋体"/>
          <w:b w:val="0"/>
          <w:sz w:val="21"/>
        </w:rPr>
        <w:t>WS /api/detection/camera/ws：输入摄像头帧；输出 boxes、latency、frame_id。</w:t>
      </w:r>
    </w:p>
    <w:p>
      <w:pPr>
        <w:pStyle w:val="ListBullet"/>
        <w:spacing w:after="60"/>
      </w:pPr>
      <w:r>
        <w:rPr>
          <w:rFonts w:ascii="Times New Roman" w:hAnsi="Times New Roman" w:eastAsia="宋体"/>
          <w:b w:val="0"/>
          <w:sz w:val="21"/>
        </w:rPr>
        <w:t>POST /api/training/start 与 GET /api/training/status/{task_id}：用于启动训练和查询训练指标。</w:t>
      </w:r>
    </w:p>
    <w:p>
      <w:pPr>
        <w:pStyle w:val="ListBullet"/>
        <w:spacing w:after="60"/>
      </w:pPr>
      <w:r>
        <w:rPr>
          <w:rFonts w:ascii="Times New Roman" w:hAnsi="Times New Roman" w:eastAsia="宋体"/>
          <w:b w:val="0"/>
          <w:sz w:val="21"/>
        </w:rPr>
        <w:t>POST /api/agent/chat：输入 message、session_id、file_id；输出 SSE 事件流，包括路由状态、工具调用状态和最终回答。</w:t>
      </w:r>
    </w:p>
    <w:p>
      <w:pPr>
        <w:pStyle w:val="ListBullet"/>
        <w:spacing w:after="60"/>
      </w:pPr>
      <w:r>
        <w:rPr>
          <w:rFonts w:ascii="Times New Roman" w:hAnsi="Times New Roman" w:eastAsia="宋体"/>
          <w:b w:val="0"/>
          <w:sz w:val="21"/>
        </w:rPr>
        <w:t>POST /api/rag/documents 与 POST /api/rag/search：用于知识文档导入和检索。</w:t>
      </w:r>
    </w:p>
    <w:p>
      <w:pPr>
        <w:spacing w:line="283" w:lineRule="auto" w:after="100"/>
      </w:pPr>
      <w:r>
        <w:rPr>
          <w:rFonts w:ascii="Times New Roman" w:hAnsi="Times New Roman" w:eastAsia="宋体"/>
          <w:b w:val="0"/>
          <w:sz w:val="21"/>
        </w:rPr>
        <w:t>检测接口返回示例：record_id 为检测记录编号；objects 数组中每个元素包含 class_name、class_name_cn、confidence、bbox；summary 包含 total 和 classes 统计。训练状态接口返回 task_id、status、epoch、total_epochs、metrics。Agent 对话接口按事件流返回 intent、tool_call、partial_answer 和 final_answer。</w:t>
      </w:r>
    </w:p>
    <w:p>
      <w:pPr>
        <w:pStyle w:val="Heading2"/>
        <w:spacing w:before="120" w:after="100"/>
      </w:pPr>
      <w:r>
        <w:rPr>
          <w:rFonts w:ascii="Times New Roman" w:hAnsi="Times New Roman" w:eastAsia="宋体"/>
          <w:b/>
          <w:color w:val="000000"/>
          <w:sz w:val="26"/>
        </w:rPr>
        <w:t>5.10 异常处理、日志与测试设计</w:t>
      </w:r>
    </w:p>
    <w:p>
      <w:pPr>
        <w:spacing w:line="283" w:lineRule="auto" w:after="100"/>
      </w:pPr>
      <w:r>
        <w:rPr>
          <w:rFonts w:ascii="Times New Roman" w:hAnsi="Times New Roman" w:eastAsia="宋体"/>
          <w:b w:val="0"/>
          <w:sz w:val="21"/>
        </w:rPr>
        <w:t>异常处理需要覆盖主链路。上传文件不是图片或视频时返回 400；模型文件不存在时返回明确错误并记录日志；检测无结果时返回空列表；MinIO 上传失败时标记任务失败或回滚记录；数据库连接失败时返回系统错误；Agent 路由失败时返回澄清问题。</w:t>
      </w:r>
    </w:p>
    <w:p>
      <w:pPr>
        <w:spacing w:line="283" w:lineRule="auto" w:after="100"/>
      </w:pPr>
      <w:r>
        <w:rPr>
          <w:rFonts w:ascii="Times New Roman" w:hAnsi="Times New Roman" w:eastAsia="宋体"/>
          <w:b w:val="0"/>
          <w:sz w:val="21"/>
        </w:rPr>
        <w:t>日志分为 API 请求日志、检测日志、训练日志、Agent 日志和错误日志。检测日志记录图片名、模型版本、阈值、耗时、缺陷数量；训练日志记录 epoch、loss、mAP、训练状态；Agent 日志记录用户意图、路由目标和工具调用。</w:t>
      </w:r>
    </w:p>
    <w:p>
      <w:pPr>
        <w:spacing w:line="283" w:lineRule="auto" w:after="100"/>
      </w:pPr>
      <w:r>
        <w:rPr>
          <w:rFonts w:ascii="Times New Roman" w:hAnsi="Times New Roman" w:eastAsia="宋体"/>
          <w:b w:val="0"/>
          <w:sz w:val="21"/>
        </w:rPr>
        <w:t>测试分为单元测试、接口测试、前端测试、集成测试、模型测试和演示测试。集成测试的核心脚本应覆盖“登录 → 上传图片 → 检测 → 保存历史 → 查看详情 → 看板统计 → Agent 总结”。答辩前必须准备一套固定测试图片和一段短视频，避免现场临时寻找样例。</w:t>
      </w:r>
    </w:p>
    <w:p>
      <w:pPr>
        <w:pStyle w:val="Heading1"/>
        <w:spacing w:before="200" w:after="100"/>
      </w:pPr>
      <w:r>
        <w:rPr>
          <w:rFonts w:ascii="Times New Roman" w:hAnsi="Times New Roman" w:eastAsia="宋体"/>
          <w:b/>
          <w:color w:val="000000"/>
          <w:sz w:val="32"/>
        </w:rPr>
        <w:t>6. 项目计划与人员分工</w:t>
      </w:r>
    </w:p>
    <w:p>
      <w:pPr>
        <w:spacing w:line="283" w:lineRule="auto" w:after="100"/>
      </w:pPr>
      <w:r>
        <w:rPr>
          <w:rFonts w:ascii="Times New Roman" w:hAnsi="Times New Roman" w:eastAsia="宋体"/>
          <w:b w:val="0"/>
          <w:sz w:val="21"/>
        </w:rPr>
        <w:t>项目按实训计划分为六个主要阶段。Day 1-4 完成项目架构、环境、认证、前后端骨架、日志和测试结构；Day 5-7 完成数据集、格式转换、模型训练和评估；Day 8-10 完成单图、批量、视频、摄像头检测和历史看板；Day 11 完成 LangGraph 多 Agent、SSE 流式响应和 RAG 知识库；Day 12 完成部署、回归测试、文档和答辩准备；Day 14-15 完成项目交付答辩。</w:t>
      </w:r>
    </w:p>
    <w:p>
      <w:pPr>
        <w:spacing w:line="283" w:lineRule="auto" w:after="100"/>
      </w:pPr>
      <w:r>
        <w:rPr>
          <w:rFonts w:ascii="Times New Roman" w:hAnsi="Times New Roman" w:eastAsia="宋体"/>
          <w:b w:val="0"/>
          <w:sz w:val="21"/>
        </w:rPr>
        <w:t>分工上应按平台链路拆分，而不是按个人兴趣随意拆分。组长/全栈负责总体架构、Agent 编排、接口边界和最终集成；后端 A 负责 FastAPI、认证、数据库、历史记录和统计接口；后端 B 负责 YOLOv11 检测服务、训练服务、MinIO 和模型管理；前端 A 负责智能体对话、SSE、Markdown 和工具调用展示；前端 B 负责检测工作台、训练页面、数据看板和模型切换；模型/数据负责人负责数据集、格式转换、训练、评估和模型报告；文档/测试负责人从 Day 1 开始维护需求文档、测试用例、部署说明、问题清单、录屏和答辩 PPT。</w:t>
      </w:r>
    </w:p>
    <w:tbl>
      <w:tblPr>
        <w:tblStyle w:val="TableGrid"/>
        <w:tblW w:type="auto" w:w="0"/>
        <w:jc w:val="center"/>
        <w:tblLayout w:type="fixed"/>
        <w:tblLook w:firstColumn="1" w:firstRow="1" w:lastColumn="0" w:lastRow="0" w:noHBand="0" w:noVBand="1" w:val="04A0"/>
      </w:tblPr>
      <w:tblGrid>
        <w:gridCol w:w="4513"/>
        <w:gridCol w:w="4513"/>
      </w:tblGrid>
      <w:tr>
        <w:tc>
          <w:tcPr>
            <w:tcW w:type="dxa" w:w="1701"/>
            <w:shd w:fill="F2F2F2"/>
            <w:vAlign w:val="center"/>
            <w:tcMar>
              <w:top w:w="80" w:type="dxa"/>
              <w:bottom w:w="80" w:type="dxa"/>
              <w:start w:w="120" w:type="dxa"/>
              <w:end w:w="120" w:type="dxa"/>
            </w:tcMar>
          </w:tcPr>
          <w:p>
            <w:pPr>
              <w:jc w:val="center"/>
            </w:pPr>
            <w:r>
              <w:rPr>
                <w:rFonts w:ascii="Times New Roman" w:hAnsi="Times New Roman" w:eastAsia="宋体"/>
                <w:b/>
                <w:sz w:val="19"/>
              </w:rPr>
              <w:t>角色</w:t>
            </w:r>
          </w:p>
        </w:tc>
        <w:tc>
          <w:tcPr>
            <w:tcW w:type="dxa" w:w="7370"/>
            <w:shd w:fill="F2F2F2"/>
            <w:vAlign w:val="center"/>
            <w:tcMar>
              <w:top w:w="80" w:type="dxa"/>
              <w:bottom w:w="80" w:type="dxa"/>
              <w:start w:w="120" w:type="dxa"/>
              <w:end w:w="120" w:type="dxa"/>
            </w:tcMar>
          </w:tcPr>
          <w:p>
            <w:pPr>
              <w:jc w:val="center"/>
            </w:pPr>
            <w:r>
              <w:rPr>
                <w:rFonts w:ascii="Times New Roman" w:hAnsi="Times New Roman" w:eastAsia="宋体"/>
                <w:b/>
                <w:sz w:val="19"/>
              </w:rPr>
              <w:t>核心交付</w:t>
            </w:r>
          </w:p>
        </w:tc>
      </w:tr>
      <w:tr>
        <w:tc>
          <w:tcPr>
            <w:tcW w:type="dxa" w:w="1701"/>
            <w:vAlign w:val="center"/>
            <w:tcMar>
              <w:top w:w="80" w:type="dxa"/>
              <w:bottom w:w="80" w:type="dxa"/>
              <w:start w:w="120" w:type="dxa"/>
              <w:end w:w="120" w:type="dxa"/>
            </w:tcMar>
          </w:tcPr>
          <w:p>
            <w:pPr>
              <w:spacing w:after="0"/>
            </w:pPr>
            <w:r>
              <w:rPr>
                <w:rFonts w:ascii="Times New Roman" w:hAnsi="Times New Roman" w:eastAsia="宋体"/>
                <w:b w:val="0"/>
                <w:sz w:val="18"/>
              </w:rPr>
              <w:t>组长/全栈</w:t>
            </w:r>
          </w:p>
        </w:tc>
        <w:tc>
          <w:tcPr>
            <w:tcW w:type="dxa" w:w="7370"/>
            <w:vAlign w:val="center"/>
            <w:tcMar>
              <w:top w:w="80" w:type="dxa"/>
              <w:bottom w:w="80" w:type="dxa"/>
              <w:start w:w="120" w:type="dxa"/>
              <w:end w:w="120" w:type="dxa"/>
            </w:tcMar>
          </w:tcPr>
          <w:p>
            <w:pPr>
              <w:spacing w:after="0"/>
            </w:pPr>
            <w:r>
              <w:rPr>
                <w:rFonts w:ascii="Times New Roman" w:hAnsi="Times New Roman" w:eastAsia="宋体"/>
                <w:b w:val="0"/>
                <w:sz w:val="18"/>
              </w:rPr>
              <w:t>架构说明、Agent 状态图、Supervisor 路由、接口规范、最终集成版本。</w:t>
            </w:r>
          </w:p>
        </w:tc>
      </w:tr>
      <w:tr>
        <w:tc>
          <w:tcPr>
            <w:tcW w:type="dxa" w:w="1701"/>
            <w:vAlign w:val="center"/>
            <w:tcMar>
              <w:top w:w="80" w:type="dxa"/>
              <w:bottom w:w="80" w:type="dxa"/>
              <w:start w:w="120" w:type="dxa"/>
              <w:end w:w="120" w:type="dxa"/>
            </w:tcMar>
          </w:tcPr>
          <w:p>
            <w:pPr>
              <w:spacing w:after="0"/>
            </w:pPr>
            <w:r>
              <w:rPr>
                <w:rFonts w:ascii="Times New Roman" w:hAnsi="Times New Roman" w:eastAsia="宋体"/>
                <w:b w:val="0"/>
                <w:sz w:val="18"/>
              </w:rPr>
              <w:t>后端 A</w:t>
            </w:r>
          </w:p>
        </w:tc>
        <w:tc>
          <w:tcPr>
            <w:tcW w:type="dxa" w:w="7370"/>
            <w:vAlign w:val="center"/>
            <w:tcMar>
              <w:top w:w="80" w:type="dxa"/>
              <w:bottom w:w="80" w:type="dxa"/>
              <w:start w:w="120" w:type="dxa"/>
              <w:end w:w="120" w:type="dxa"/>
            </w:tcMar>
          </w:tcPr>
          <w:p>
            <w:pPr>
              <w:spacing w:after="0"/>
            </w:pPr>
            <w:r>
              <w:rPr>
                <w:rFonts w:ascii="Times New Roman" w:hAnsi="Times New Roman" w:eastAsia="宋体"/>
                <w:b w:val="0"/>
                <w:sz w:val="18"/>
              </w:rPr>
              <w:t>auth.py、history.py、statistics API、db_models.py、schemas.py、Swagger 文档。</w:t>
            </w:r>
          </w:p>
        </w:tc>
      </w:tr>
      <w:tr>
        <w:tc>
          <w:tcPr>
            <w:tcW w:type="dxa" w:w="1701"/>
            <w:vAlign w:val="center"/>
            <w:tcMar>
              <w:top w:w="80" w:type="dxa"/>
              <w:bottom w:w="80" w:type="dxa"/>
              <w:start w:w="120" w:type="dxa"/>
              <w:end w:w="120" w:type="dxa"/>
            </w:tcMar>
          </w:tcPr>
          <w:p>
            <w:pPr>
              <w:spacing w:after="0"/>
            </w:pPr>
            <w:r>
              <w:rPr>
                <w:rFonts w:ascii="Times New Roman" w:hAnsi="Times New Roman" w:eastAsia="宋体"/>
                <w:b w:val="0"/>
                <w:sz w:val="18"/>
              </w:rPr>
              <w:t>后端 B</w:t>
            </w:r>
          </w:p>
        </w:tc>
        <w:tc>
          <w:tcPr>
            <w:tcW w:type="dxa" w:w="7370"/>
            <w:vAlign w:val="center"/>
            <w:tcMar>
              <w:top w:w="80" w:type="dxa"/>
              <w:bottom w:w="80" w:type="dxa"/>
              <w:start w:w="120" w:type="dxa"/>
              <w:end w:w="120" w:type="dxa"/>
            </w:tcMar>
          </w:tcPr>
          <w:p>
            <w:pPr>
              <w:spacing w:after="0"/>
            </w:pPr>
            <w:r>
              <w:rPr>
                <w:rFonts w:ascii="Times New Roman" w:hAnsi="Times New Roman" w:eastAsia="宋体"/>
                <w:b w:val="0"/>
                <w:sz w:val="18"/>
              </w:rPr>
              <w:t>detection_service.py、training_service.py、video/camera 检测、minio_client.py、模型接入。</w:t>
            </w:r>
          </w:p>
        </w:tc>
      </w:tr>
      <w:tr>
        <w:tc>
          <w:tcPr>
            <w:tcW w:type="dxa" w:w="1701"/>
            <w:vAlign w:val="center"/>
            <w:tcMar>
              <w:top w:w="80" w:type="dxa"/>
              <w:bottom w:w="80" w:type="dxa"/>
              <w:start w:w="120" w:type="dxa"/>
              <w:end w:w="120" w:type="dxa"/>
            </w:tcMar>
          </w:tcPr>
          <w:p>
            <w:pPr>
              <w:spacing w:after="0"/>
            </w:pPr>
            <w:r>
              <w:rPr>
                <w:rFonts w:ascii="Times New Roman" w:hAnsi="Times New Roman" w:eastAsia="宋体"/>
                <w:b w:val="0"/>
                <w:sz w:val="18"/>
              </w:rPr>
              <w:t>前端 A</w:t>
            </w:r>
          </w:p>
        </w:tc>
        <w:tc>
          <w:tcPr>
            <w:tcW w:type="dxa" w:w="7370"/>
            <w:vAlign w:val="center"/>
            <w:tcMar>
              <w:top w:w="80" w:type="dxa"/>
              <w:bottom w:w="80" w:type="dxa"/>
              <w:start w:w="120" w:type="dxa"/>
              <w:end w:w="120" w:type="dxa"/>
            </w:tcMar>
          </w:tcPr>
          <w:p>
            <w:pPr>
              <w:spacing w:after="0"/>
            </w:pPr>
            <w:r>
              <w:rPr>
                <w:rFonts w:ascii="Times New Roman" w:hAnsi="Times New Roman" w:eastAsia="宋体"/>
                <w:b w:val="0"/>
                <w:sz w:val="18"/>
              </w:rPr>
              <w:t>AgentPage.vue、ChatInterface.vue、ToolCallDisplay.vue、stream.js、markdown.js。</w:t>
            </w:r>
          </w:p>
        </w:tc>
      </w:tr>
      <w:tr>
        <w:tc>
          <w:tcPr>
            <w:tcW w:type="dxa" w:w="1701"/>
            <w:vAlign w:val="center"/>
            <w:tcMar>
              <w:top w:w="80" w:type="dxa"/>
              <w:bottom w:w="80" w:type="dxa"/>
              <w:start w:w="120" w:type="dxa"/>
              <w:end w:w="120" w:type="dxa"/>
            </w:tcMar>
          </w:tcPr>
          <w:p>
            <w:pPr>
              <w:spacing w:after="0"/>
            </w:pPr>
            <w:r>
              <w:rPr>
                <w:rFonts w:ascii="Times New Roman" w:hAnsi="Times New Roman" w:eastAsia="宋体"/>
                <w:b w:val="0"/>
                <w:sz w:val="18"/>
              </w:rPr>
              <w:t>前端 B</w:t>
            </w:r>
          </w:p>
        </w:tc>
        <w:tc>
          <w:tcPr>
            <w:tcW w:type="dxa" w:w="7370"/>
            <w:vAlign w:val="center"/>
            <w:tcMar>
              <w:top w:w="80" w:type="dxa"/>
              <w:bottom w:w="80" w:type="dxa"/>
              <w:start w:w="120" w:type="dxa"/>
              <w:end w:w="120" w:type="dxa"/>
            </w:tcMar>
          </w:tcPr>
          <w:p>
            <w:pPr>
              <w:spacing w:after="0"/>
            </w:pPr>
            <w:r>
              <w:rPr>
                <w:rFonts w:ascii="Times New Roman" w:hAnsi="Times New Roman" w:eastAsia="宋体"/>
                <w:b w:val="0"/>
                <w:sz w:val="18"/>
              </w:rPr>
              <w:t>DetectionPage.vue、TrainingPage.vue、DashboardPage.vue、ModelPage.vue、ECharts 图表。</w:t>
            </w:r>
          </w:p>
        </w:tc>
      </w:tr>
      <w:tr>
        <w:tc>
          <w:tcPr>
            <w:tcW w:type="dxa" w:w="1701"/>
            <w:vAlign w:val="center"/>
            <w:tcMar>
              <w:top w:w="80" w:type="dxa"/>
              <w:bottom w:w="80" w:type="dxa"/>
              <w:start w:w="120" w:type="dxa"/>
              <w:end w:w="120" w:type="dxa"/>
            </w:tcMar>
          </w:tcPr>
          <w:p>
            <w:pPr>
              <w:spacing w:after="0"/>
            </w:pPr>
            <w:r>
              <w:rPr>
                <w:rFonts w:ascii="Times New Roman" w:hAnsi="Times New Roman" w:eastAsia="宋体"/>
                <w:b w:val="0"/>
                <w:sz w:val="18"/>
              </w:rPr>
              <w:t>模型/数据</w:t>
            </w:r>
          </w:p>
        </w:tc>
        <w:tc>
          <w:tcPr>
            <w:tcW w:type="dxa" w:w="7370"/>
            <w:vAlign w:val="center"/>
            <w:tcMar>
              <w:top w:w="80" w:type="dxa"/>
              <w:bottom w:w="80" w:type="dxa"/>
              <w:start w:w="120" w:type="dxa"/>
              <w:end w:w="120" w:type="dxa"/>
            </w:tcMar>
          </w:tcPr>
          <w:p>
            <w:pPr>
              <w:spacing w:after="0"/>
            </w:pPr>
            <w:r>
              <w:rPr>
                <w:rFonts w:ascii="Times New Roman" w:hAnsi="Times New Roman" w:eastAsia="宋体"/>
                <w:b w:val="0"/>
                <w:sz w:val="18"/>
              </w:rPr>
              <w:t>data.yaml、转换脚本、best.pt、results.csv、模型评估报告。</w:t>
            </w:r>
          </w:p>
        </w:tc>
      </w:tr>
      <w:tr>
        <w:tc>
          <w:tcPr>
            <w:tcW w:type="dxa" w:w="1701"/>
            <w:vAlign w:val="center"/>
            <w:tcMar>
              <w:top w:w="80" w:type="dxa"/>
              <w:bottom w:w="80" w:type="dxa"/>
              <w:start w:w="120" w:type="dxa"/>
              <w:end w:w="120" w:type="dxa"/>
            </w:tcMar>
          </w:tcPr>
          <w:p>
            <w:pPr>
              <w:spacing w:after="0"/>
            </w:pPr>
            <w:r>
              <w:rPr>
                <w:rFonts w:ascii="Times New Roman" w:hAnsi="Times New Roman" w:eastAsia="宋体"/>
                <w:b w:val="0"/>
                <w:sz w:val="18"/>
              </w:rPr>
              <w:t>文档/测试</w:t>
            </w:r>
          </w:p>
        </w:tc>
        <w:tc>
          <w:tcPr>
            <w:tcW w:type="dxa" w:w="7370"/>
            <w:vAlign w:val="center"/>
            <w:tcMar>
              <w:top w:w="80" w:type="dxa"/>
              <w:bottom w:w="80" w:type="dxa"/>
              <w:start w:w="120" w:type="dxa"/>
              <w:end w:w="120" w:type="dxa"/>
            </w:tcMar>
          </w:tcPr>
          <w:p>
            <w:pPr>
              <w:spacing w:after="0"/>
            </w:pPr>
            <w:r>
              <w:rPr>
                <w:rFonts w:ascii="Times New Roman" w:hAnsi="Times New Roman" w:eastAsia="宋体"/>
                <w:b w:val="0"/>
                <w:sz w:val="18"/>
              </w:rPr>
              <w:t>需求与设计文档、测试报告、部署说明、答辩 PPT、运行录屏。</w:t>
            </w:r>
          </w:p>
        </w:tc>
      </w:tr>
    </w:tbl>
    <w:p/>
    <w:p>
      <w:pPr>
        <w:pStyle w:val="Heading1"/>
        <w:spacing w:before="200" w:after="100"/>
      </w:pPr>
      <w:r>
        <w:rPr>
          <w:rFonts w:ascii="Times New Roman" w:hAnsi="Times New Roman" w:eastAsia="宋体"/>
          <w:b/>
          <w:color w:val="000000"/>
          <w:sz w:val="32"/>
        </w:rPr>
        <w:t>7. 风险分析与应对措施</w:t>
      </w:r>
    </w:p>
    <w:p>
      <w:pPr>
        <w:spacing w:line="283" w:lineRule="auto" w:after="100"/>
      </w:pPr>
      <w:r>
        <w:rPr>
          <w:rFonts w:ascii="Times New Roman" w:hAnsi="Times New Roman" w:eastAsia="宋体"/>
          <w:b w:val="0"/>
          <w:sz w:val="21"/>
        </w:rPr>
        <w:t>本项目最大的风险是范围过大。参考实训计划中包含 5 种检测模式、智能体对话、模型训练、数据看板和 RAG 知识库，如果所有功能同时追求完整，很容易造成主链路无法稳定演示。因此项目必须采用 P0/P1/P2 分级策略，先保证单图检测、历史保存、模型训练报告和 Agent 触发检测，再补齐批量、看板、RAG，最后实现视频、摄像头和多模型切换的最小版本。</w:t>
      </w:r>
    </w:p>
    <w:p>
      <w:pPr>
        <w:spacing w:line="283" w:lineRule="auto" w:after="100"/>
      </w:pPr>
      <w:r>
        <w:rPr>
          <w:rFonts w:ascii="Times New Roman" w:hAnsi="Times New Roman" w:eastAsia="宋体"/>
          <w:b w:val="0"/>
          <w:sz w:val="21"/>
        </w:rPr>
        <w:t>数据风险主要来自类别不均衡和标注质量不一致。应优先使用公开数据集，并在训练前做可视化检查；如果六类缺陷效果不稳定，可以压缩到四类。训练风险主要来自算力不足和时间不足，因此建议使用 YOLOv11n、降低 epoch、准备预训练结果。</w:t>
      </w:r>
    </w:p>
    <w:p>
      <w:pPr>
        <w:spacing w:line="283" w:lineRule="auto" w:after="100"/>
      </w:pPr>
      <w:r>
        <w:rPr>
          <w:rFonts w:ascii="Times New Roman" w:hAnsi="Times New Roman" w:eastAsia="宋体"/>
          <w:b w:val="0"/>
          <w:sz w:val="21"/>
        </w:rPr>
        <w:t>联调风险来自接口不一致。Day 1-2 应确定检测接口、训练状态接口和 Agent 对话接口的 JSON 格式，并通过 Swagger 或 Apifox 共享。Agent 风险来自路由错误和幻觉，应要求检测和统计回答必须基于工具结果，知识问答必须基于 RAG 检索结果。演示风险通过准备固定 demo 数据、录屏、截图和备用模型来降低。</w:t>
      </w:r>
    </w:p>
    <w:p>
      <w:pPr>
        <w:pStyle w:val="Heading1"/>
        <w:spacing w:before="200" w:after="100"/>
      </w:pPr>
      <w:r>
        <w:rPr>
          <w:rFonts w:ascii="Times New Roman" w:hAnsi="Times New Roman" w:eastAsia="宋体"/>
          <w:b/>
          <w:color w:val="000000"/>
          <w:sz w:val="32"/>
        </w:rPr>
        <w:t>8. 需求-设计-测试追踪矩阵</w:t>
      </w:r>
    </w:p>
    <w:p>
      <w:pPr>
        <w:spacing w:line="283" w:lineRule="auto" w:after="100"/>
      </w:pPr>
      <w:r>
        <w:rPr>
          <w:rFonts w:ascii="Times New Roman" w:hAnsi="Times New Roman" w:eastAsia="宋体"/>
          <w:b w:val="0"/>
          <w:sz w:val="21"/>
        </w:rPr>
        <w:t>追踪矩阵用于证明核心需求都有对应设计和测试办法。为避免文档表格过多，本节只保留关键需求。</w:t>
      </w:r>
    </w:p>
    <w:tbl>
      <w:tblPr>
        <w:tblStyle w:val="TableGrid"/>
        <w:tblW w:type="auto" w:w="0"/>
        <w:jc w:val="center"/>
        <w:tblLayout w:type="fixed"/>
        <w:tblLook w:firstColumn="1" w:firstRow="1" w:lastColumn="0" w:lastRow="0" w:noHBand="0" w:noVBand="1" w:val="04A0"/>
      </w:tblPr>
      <w:tblGrid>
        <w:gridCol w:w="3009"/>
        <w:gridCol w:w="3009"/>
        <w:gridCol w:w="3009"/>
      </w:tblGrid>
      <w:tr>
        <w:tc>
          <w:tcPr>
            <w:tcW w:type="dxa" w:w="2268"/>
            <w:shd w:fill="F2F2F2"/>
            <w:vAlign w:val="center"/>
            <w:tcMar>
              <w:top w:w="80" w:type="dxa"/>
              <w:bottom w:w="80" w:type="dxa"/>
              <w:start w:w="120" w:type="dxa"/>
              <w:end w:w="120" w:type="dxa"/>
            </w:tcMar>
          </w:tcPr>
          <w:p>
            <w:pPr>
              <w:jc w:val="center"/>
            </w:pPr>
            <w:r>
              <w:rPr>
                <w:rFonts w:ascii="Times New Roman" w:hAnsi="Times New Roman" w:eastAsia="宋体"/>
                <w:b/>
                <w:sz w:val="19"/>
              </w:rPr>
              <w:t>需求</w:t>
            </w:r>
          </w:p>
        </w:tc>
        <w:tc>
          <w:tcPr>
            <w:tcW w:type="dxa" w:w="3402"/>
            <w:shd w:fill="F2F2F2"/>
            <w:vAlign w:val="center"/>
            <w:tcMar>
              <w:top w:w="80" w:type="dxa"/>
              <w:bottom w:w="80" w:type="dxa"/>
              <w:start w:w="120" w:type="dxa"/>
              <w:end w:w="120" w:type="dxa"/>
            </w:tcMar>
          </w:tcPr>
          <w:p>
            <w:pPr>
              <w:jc w:val="center"/>
            </w:pPr>
            <w:r>
              <w:rPr>
                <w:rFonts w:ascii="Times New Roman" w:hAnsi="Times New Roman" w:eastAsia="宋体"/>
                <w:b/>
                <w:sz w:val="19"/>
              </w:rPr>
              <w:t>设计支撑</w:t>
            </w:r>
          </w:p>
        </w:tc>
        <w:tc>
          <w:tcPr>
            <w:tcW w:type="dxa" w:w="3402"/>
            <w:shd w:fill="F2F2F2"/>
            <w:vAlign w:val="center"/>
            <w:tcMar>
              <w:top w:w="80" w:type="dxa"/>
              <w:bottom w:w="80" w:type="dxa"/>
              <w:start w:w="120" w:type="dxa"/>
              <w:end w:w="120" w:type="dxa"/>
            </w:tcMar>
          </w:tcPr>
          <w:p>
            <w:pPr>
              <w:jc w:val="center"/>
            </w:pPr>
            <w:r>
              <w:rPr>
                <w:rFonts w:ascii="Times New Roman" w:hAnsi="Times New Roman" w:eastAsia="宋体"/>
                <w:b/>
                <w:sz w:val="19"/>
              </w:rPr>
              <w:t>测试方式</w:t>
            </w:r>
          </w:p>
        </w:tc>
      </w:tr>
      <w:tr>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FR-101 单图检测</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DetectionService、/api/detection/single、DetectionPage</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上传测试图片，检查 bbox、类别、标注图和历史记录。</w:t>
            </w:r>
          </w:p>
        </w:tc>
      </w:tr>
      <w:tr>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FR-104 视频检测</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video API、异步任务、关键帧结果存储</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上传短视频，检查任务进度和关键帧检测结果。</w:t>
            </w:r>
          </w:p>
        </w:tc>
      </w:tr>
      <w:tr>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FR-105 摄像头实时检测</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WebSocket、detect_frame、前端摄像头模式</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打开摄像头，检查实时框返回和页面叠加。</w:t>
            </w:r>
          </w:p>
        </w:tc>
      </w:tr>
      <w:tr>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FR-106 多模型切换</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ModelService、model_versions、模型下拉框</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同图切换模型检测，检查 model_version 保存。</w:t>
            </w:r>
          </w:p>
        </w:tc>
      </w:tr>
      <w:tr>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FR-203 模型训练</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TrainingService、data.yaml、YOLOv11n</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启动训练，生成 best.pt、results.csv 和评估报告。</w:t>
            </w:r>
          </w:p>
        </w:tc>
      </w:tr>
      <w:tr>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FR-301 自然语言检测</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SupervisorAgent、DetectionAgent、SSE</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输入自然语言，观察工具调用和最终回答。</w:t>
            </w:r>
          </w:p>
        </w:tc>
      </w:tr>
      <w:tr>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FR-303 RAG 知识库</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document_loader、Pgvector、QAAgent</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导入缺陷文档后提问，检查检索依据和回答。</w:t>
            </w:r>
          </w:p>
        </w:tc>
      </w:tr>
      <w:tr>
        <w:tc>
          <w:tcPr>
            <w:tcW w:type="dxa" w:w="2268"/>
            <w:vAlign w:val="center"/>
            <w:tcMar>
              <w:top w:w="80" w:type="dxa"/>
              <w:bottom w:w="80" w:type="dxa"/>
              <w:start w:w="120" w:type="dxa"/>
              <w:end w:w="120" w:type="dxa"/>
            </w:tcMar>
          </w:tcPr>
          <w:p>
            <w:pPr>
              <w:spacing w:after="0"/>
            </w:pPr>
            <w:r>
              <w:rPr>
                <w:rFonts w:ascii="Times New Roman" w:hAnsi="Times New Roman" w:eastAsia="宋体"/>
                <w:b w:val="0"/>
                <w:sz w:val="18"/>
              </w:rPr>
              <w:t>NFR-008 可测试性</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tests 目录、pytest、接口测试脚本</w:t>
            </w:r>
          </w:p>
        </w:tc>
        <w:tc>
          <w:tcPr>
            <w:tcW w:type="dxa" w:w="3402"/>
            <w:vAlign w:val="center"/>
            <w:tcMar>
              <w:top w:w="80" w:type="dxa"/>
              <w:bottom w:w="80" w:type="dxa"/>
              <w:start w:w="120" w:type="dxa"/>
              <w:end w:w="120" w:type="dxa"/>
            </w:tcMar>
          </w:tcPr>
          <w:p>
            <w:pPr>
              <w:spacing w:after="0"/>
            </w:pPr>
            <w:r>
              <w:rPr>
                <w:rFonts w:ascii="Times New Roman" w:hAnsi="Times New Roman" w:eastAsia="宋体"/>
                <w:b w:val="0"/>
                <w:sz w:val="18"/>
              </w:rPr>
              <w:t>运行测试并形成测试报告。</w:t>
            </w:r>
          </w:p>
        </w:tc>
      </w:tr>
    </w:tbl>
    <w:p/>
    <w:p>
      <w:pPr>
        <w:pStyle w:val="Heading1"/>
        <w:spacing w:before="200" w:after="100"/>
      </w:pPr>
      <w:r>
        <w:rPr>
          <w:rFonts w:ascii="Times New Roman" w:hAnsi="Times New Roman" w:eastAsia="宋体"/>
          <w:b/>
          <w:color w:val="000000"/>
          <w:sz w:val="32"/>
        </w:rPr>
        <w:t>9. 附录</w:t>
      </w:r>
    </w:p>
    <w:p>
      <w:pPr>
        <w:pStyle w:val="Heading2"/>
        <w:spacing w:before="120" w:after="100"/>
      </w:pPr>
      <w:r>
        <w:rPr>
          <w:rFonts w:ascii="Times New Roman" w:hAnsi="Times New Roman" w:eastAsia="宋体"/>
          <w:b/>
          <w:color w:val="000000"/>
          <w:sz w:val="26"/>
        </w:rPr>
        <w:t>9.1 缺陷类别建议</w:t>
      </w:r>
    </w:p>
    <w:p>
      <w:pPr>
        <w:spacing w:line="283" w:lineRule="auto" w:after="100"/>
      </w:pPr>
      <w:r>
        <w:rPr>
          <w:rFonts w:ascii="Times New Roman" w:hAnsi="Times New Roman" w:eastAsia="宋体"/>
          <w:b w:val="0"/>
          <w:sz w:val="21"/>
        </w:rPr>
        <w:t>若使用 NEU-DET，可考虑 crazing、inclusion、patches、pitted_surface、rolled-in_scale、scratches 六类；若时间紧，建议压缩为划痕、裂纹/龟裂、夹杂、麻点/凹坑四类。类别压缩并不是降低质量，而是为了在 15 天周期内保证数据、训练、推理、展示和答辩链路稳定。</w:t>
      </w:r>
    </w:p>
    <w:p>
      <w:pPr>
        <w:pStyle w:val="Heading2"/>
        <w:spacing w:before="120" w:after="100"/>
      </w:pPr>
      <w:r>
        <w:rPr>
          <w:rFonts w:ascii="Times New Roman" w:hAnsi="Times New Roman" w:eastAsia="宋体"/>
          <w:b/>
          <w:color w:val="000000"/>
          <w:sz w:val="26"/>
        </w:rPr>
        <w:t>9.2 答辩演示主线</w:t>
      </w:r>
    </w:p>
    <w:p>
      <w:pPr>
        <w:spacing w:line="283" w:lineRule="auto" w:after="100"/>
      </w:pPr>
      <w:r>
        <w:rPr>
          <w:rFonts w:ascii="Times New Roman" w:hAnsi="Times New Roman" w:eastAsia="宋体"/>
          <w:b w:val="0"/>
          <w:sz w:val="21"/>
        </w:rPr>
        <w:t>推荐答辩演示主线为：登录系统 → 上传钢铁缺陷图片 → 选择模型和阈值 → YOLOv11 检测 → 查看标注图和缺陷列表 → 查询历史记录 → 查看数据看板 → 在 Agent 页面用自然语言总结检测结果 → 追问缺陷知识并展示 RAG 回答 → 展示训练指标、模型评估报告或多模型切换效果。</w:t>
      </w:r>
    </w:p>
    <w:p>
      <w:pPr>
        <w:pStyle w:val="Heading2"/>
        <w:spacing w:before="120" w:after="100"/>
      </w:pPr>
      <w:r>
        <w:rPr>
          <w:rFonts w:ascii="Times New Roman" w:hAnsi="Times New Roman" w:eastAsia="宋体"/>
          <w:b/>
          <w:color w:val="000000"/>
          <w:sz w:val="26"/>
        </w:rPr>
        <w:t>9.3 最低交付清单</w:t>
      </w:r>
    </w:p>
    <w:p>
      <w:pPr>
        <w:pStyle w:val="ListBullet"/>
        <w:spacing w:after="60"/>
      </w:pPr>
      <w:r>
        <w:rPr>
          <w:rFonts w:ascii="Times New Roman" w:hAnsi="Times New Roman" w:eastAsia="宋体"/>
          <w:b w:val="0"/>
          <w:sz w:val="21"/>
        </w:rPr>
        <w:t>源码：前端、后端、模型训练脚本、配置文件和 README。</w:t>
      </w:r>
    </w:p>
    <w:p>
      <w:pPr>
        <w:pStyle w:val="ListBullet"/>
        <w:spacing w:after="60"/>
      </w:pPr>
      <w:r>
        <w:rPr>
          <w:rFonts w:ascii="Times New Roman" w:hAnsi="Times New Roman" w:eastAsia="宋体"/>
          <w:b w:val="0"/>
          <w:sz w:val="21"/>
        </w:rPr>
        <w:t>模型与数据：data.yaml、best.pt、results.csv、模型评估报告和测试样例。</w:t>
      </w:r>
    </w:p>
    <w:p>
      <w:pPr>
        <w:pStyle w:val="ListBullet"/>
        <w:spacing w:after="60"/>
      </w:pPr>
      <w:r>
        <w:rPr>
          <w:rFonts w:ascii="Times New Roman" w:hAnsi="Times New Roman" w:eastAsia="宋体"/>
          <w:b w:val="0"/>
          <w:sz w:val="21"/>
        </w:rPr>
        <w:t>文档：需求与概要设计说明书、测试报告、部署说明、分工说明。</w:t>
      </w:r>
    </w:p>
    <w:p>
      <w:pPr>
        <w:pStyle w:val="ListBullet"/>
        <w:spacing w:after="60"/>
      </w:pPr>
      <w:r>
        <w:rPr>
          <w:rFonts w:ascii="Times New Roman" w:hAnsi="Times New Roman" w:eastAsia="宋体"/>
          <w:b w:val="0"/>
          <w:sz w:val="21"/>
        </w:rPr>
        <w:t>演示材料：3-5 分钟运行录屏、答辩 PPT、备用截图和备用模型。</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基于 YOLOv11 的钢铁表面缺陷检测智能体平台  需求分析与概要设计说明书</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宋体" w:hAnsi="宋体" w:eastAsia="宋体"/>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