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jc w:val="center"/>
      </w:pPr>
      <w:r>
        <w:rPr>
          <w:rFonts w:ascii="Arial" w:hAnsi="Arial"/>
          <w:b/>
          <w:color w:val="1F4E79"/>
          <w:sz w:val="28"/>
        </w:rPr>
        <w:t>SSDD AGENT PLATFORM</w:t>
      </w:r>
    </w:p>
    <w:p>
      <w:pPr>
        <w:spacing w:before="480"/>
        <w:jc w:val="center"/>
      </w:pPr>
      <w:r>
        <w:rPr>
          <w:rFonts w:ascii="黑体" w:hAnsi="黑体" w:eastAsia="黑体"/>
          <w:b/>
          <w:sz w:val="42"/>
        </w:rPr>
        <w:t>基于 YOLOv11 的钢铁表面缺陷检测智能体平台</w:t>
      </w:r>
    </w:p>
    <w:p>
      <w:pPr>
        <w:spacing w:before="360"/>
        <w:jc w:val="center"/>
      </w:pPr>
      <w:r>
        <w:rPr>
          <w:rFonts w:ascii="黑体" w:hAnsi="黑体" w:eastAsia="黑体"/>
          <w:b/>
          <w:color w:val="1F4E79"/>
          <w:sz w:val="56"/>
        </w:rPr>
        <w:t>模型推理与部署设计说明书</w:t>
      </w:r>
    </w:p>
    <w:p>
      <w:pPr>
        <w:spacing w:before="160"/>
        <w:jc w:val="center"/>
      </w:pPr>
      <w:r>
        <w:rPr>
          <w:rFonts w:ascii="Arial" w:hAnsi="Arial"/>
          <w:i/>
          <w:color w:val="5A5A5A"/>
          <w:sz w:val="24"/>
        </w:rPr>
        <w:t>Model Inference and Deployment Design Specification</w:t>
      </w:r>
    </w:p>
    <w:p>
      <w:pPr>
        <w:spacing w:after="14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/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  <w:shd w:fill="D9EAF7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line="276" w:lineRule="auto" w:after="0"/>
              <w:ind w:firstLine="0"/>
            </w:pPr>
            <w:r>
              <w:rPr>
                <w:rFonts w:ascii="宋体" w:hAnsi="宋体" w:eastAsia="宋体"/>
                <w:sz w:val="18"/>
              </w:rPr>
              <w:t>基于 YOLOv11 的钢铁表面缺陷检测智能体平台</w:t>
            </w:r>
          </w:p>
        </w:tc>
      </w:tr>
      <w:tr>
        <w:trPr/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  <w:shd w:fill="D9EAF7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负责模块</w:t>
            </w:r>
          </w:p>
        </w:tc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line="276" w:lineRule="auto" w:after="0"/>
              <w:ind w:firstLine="0"/>
            </w:pPr>
            <w:r>
              <w:rPr>
                <w:rFonts w:ascii="宋体" w:hAnsi="宋体" w:eastAsia="宋体"/>
                <w:sz w:val="18"/>
              </w:rPr>
              <w:t>后端 B：YOLO 推理、模型接入、MinIO 与部署协作</w:t>
            </w:r>
          </w:p>
        </w:tc>
      </w:tr>
      <w:tr>
        <w:trPr/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  <w:shd w:fill="D9EAF7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文档版本</w:t>
            </w:r>
          </w:p>
        </w:tc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line="276" w:lineRule="auto" w:after="0"/>
              <w:ind w:firstLine="0"/>
            </w:pPr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  <w:tr>
        <w:trPr/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  <w:shd w:fill="D9EAF7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编制日期</w:t>
            </w:r>
          </w:p>
        </w:tc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line="276" w:lineRule="auto" w:after="0"/>
              <w:ind w:firstLine="0"/>
            </w:pPr>
            <w:r>
              <w:rPr>
                <w:rFonts w:ascii="宋体" w:hAnsi="宋体" w:eastAsia="宋体"/>
                <w:sz w:val="18"/>
              </w:rPr>
              <w:t>2026年07月13日</w:t>
            </w:r>
          </w:p>
        </w:tc>
      </w:tr>
      <w:tr>
        <w:trPr/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  <w:shd w:fill="D9EAF7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文档状态</w:t>
            </w:r>
          </w:p>
        </w:tc>
        <w:tc>
          <w:tcPr>
            <w:tcW w:type="dxa" w:w="4759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line="276" w:lineRule="auto" w:after="0"/>
              <w:ind w:firstLine="0"/>
            </w:pPr>
            <w:r>
              <w:rPr>
                <w:rFonts w:ascii="宋体" w:hAnsi="宋体" w:eastAsia="宋体"/>
                <w:sz w:val="18"/>
              </w:rPr>
              <w:t>设计基线（依据当前仓库实现状态编制）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文档说明</w:t>
      </w:r>
    </w:p>
    <w:p>
      <w:r>
        <w:t>本文档依据《项目规范.md》、现有需求与概要设计说明书、数据库设计说明书及当前后端代码编制，用于约束后端 B 负责的 YOLOv11 模型推理、检测文件流转和部署方案。文档以简洁、可实现、可验收为原则，明确区分当前代码状态与目标设计，避免把尚未集成的能力描述为已完成。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41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变更说明</w:t>
            </w:r>
          </w:p>
        </w:tc>
      </w:tr>
      <w:tr>
        <w:trPr/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2026-07-13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首次编制模型推理与部署设计基线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pPr>
        <w:spacing w:after="40"/>
        <w:ind w:firstLine="0"/>
      </w:pPr>
      <w:r>
        <w:t>1. 引言</w:t>
      </w:r>
    </w:p>
    <w:p>
      <w:pPr>
        <w:spacing w:after="40"/>
        <w:ind w:firstLine="0"/>
      </w:pPr>
      <w:r>
        <w:t>2. 设计约束与现状</w:t>
      </w:r>
    </w:p>
    <w:p>
      <w:pPr>
        <w:spacing w:after="40"/>
        <w:ind w:firstLine="0"/>
      </w:pPr>
      <w:r>
        <w:t>3. 推理服务设计</w:t>
      </w:r>
    </w:p>
    <w:p>
      <w:pPr>
        <w:spacing w:after="40"/>
        <w:ind w:firstLine="0"/>
      </w:pPr>
      <w:r>
        <w:t>4. 接口与数据设计</w:t>
      </w:r>
    </w:p>
    <w:p>
      <w:pPr>
        <w:spacing w:after="40"/>
        <w:ind w:firstLine="0"/>
      </w:pPr>
      <w:r>
        <w:t>5. 模型及文件管理</w:t>
      </w:r>
    </w:p>
    <w:p>
      <w:pPr>
        <w:spacing w:after="40"/>
        <w:ind w:firstLine="0"/>
      </w:pPr>
      <w:r>
        <w:t>6. 部署设计</w:t>
      </w:r>
    </w:p>
    <w:p>
      <w:pPr>
        <w:spacing w:after="40"/>
        <w:ind w:firstLine="0"/>
      </w:pPr>
      <w:r>
        <w:t>7. 异常、安全与可观测性</w:t>
      </w:r>
    </w:p>
    <w:p>
      <w:pPr>
        <w:spacing w:after="40"/>
        <w:ind w:firstLine="0"/>
      </w:pPr>
      <w:r>
        <w:t>8. 测试与验收</w:t>
      </w:r>
    </w:p>
    <w:p>
      <w:pPr>
        <w:spacing w:after="40"/>
        <w:ind w:firstLine="0"/>
      </w:pPr>
      <w:r>
        <w:t>9. 实施边界与交付清单</w:t>
      </w:r>
    </w:p>
    <w:p>
      <w:r>
        <w:br w:type="page"/>
      </w:r>
    </w:p>
    <w:p>
      <w:pPr>
        <w:pStyle w:val="Heading1"/>
        <w:keepNext/>
      </w:pPr>
      <w:r>
        <w:t>1. 引言</w:t>
      </w:r>
    </w:p>
    <w:p>
      <w:pPr>
        <w:pStyle w:val="Heading2"/>
        <w:keepNext/>
      </w:pPr>
      <w:r>
        <w:t>1.1 文档目的</w:t>
      </w:r>
    </w:p>
    <w:p>
      <w:r>
        <w:t>本文档给出钢铁表面缺陷检测模型从权重选择、加载缓存、图像推理、结果后处理、对象存储、历史持久化到运行部署的设计。主要读者为后端 B、后端 A、前端 B及文档/测试/部署负责人，可用于接口联调、代码评审、测试设计和答辩说明。</w:t>
      </w:r>
    </w:p>
    <w:p>
      <w:pPr>
        <w:pStyle w:val="Heading2"/>
        <w:keepNext/>
      </w:pPr>
      <w:r>
        <w:t>1.2 范围</w:t>
      </w:r>
    </w:p>
    <w:p>
      <w:pPr>
        <w:pStyle w:val="ListBullet"/>
      </w:pPr>
      <w:r>
        <w:t>本期核心范围：YOLOv11 单图与批量推理、模型版本选择、标注图生成、MinIO 存储、检测历史协作。</w:t>
      </w:r>
    </w:p>
    <w:p>
      <w:pPr>
        <w:pStyle w:val="ListBullet"/>
      </w:pPr>
      <w:r>
        <w:t>部署范围：FastAPI 推理进程与 PostgreSQL、Redis、MinIO 基础设施的本地或容器化部署。</w:t>
      </w:r>
    </w:p>
    <w:p>
      <w:pPr>
        <w:pStyle w:val="ListBullet"/>
      </w:pPr>
      <w:r>
        <w:t>后续范围：视频任务与摄像头帧检测，必须在单图链路稳定并完成基础性能测试后实施。</w:t>
      </w:r>
    </w:p>
    <w:p>
      <w:pPr>
        <w:pStyle w:val="ListBullet"/>
      </w:pPr>
      <w:r>
        <w:t>不包含：工业相机驱动、PLC 接入、分布式推理集群和工业级硬实时保证。</w:t>
      </w:r>
    </w:p>
    <w:p>
      <w:pPr>
        <w:pStyle w:val="Heading2"/>
        <w:keepNext/>
      </w:pPr>
      <w:r>
        <w:t>1.3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6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SSDD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Steel Surface Defect Detection，钢铁表面缺陷检测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YOLOv11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文档展示名称；代码内部模型名统一为 yolo11n/yolo11s 等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NMS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非极大值抑制，通过 IoU 阈值去除重复框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bbox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边界框坐标，统一为 [x1, y1, x2, y2]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保存原图、标注图及可选模型权重的对象存储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设计约束与现状</w:t>
      </w:r>
    </w:p>
    <w:p>
      <w:pPr>
        <w:pStyle w:val="Heading2"/>
        <w:keepNext/>
      </w:pPr>
      <w:r>
        <w:t>2.1 项目约束</w:t>
      </w:r>
    </w:p>
    <w:p>
      <w:pPr>
        <w:pStyle w:val="ListBullet"/>
      </w:pPr>
      <w:r>
        <w:t>接口统一以 /api 开头，使用 Authorization: Bearer &lt;token&gt; 鉴权。</w:t>
      </w:r>
    </w:p>
    <w:p>
      <w:pPr>
        <w:pStyle w:val="ListBullet"/>
      </w:pPr>
      <w:r>
        <w:t>Route 只负责鉴权、参数校验和 HTTP 响应；推理流程进入 DetectionService；数据库写入通过 HistoryService 协作完成。</w:t>
      </w:r>
    </w:p>
    <w:p>
      <w:pPr>
        <w:pStyle w:val="ListBullet"/>
      </w:pPr>
      <w:r>
        <w:t>场景标识统一为 steel_surface_defect；MinIO 桶统一为 ssdd-images。</w:t>
      </w:r>
    </w:p>
    <w:p>
      <w:pPr>
        <w:pStyle w:val="ListBullet"/>
      </w:pPr>
      <w:r>
        <w:t>模型文件使用 yolo11n.pt、ssdd_yolo11n_v1.pt 等可追踪名称，禁止 final.pt、new.pt。</w:t>
      </w:r>
    </w:p>
    <w:p>
      <w:pPr>
        <w:pStyle w:val="ListBullet"/>
      </w:pPr>
      <w:r>
        <w:t>缺陷英文类别使用 snake_case，中文类别只用于展示；类别 ID 和映射由模型/数据负责人冻结。</w:t>
      </w:r>
    </w:p>
    <w:p>
      <w:pPr>
        <w:pStyle w:val="Heading2"/>
        <w:keepNext/>
      </w:pPr>
      <w:r>
        <w:t>2.2 当前仓库状态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58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36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本设计要求</w:t>
            </w:r>
          </w:p>
        </w:tc>
      </w:tr>
      <w:tr>
        <w:trPr/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检测路由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single、batch 路由已存在，当前返回 HTTP 501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接入 DetectionService 后改为真实响应</w:t>
            </w:r>
          </w:p>
        </w:tc>
      </w:tr>
      <w:tr>
        <w:trPr/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推理服务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尚无 detection_service.py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新增服务并保持 API/Service 分层</w:t>
            </w:r>
          </w:p>
        </w:tc>
      </w:tr>
      <w:tr>
        <w:trPr/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检测配置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conf=0.25、IoU=0.45、imgsz=640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作为默认值，可由合法请求覆盖</w:t>
            </w:r>
          </w:p>
        </w:tc>
      </w:tr>
      <w:tr>
        <w:trPr/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detection_tasks/results 表及 Schema 已存在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通过后端 A 的 HistoryService 写入</w:t>
            </w:r>
          </w:p>
        </w:tc>
      </w:tr>
      <w:tr>
        <w:trPr/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对象存储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MinIOClient 已支持字节上传和预签名 URL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统一对象命名并处理上传失败</w:t>
            </w:r>
          </w:p>
        </w:tc>
      </w:tr>
      <w:tr>
        <w:trPr/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容器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Compose 当前仅含 PostgreSQL、Redis、MinIO、可选 Ollama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应用镜像与 GPU 部署属于待补全项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推理服务设计</w:t>
      </w:r>
    </w:p>
    <w:p>
      <w:pPr>
        <w:pStyle w:val="Heading2"/>
        <w:keepNext/>
      </w:pPr>
      <w:r>
        <w:t>3.1 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9"/>
      </w:tblGrid>
      <w:tr>
        <w:trPr/>
        <w:tc>
          <w:tcPr>
            <w:tcW w:type="dxa" w:w="9519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Frontend / Agent Tool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    |  multipart/form-data + JWT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    v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Detection API -&gt; DetectionService -&gt; YOLOv11 / model cache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                     |              |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                     |              +-&gt; structured boxes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                     +-&gt; MinIO (original / annotated)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                     +-&gt; HistoryService -&gt; PostgreSQL</w:t>
            </w:r>
          </w:p>
        </w:tc>
      </w:tr>
    </w:tbl>
    <w:p>
      <w:pPr>
        <w:spacing w:after="0"/>
      </w:pPr>
    </w:p>
    <w:p>
      <w:r>
        <w:t>DetectionService 是推理主流程的唯一入口。服务负责模型解析与缓存、图像解码、YOLO 调用、类别映射、标注图编码和结果组装；API 层不持有模型实例，不直接操作 SQLAlchemy；MinIO 与数据库异常在服务层转换为明确业务错误。</w:t>
      </w:r>
    </w:p>
    <w:p>
      <w:pPr>
        <w:pStyle w:val="Heading2"/>
        <w:keepNext/>
      </w:pPr>
      <w:r>
        <w:t>3.2 单图推理流程</w:t>
      </w:r>
    </w:p>
    <w:p>
      <w:pPr>
        <w:pStyle w:val="ListNumber"/>
      </w:pPr>
      <w:r>
        <w:t>鉴权并校验 model_id、conf_threshold、iou_threshold 与上传文件。仅接受约定图片 MIME 类型，并限制文件大小和像素尺寸。</w:t>
      </w:r>
    </w:p>
    <w:p>
      <w:pPr>
        <w:pStyle w:val="ListNumber"/>
      </w:pPr>
      <w:r>
        <w:t>查询 model_versions 与 detection_scenes，确认模型状态为 active、场景为 steel_surface_defect，权重路径可读。</w:t>
      </w:r>
    </w:p>
    <w:p>
      <w:pPr>
        <w:pStyle w:val="ListNumber"/>
      </w:pPr>
      <w:r>
        <w:t>创建 processing 状态的 detection_task，读取图像字节并完成安全解码；记录宽高。</w:t>
      </w:r>
    </w:p>
    <w:p>
      <w:pPr>
        <w:pStyle w:val="ListNumber"/>
      </w:pPr>
      <w:r>
        <w:t>从模型缓存获取 YOLO 实例。首次使用时加载权重；同一模型的并发首次加载使用锁，避免重复占用内存。</w:t>
      </w:r>
    </w:p>
    <w:p>
      <w:pPr>
        <w:pStyle w:val="ListNumber"/>
      </w:pPr>
      <w:r>
        <w:t>执行 model.predict(source=image, conf=conf, iou=iou, imgsz=640)，记录纯推理耗时。</w:t>
      </w:r>
    </w:p>
    <w:p>
      <w:pPr>
        <w:pStyle w:val="ListNumber"/>
      </w:pPr>
      <w:r>
        <w:t>将 class_id 映射为英文/中文类别，输出 confidence 与 [x1,y1,x2,y2]；无检测结果返回空数组，不视为异常。</w:t>
      </w:r>
    </w:p>
    <w:p>
      <w:pPr>
        <w:pStyle w:val="ListNumber"/>
      </w:pPr>
      <w:r>
        <w:t>生成标注图，将原图与标注图上传到 MinIO；通过 HistoryService 持久化任务及结果。</w:t>
      </w:r>
    </w:p>
    <w:p>
      <w:pPr>
        <w:pStyle w:val="ListNumber"/>
      </w:pPr>
      <w:r>
        <w:t>更新任务为 completed，返回任务、模型、URL、缺陷列表、类别汇总及耗时；任一不可恢复错误更新为 failed。</w:t>
      </w:r>
    </w:p>
    <w:p>
      <w:pPr>
        <w:pStyle w:val="Heading2"/>
        <w:keepNext/>
      </w:pPr>
      <w:r>
        <w:t>3.3 批量推理</w:t>
      </w:r>
    </w:p>
    <w:p>
      <w:r>
        <w:t>批量接口复用单图内部处理函数，但一个批次对应一个 batch 类型任务。建议单批最多 20 张，顺序处理或使用受控并发，不得为每张图重复加载模型。单张失败时记录文件名和原因并继续处理其余文件；响应给出 success_count、failed_count 和逐图结果。</w:t>
      </w:r>
    </w:p>
    <w:p>
      <w:pPr>
        <w:pStyle w:val="Heading2"/>
        <w:keepNext/>
      </w:pPr>
      <w:r>
        <w:t>3.4 模型缓存与并发</w:t>
      </w:r>
    </w:p>
    <w:p>
      <w:pPr>
        <w:pStyle w:val="ListBullet"/>
      </w:pPr>
      <w:r>
        <w:t>缓存键使用 model_version_id，并记录权重路径和加载时间；模型版本变化时不复用旧实例。</w:t>
      </w:r>
    </w:p>
    <w:p>
      <w:pPr>
        <w:pStyle w:val="ListBullet"/>
      </w:pPr>
      <w:r>
        <w:t>设置有限缓存容量，切换大量模型时按最近最少使用策略释放；释放 GPU 模型后再清理 CUDA 缓存。</w:t>
      </w:r>
    </w:p>
    <w:p>
      <w:pPr>
        <w:pStyle w:val="ListBullet"/>
      </w:pPr>
      <w:r>
        <w:t>CPU 部署可配置多个 Web Worker，但每个 Worker 都会独立加载权重；GPU 部署默认单 Worker，避免显存重复占用。</w:t>
      </w:r>
    </w:p>
    <w:p>
      <w:pPr>
        <w:pStyle w:val="ListBullet"/>
      </w:pPr>
      <w:r>
        <w:t>推理阶段使用框架的 inference/no-grad 模式；禁止请求内修改共享模型配置或共享 data.yaml。</w:t>
      </w:r>
    </w:p>
    <w:p>
      <w:pPr>
        <w:pStyle w:val="Heading1"/>
        <w:keepNext/>
      </w:pPr>
      <w:r>
        <w:t>4. 接口与数据设计</w:t>
      </w:r>
    </w:p>
    <w:p>
      <w:pPr>
        <w:pStyle w:val="Heading2"/>
        <w:keepNext/>
      </w:pPr>
      <w:r>
        <w:t>4.1 单图检测接口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设计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方法与路径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POST /api/detection/single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Content-Type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multipart/form-data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file、model_id、conf_threshold=0.25、iou_threshold=0.45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鉴权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Bearer JWT，未登录返回 401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成功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200；返回 task_id、scene、model、URLs、detections、summary、inference_time_ms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失败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400 参数/文件错误；404 模型不存在；422 Schema 校验；500 推理或依赖服务错误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响应结构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9"/>
      </w:tblGrid>
      <w:tr>
        <w:trPr/>
        <w:tc>
          <w:tcPr>
            <w:tcW w:type="dxa" w:w="9519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{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"task_id": 128, "scene": "steel_surface_defect",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"model": {"id": 3, "name": "ssdd_yolo11n_v1", "version": "v1"},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"original_image_url": "&lt;presigned-url&gt;",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"annotated_image_url": "&lt;presigned-url&gt;",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"detections": [{"class_id": 5, "class_name": "scratches",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"class_name_cn": "划痕", "confidence": 0.91,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  "bbox": [42.1, 18.7, 210.4, 96.2]}],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"summary": {"total": 1, "classes": {"scratches": 1}},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 xml:space="preserve">  "inference_time_ms": 36.8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}</w:t>
            </w:r>
          </w:p>
        </w:tc>
      </w:tr>
    </w:tbl>
    <w:p>
      <w:pPr>
        <w:spacing w:after="0"/>
      </w:pPr>
    </w:p>
    <w:p>
      <w:r>
        <w:t>URL 为 MinIO 预签名地址，当前客户端默认有效期 7 天，不能视为永久资源标识。长期保存时数据库宜保存 object_name，由后端按需签发新 URL；若现阶段继续保存 URL，历史详情接口需要考虑过期重签。</w:t>
      </w:r>
    </w:p>
    <w:p>
      <w:pPr>
        <w:pStyle w:val="Heading2"/>
        <w:keepNext/>
      </w:pPr>
      <w:r>
        <w:t>4.3 数据持久化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5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写入规则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detection_tasks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user_id、scene_id、model_version_id、task_type、status、阈值、统计、耗时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一次 single/batch 请求一条任务；状态按 pending/processing/completed/failed 流转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detection_results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task_id、image_path、annotated_image_url、类别、confidence、bbox、尺寸、耗时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每个目标一条；无目标时任务仍 completed，但 results 为空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model_versions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scene_id、model_path、minio_url、version、status、is_default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推理前校验版本和文件；检测任务保存所用版本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模型及文件管理</w:t>
      </w:r>
    </w:p>
    <w:p>
      <w:pPr>
        <w:pStyle w:val="Heading2"/>
        <w:keepNext/>
      </w:pPr>
      <w:r>
        <w:t>5.1 权重管理</w:t>
      </w:r>
    </w:p>
    <w:p>
      <w:pPr>
        <w:pStyle w:val="ListBullet"/>
      </w:pPr>
      <w:r>
        <w:t>训练交付权重命名为 ssdd_yolo11n_v1.pt 等，并登记 model_versions；不得仅依赖目录中最新文件。</w:t>
      </w:r>
    </w:p>
    <w:p>
      <w:pPr>
        <w:pStyle w:val="ListBullet"/>
      </w:pPr>
      <w:r>
        <w:t>model_path 解析为项目根目录下的绝对路径；远端权重先从 MinIO 下载到只读模型缓存目录，再校验大小与可加载性。</w:t>
      </w:r>
    </w:p>
    <w:p>
      <w:pPr>
        <w:pStyle w:val="ListBullet"/>
      </w:pPr>
      <w:r>
        <w:t>部署镜像不默认打包大型权重。生产启动时通过只读卷挂载或受控下载获取，避免镜像频繁变化。</w:t>
      </w:r>
    </w:p>
    <w:p>
      <w:pPr>
        <w:pStyle w:val="ListBullet"/>
      </w:pPr>
      <w:r>
        <w:t>模型切换使用显式 model_id；未提供时才使用场景默认模型，默认模型切换由 SceneService 保证事务一致性。</w:t>
      </w:r>
    </w:p>
    <w:p>
      <w:pPr>
        <w:pStyle w:val="Heading2"/>
        <w:keepNext/>
      </w:pPr>
      <w:r>
        <w:t>5.2 MinIO 对象命名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51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建议 object_name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原图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detections/{user_id}/{task_id}/original/{uuid}.{ext}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保留原扩展名并使用 UUID 避免冲突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标注图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detections/{user_id}/{task_id}/annotated/{uuid}.jpg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统一 JPEG 或保留可配置格式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模型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models/{scene}/{version}/ssdd_yolo11n_v1.pt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按场景和版本组织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部署设计</w:t>
      </w:r>
    </w:p>
    <w:p>
      <w:pPr>
        <w:pStyle w:val="Heading2"/>
        <w:keepNext/>
      </w:pPr>
      <w:r>
        <w:t>6.1 运行拓扑</w:t>
      </w:r>
    </w:p>
    <w:p>
      <w:r>
        <w:t>开发环境采用宿主机运行 FastAPI、Docker Compose 启动 PostgreSQL/Redis/MinIO；完整交付环境在此基础上增加后端和前端应用容器。推理服务与 API 同进程部署可满足实训规模，后续若耗时任务增多，再将视频或批量任务拆到独立 Worker。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端口/依赖</w:t>
            </w:r>
          </w:p>
        </w:tc>
        <w:tc>
          <w:tcPr>
            <w:tcW w:type="dxa" w:w="527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部署要点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FastAPI + YOLO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8000；Python 3.10+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安装 ultralytics 8.3.0、OpenCV、Pillow；挂载模型缓存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PostgreSQL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5432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业务权威数据；启动后执行 Alembic upgrade head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Redis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6379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进度与短期状态；非单图主链路的权威存储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9000/9001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桶 ssdd-images；持久化数据卷；应用使用内部服务地址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前端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5173（开发）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通过统一 API 层访问后端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CPU 与 GPU 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11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453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配置原则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CPU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开发、功能验收、无 NVIDIA 环境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device=cpu；可降低并发；明确记录平均耗时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NVIDIA GPU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答辩演示、性能测试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宿主机安装匹配驱动和 NVIDIA Container Toolkit；容器申请 GPU；默认单 Worker</w:t>
            </w:r>
          </w:p>
        </w:tc>
      </w:tr>
    </w:tbl>
    <w:p>
      <w:pPr>
        <w:spacing w:after="0"/>
      </w:pPr>
    </w:p>
    <w:p>
      <w:r>
        <w:t>PyTorch/CUDA 版本必须依据目标机器单独锁定并验证，不在通用 requirements 中盲目指定 CUDA 构建。应用启动后应执行一次固定样例预热，但预热失败不得让健康检查伪装成功。</w:t>
      </w:r>
    </w:p>
    <w:p>
      <w:pPr>
        <w:pStyle w:val="Heading2"/>
        <w:keepNext/>
      </w:pPr>
      <w:r>
        <w:t>6.3 配置与启动顺序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示例/默认值</w:t>
            </w:r>
          </w:p>
        </w:tc>
        <w:tc>
          <w:tcPr>
            <w:tcW w:type="dxa" w:w="34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MINIO_ENDPOINT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minio:9000（容器）/ localhost:9000（本地）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API 地址，不是控制台端口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MINIO_BUCKET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ssdd-images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统一小写桶名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DB_HOST / REDIS_HOST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postgres / redis（容器）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必须与 Compose 服务名一致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MODEL_CACHE_DIR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/app/models（建议新增）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模型本地缓存和只读挂载目录</w:t>
            </w:r>
          </w:p>
        </w:tc>
      </w:tr>
      <w:tr>
        <w:trPr/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DETECTION_DEVICE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cpu 或 0（建议新增）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明确推理设备，不依赖隐式自动选择</w:t>
            </w:r>
          </w:p>
        </w:tc>
      </w:tr>
    </w:tbl>
    <w:p>
      <w:pPr>
        <w:spacing w:after="0"/>
      </w:pPr>
    </w:p>
    <w:p>
      <w:pPr>
        <w:pStyle w:val="ListNumber"/>
      </w:pPr>
      <w:r>
        <w:t>启动 PostgreSQL、Redis、MinIO 并等待健康检查通过。</w:t>
      </w:r>
    </w:p>
    <w:p>
      <w:pPr>
        <w:pStyle w:val="ListNumber"/>
      </w:pPr>
      <w:r>
        <w:t>执行 Alembic 迁移，确认 steel_surface_defect 场景和可用 model_versions 已登记。</w:t>
      </w:r>
    </w:p>
    <w:p>
      <w:pPr>
        <w:pStyle w:val="ListNumber"/>
      </w:pPr>
      <w:r>
        <w:t>启动后端，检查 /api/health 与详细依赖健康状态。</w:t>
      </w:r>
    </w:p>
    <w:p>
      <w:pPr>
        <w:pStyle w:val="ListNumber"/>
      </w:pPr>
      <w:r>
        <w:t>加载或预热默认模型，使用固定图片调用 /api/detection/single 完成冒烟测试。</w:t>
      </w:r>
    </w:p>
    <w:p>
      <w:pPr>
        <w:pStyle w:val="ListNumber"/>
      </w:pPr>
      <w:r>
        <w:t>启动前端并完成登录、检测、历史详情的端到端验证。</w:t>
      </w:r>
    </w:p>
    <w:p>
      <w:pPr>
        <w:pStyle w:val="Heading2"/>
        <w:keepNext/>
      </w:pPr>
      <w:r>
        <w:t>6.4 容器与数据持久化</w:t>
      </w:r>
    </w:p>
    <w:p>
      <w:pPr>
        <w:pStyle w:val="ListBullet"/>
      </w:pPr>
      <w:r>
        <w:t>后端镜像使用固定 Python 基础镜像和非 root 用户；依赖分层安装，代码变化不重复下载大型依赖。</w:t>
      </w:r>
    </w:p>
    <w:p>
      <w:pPr>
        <w:pStyle w:val="ListBullet"/>
      </w:pPr>
      <w:r>
        <w:t>PostgreSQL、Redis、MinIO 必须使用命名卷；不得在未确认时执行 docker compose down -v。</w:t>
      </w:r>
    </w:p>
    <w:p>
      <w:pPr>
        <w:pStyle w:val="ListBullet"/>
      </w:pPr>
      <w:r>
        <w:t>生产密钥不得沿用 admin/minioadmin 或默认 JWT_SECRET_KEY，应通过 .env 或密钥管理注入且不提交仓库。</w:t>
      </w:r>
    </w:p>
    <w:p>
      <w:pPr>
        <w:pStyle w:val="ListBullet"/>
      </w:pPr>
      <w:r>
        <w:t>应用健康检查区分进程存活与依赖可用；模型文件不可用时详细健康接口返回 degraded。</w:t>
      </w:r>
    </w:p>
    <w:p>
      <w:pPr>
        <w:pStyle w:val="Heading1"/>
        <w:keepNext/>
      </w:pPr>
      <w:r>
        <w:t>7. 异常、安全与可观测性</w:t>
      </w:r>
    </w:p>
    <w:p>
      <w:pPr>
        <w:pStyle w:val="Heading2"/>
        <w:keepNext/>
      </w:pPr>
      <w:r>
        <w:t>7.1 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97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处理原则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非法图片/解码失败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返回 400 和可读 detail，不进入模型推理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模型不存在或不可加载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返回 404/500；任务标记 failed；日志记录 model_id 与根因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未检测到缺陷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返回 200、detections=[]、summary.total=0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MinIO 上传失败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任务失败或补偿删除已上传对象，禁止返回不可访问 URL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数据库保存失败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回滚事务并清理本次新上传对象；保留关联 request_id 日志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批量单文件失败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记录逐文件错误并继续，批次响应汇总成功与失败数量</w:t>
            </w:r>
          </w:p>
        </w:tc>
      </w:tr>
      <w:tr>
        <w:trPr/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GPU 显存不足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捕获并记录；拒绝继续堆积请求，不自动静默切换设备导致性能不可控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安全</w:t>
      </w:r>
    </w:p>
    <w:p>
      <w:pPr>
        <w:pStyle w:val="ListBullet"/>
      </w:pPr>
      <w:r>
        <w:t>校验 MIME、扩展名和实际解码结果；限制单文件大小、批次数量及最大像素，防止压缩炸弹和资源耗尽。</w:t>
      </w:r>
    </w:p>
    <w:p>
      <w:pPr>
        <w:pStyle w:val="ListBullet"/>
      </w:pPr>
      <w:r>
        <w:t>对象名由服务端生成，禁止直接拼接用户文件名；日志不记录 Token、密钥和完整预签名查询参数。</w:t>
      </w:r>
    </w:p>
    <w:p>
      <w:pPr>
        <w:pStyle w:val="ListBullet"/>
      </w:pPr>
      <w:r>
        <w:t>模型上传仅允许管理员或受控流程；.pt 权重来源必须可信，因为反序列化不应处理任意不可信文件。</w:t>
      </w:r>
    </w:p>
    <w:p>
      <w:pPr>
        <w:pStyle w:val="ListBullet"/>
      </w:pPr>
      <w:r>
        <w:t>CORS、MinIO 凭据、数据库密码和 JWT 密钥按环境配置，生产环境关闭 DEBUG。</w:t>
      </w:r>
    </w:p>
    <w:p>
      <w:pPr>
        <w:pStyle w:val="Heading2"/>
        <w:keepNext/>
      </w:pPr>
      <w:r>
        <w:t>7.3 日志与指标</w:t>
      </w:r>
    </w:p>
    <w:p>
      <w:r>
        <w:t>每次检测记录 request_id、task_id、user_id、model_version_id、图片尺寸、阈值、推理耗时、总耗时、检测数量和最终状态。建议统计请求成功率、P50/P95 总耗时、模型加载次数、缓存命中率、MinIO/数据库错误数和 GPU 显存占用。文件内容、Token 与预签名密钥不进入日志。</w:t>
      </w:r>
    </w:p>
    <w:p>
      <w:pPr>
        <w:pStyle w:val="Heading1"/>
        <w:keepNext/>
      </w:pPr>
      <w:r>
        <w:t>8. 测试与验收</w:t>
      </w:r>
    </w:p>
    <w:p>
      <w:pPr>
        <w:pStyle w:val="Heading2"/>
        <w:keepNext/>
      </w:pPr>
      <w:r>
        <w:t>8.1 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最小用例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通过标准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路径与模型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合法/缺失/损坏权重、非 active 模型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错误明确，服务不崩溃，任务状态正确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单图推理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有缺陷、无缺陷、非法格式、超限图片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bbox/类别/置信度正确；空结果为 200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批量推理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全成功、部分失败、超数量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部分失败不拖垮批次，汇总一致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存储与历史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上传成功、MinIO 失败、数据库失败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成功可访问；失败可回滚且无伪记录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接口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未登录、阈值越界、模型不存在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状态码与 {detail: ...} 契约一致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性能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同一固定图片冷启动/热启动各多次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记录环境、平均值和 P95；GPU 单图目标尽量小于 3 秒</w:t>
            </w:r>
          </w:p>
        </w:tc>
      </w:tr>
      <w:tr>
        <w:trPr/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空环境启动、重启、卷持久化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迁移成功，重启后数据库和对象仍存在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验收主线</w:t>
      </w:r>
    </w:p>
    <w:p>
      <w:r>
        <w:t>使用固定账号和固定测试图片执行：登录 → 选择 steel_surface_defect 场景与模型 → 上传图片 → 查看结构化缺陷与标注图 → 查看历史详情 → 核对 model_version、阈值和推理耗时。随后验证无缺陷图片、非法文件、批量部分失败和服务重启后的数据持久化。</w:t>
      </w:r>
    </w:p>
    <w:p>
      <w:pPr>
        <w:pStyle w:val="Heading1"/>
        <w:keepNext/>
      </w:pPr>
      <w:r>
        <w:t>9. 实施边界与交付清单</w:t>
      </w:r>
    </w:p>
    <w:p>
      <w:pPr>
        <w:pStyle w:val="Heading2"/>
        <w:keepNext/>
      </w:pPr>
      <w:r>
        <w:t>9.1 负责人边界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54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责任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后端 B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DetectionService、detection API、YOLO 模型缓存与推理、MinIO 文件流转、模型接入及相关测试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后端 A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Scene/Model 元数据契约、HistoryService、数据库迁移和历史统计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模型/数据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冻结类别字典、data.yaml、可信 best.pt、训练参数与评估报告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前端 B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仅依据 Pydantic/OpenAPI 契约实现上传、结果与错误态展示</w:t>
            </w:r>
          </w:p>
        </w:tc>
      </w:tr>
      <w:tr>
        <w:trPr/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文档/部署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Dockerfile/Compose、环境变量说明、部署回归；与后端 B 联审推理环境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最小交付</w:t>
      </w:r>
    </w:p>
    <w:p>
      <w:pPr>
        <w:pStyle w:val="ListBullet"/>
      </w:pPr>
      <w:r>
        <w:t>可加载且命名规范的 SSDD YOLOv11 权重，以及对应类别 ID/英文/中文映射。</w:t>
      </w:r>
    </w:p>
    <w:p>
      <w:pPr>
        <w:pStyle w:val="ListBullet"/>
      </w:pPr>
      <w:r>
        <w:t>真实可用的 /api/detection/single 与 /api/detection/batch，附 OpenAPI Schema 和示例。</w:t>
      </w:r>
    </w:p>
    <w:p>
      <w:pPr>
        <w:pStyle w:val="ListBullet"/>
      </w:pPr>
      <w:r>
        <w:t>DetectionService、模型缓存、标注图生成、MinIO 与 HistoryService 集成。</w:t>
      </w:r>
    </w:p>
    <w:p>
      <w:pPr>
        <w:pStyle w:val="ListBullet"/>
      </w:pPr>
      <w:r>
        <w:t>模型加载失败、空结果、批量部分失败、MinIO 失败和历史保存的自动化测试。</w:t>
      </w:r>
    </w:p>
    <w:p>
      <w:pPr>
        <w:pStyle w:val="ListBullet"/>
      </w:pPr>
      <w:r>
        <w:t>CPU/GPU 环境说明、部署配置、固定样例冒烟结果和性能记录。</w:t>
      </w:r>
    </w:p>
    <w:p>
      <w:pPr>
        <w:pStyle w:val="Heading2"/>
        <w:keepNext/>
      </w:pPr>
      <w:r>
        <w:t>9.3 后续演进</w:t>
      </w:r>
    </w:p>
    <w:p>
      <w:r>
        <w:t>单图检测稳定后，视频检测采用异步任务、抽帧和 Redis 进度；摄像头检测采用低帧率 WebSocket 或周期请求，并复用无文件 I/O 的 detect_frame。若并发或耗时任务显著增加，再将推理 Worker 与 API 进程拆分，不在当前实训规模下提前引入复杂分布式架构。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color w:val="646464"/>
        <w:sz w:val="17"/>
      </w:rPr>
      <w:t>SSDD Agent Platform  |  模型推理与部署设计说明书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24" w:lineRule="auto"/>
      <w:contextualSpacing/>
    </w:pPr>
    <w:rPr>
      <w:rFonts w:ascii="宋体" w:hAnsi="宋体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