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288" w:line="384"/>
        <w:ind w:left="0" w:right="0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28"/>
          <w:sz w:val="28"/>
        </w:rPr>
        <w:t>技术架构方案 · TECHNICAL ARCHITECTURE</w:t>
      </w:r>
    </w:p>
    <w:p w14:paraId="00000002">
      <w:pPr>
        <w:spacing w:before="0" w:after="192" w:line="384"/>
        <w:ind w:left="0" w:right="0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52"/>
        </w:rPr>
        <w:t>饲料法规智能体架构方案</w:t>
      </w:r>
    </w:p>
    <w:p w14:paraId="00000003">
      <w:pPr>
        <w:spacing w:before="0" w:after="600" w:line="384"/>
        <w:ind w:left="0" w:right="0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8"/>
        </w:rPr>
        <w:t>面向合规问答、配方校验、法规监控与材料预审的智能体系统设计</w:t>
      </w:r>
    </w:p>
    <w:p w14:paraId="00000004">
      <w:pPr>
        <w:spacing w:before="0" w:after="0" w:line="384"/>
        <w:ind w:left="0" w:right="0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2"/>
        </w:rPr>
        <w:t>智能体应用研发组 ｜ 2026 年 10 月 28 日 ｜ 版本 V1.0</w:t>
      </w:r>
    </w:p>
    <w:p w14:paraId="00000005">
      <w:pPr>
        <w:spacing w:before="240" w:after="120"/>
      </w:pPr>
      <w:r>
        <w:rPr>
          <w:rFonts w:hint="eastAsia"/>
          <w:b w:val="1"/>
        </w:rPr>
        <w:t>目录</w:t>
      </w:r>
    </w:p>
    <w:p w14:paraId="00000006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"sec-1" </w:instrText>
      </w:r>
      <w:r>
        <w:fldChar w:fldCharType="separate" w:fldLock="0" w:dirty="0"/>
      </w:r>
      <w:r>
        <w:rPr>
          <w:rFonts w:hint="eastAsia"/>
        </w:rPr>
        <w:t>一、背景与目标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7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"sec-1-1" </w:instrText>
      </w:r>
      <w:r>
        <w:fldChar w:fldCharType="separate" w:fldLock="0" w:dirty="0"/>
      </w:r>
      <w:r>
        <w:rPr>
          <w:rFonts w:hint="eastAsia"/>
        </w:rPr>
        <w:t>（一）业务背景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"sec-1-2" </w:instrText>
      </w:r>
      <w:r>
        <w:fldChar w:fldCharType="separate" w:fldLock="0" w:dirty="0"/>
      </w:r>
      <w:r>
        <w:rPr>
          <w:rFonts w:hint="eastAsia"/>
        </w:rPr>
        <w:t>（二）建设目标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"sec-1-3" </w:instrText>
      </w:r>
      <w:r>
        <w:fldChar w:fldCharType="separate" w:fldLock="0" w:dirty="0"/>
      </w:r>
      <w:r>
        <w:rPr>
          <w:rFonts w:hint="eastAsia"/>
        </w:rPr>
        <w:t>（三）设计原则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"sec-2" </w:instrText>
      </w:r>
      <w:r>
        <w:fldChar w:fldCharType="separate" w:fldLock="0" w:dirty="0"/>
      </w:r>
      <w:r>
        <w:rPr>
          <w:rFonts w:hint="eastAsia"/>
        </w:rPr>
        <w:t>二、总体架构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"sec-3" </w:instrText>
      </w:r>
      <w:r>
        <w:fldChar w:fldCharType="separate" w:fldLock="0" w:dirty="0"/>
      </w:r>
      <w:r>
        <w:rPr>
          <w:rFonts w:hint="eastAsia"/>
        </w:rPr>
        <w:t>三、数据与知识层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"sec-3-1" </w:instrText>
      </w:r>
      <w:r>
        <w:fldChar w:fldCharType="separate" w:fldLock="0" w:dirty="0"/>
      </w:r>
      <w:r>
        <w:rPr>
          <w:rFonts w:hint="eastAsia"/>
        </w:rPr>
        <w:t>（一）法规知识库（核心资产）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"sec-3-2" </w:instrText>
      </w:r>
      <w:r>
        <w:fldChar w:fldCharType="separate" w:fldLock="0" w:dirty="0"/>
      </w:r>
      <w:r>
        <w:rPr>
          <w:rFonts w:hint="eastAsia"/>
        </w:rPr>
        <w:t>（二）结构化规则库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"sec-3-3" </w:instrText>
      </w:r>
      <w:r>
        <w:fldChar w:fldCharType="separate" w:fldLock="0" w:dirty="0"/>
      </w:r>
      <w:r>
        <w:rPr>
          <w:rFonts w:hint="eastAsia"/>
        </w:rPr>
        <w:t>（三）案例库与索引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"sec-4" </w:instrText>
      </w:r>
      <w:r>
        <w:fldChar w:fldCharType="separate" w:fldLock="0" w:dirty="0"/>
      </w:r>
      <w:r>
        <w:rPr>
          <w:rFonts w:hint="eastAsia"/>
        </w:rPr>
        <w:t>四、能力层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"sec-5" </w:instrText>
      </w:r>
      <w:r>
        <w:fldChar w:fldCharType="separate" w:fldLock="0" w:dirty="0"/>
      </w:r>
      <w:r>
        <w:rPr>
          <w:rFonts w:hint="eastAsia"/>
        </w:rPr>
        <w:t>五、智能体核心层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"sec-5-1" </w:instrText>
      </w:r>
      <w:r>
        <w:fldChar w:fldCharType="separate" w:fldLock="0" w:dirty="0"/>
      </w:r>
      <w:r>
        <w:rPr>
          <w:rFonts w:hint="eastAsia"/>
        </w:rPr>
        <w:t>（一）编排与规划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"sec-5-2" </w:instrText>
      </w:r>
      <w:r>
        <w:fldChar w:fldCharType="separate" w:fldLock="0" w:dirty="0"/>
      </w:r>
      <w:r>
        <w:rPr>
          <w:rFonts w:hint="eastAsia"/>
        </w:rPr>
        <w:t>（二）子智能体分工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"sec-5-3" </w:instrText>
      </w:r>
      <w:r>
        <w:fldChar w:fldCharType="separate" w:fldLock="0" w:dirty="0"/>
      </w:r>
      <w:r>
        <w:rPr>
          <w:rFonts w:hint="eastAsia"/>
        </w:rPr>
        <w:t>（三）记忆体系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"sec-6" </w:instrText>
      </w:r>
      <w:r>
        <w:fldChar w:fldCharType="separate" w:fldLock="0" w:dirty="0"/>
      </w:r>
      <w:r>
        <w:rPr>
          <w:rFonts w:hint="eastAsia"/>
        </w:rPr>
        <w:t>六、应用层与交互设计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"sec-7" </w:instrText>
      </w:r>
      <w:r>
        <w:fldChar w:fldCharType="separate" w:fldLock="0" w:dirty="0"/>
      </w:r>
      <w:r>
        <w:rPr>
          <w:rFonts w:hint="eastAsia"/>
        </w:rPr>
        <w:t>七、技术选型建议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"sec-8" </w:instrText>
      </w:r>
      <w:r>
        <w:fldChar w:fldCharType="separate" w:fldLock="0" w:dirty="0"/>
      </w:r>
      <w:r>
        <w:rPr>
          <w:rFonts w:hint="eastAsia"/>
        </w:rPr>
        <w:t>八、实施路径（里程碑）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"sec-9" </w:instrText>
      </w:r>
      <w:r>
        <w:fldChar w:fldCharType="separate" w:fldLock="0" w:dirty="0"/>
      </w:r>
      <w:r>
        <w:rPr>
          <w:rFonts w:hint="eastAsia"/>
        </w:rPr>
        <w:t>九、风险与应对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"sec-10" </w:instrText>
      </w:r>
      <w:r>
        <w:fldChar w:fldCharType="separate" w:fldLock="0" w:dirty="0"/>
      </w:r>
      <w:r>
        <w:rPr>
          <w:rFonts w:hint="eastAsia"/>
        </w:rPr>
        <w:t>十、预期产出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9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left w:val="single" w:color="1565c0" w:sz="24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1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4"/>
              </w:rPr>
              <w:t>方案摘要（Executive Summary）</w:t>
            </w:r>
          </w:p>
        </w:tc>
      </w:tr>
      <w:tr>
        <w:trPr/>
        <w:tc>
          <w:tcPr>
            <w:tcW w:w="8306" w:type="dxa"/>
            <w:tcBorders>
              <w:top w:val="single" w:color="e0e0e0" w:sz="6"/>
              <w:left w:val="single" w:color="1565c0" w:sz="24"/>
            </w:tcBorders>
            <w:shd w:val="clear" w:fill="f5f7fa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0000001B">
            <w:pPr>
              <w:spacing w:before="72" w:after="72" w:line="384"/>
              <w:ind w:left="0" w:right="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本方案面向饲料行业监管与企业合规场景，设计一个以「可溯源法规知识底座 + 规则与模型双轨推理」为核心的饲料法规智能体（Feed-Reg Agent）。系统采用五层架构：数据与知识层沉淀条款级法规知识库与结构化规则库；能力层提供 RAG 检索、规则引擎、引用定位与文档解析；智能体核心层以 Planner–Executor 模式编排问答、校验、监控、审核四个子智能体；应用层交付对话问答、合规校验工作台、变更监控简报与开放 API。</w:t>
            </w:r>
          </w:p>
          <w:p w14:paraId="0000001C">
            <w:pPr>
              <w:spacing w:before="72" w:after="72" w:line="384"/>
              <w:ind w:left="0" w:right="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方案强调监管场景特有的工程纪律：所有监管结论必须溯源到具体条款、量化硬约束以确定性规则引擎优先、对外输出须经人工确认，并配套四期实施路径与风险应对机制。</w:t>
            </w:r>
          </w:p>
        </w:tc>
      </w:tr>
    </w:tbl>
    <w:p w14:paraId="0000001D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" w:name="sec-1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一、背景与目标</w:t>
      </w:r>
      <w:bookmarkEnd w:id="1"/>
    </w:p>
    <w:p w14:paraId="0000001E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" w:name="sec-1-1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（一）业务背景</w:t>
      </w:r>
      <w:bookmarkEnd w:id="2"/>
    </w:p>
    <w:p w14:paraId="0000001F">
      <w:pPr>
        <w:spacing w:before="0" w:after="180" w:line="384"/>
        <w:ind w:left="0" w:right="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饲料行业监管链条长、法规体系庞杂：上游涉及《饲料和饲料添加剂管理条例》及配套部门规章，中游涉及《饲料原料目录》《饲料添加剂安全使用规范》《饲料卫生标准》（GB 13078）等目录与强制标准，下游涉及生产许可、产品标签、进口登记与日常抽检。企业合规人员与监管人员面临三类共同痛点：</w:t>
      </w:r>
    </w:p>
    <w:p w14:paraId="00000020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法规更新频繁、来源分散（部门规章、农业农村部公告、标准修订、地方细则），人工跟踪成本高、易遗漏；</w:t>
      </w:r>
    </w:p>
    <w:p w14:paraId="00000021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合规判断专业门槛高（原料可用性、添加量上限、禁用物质、标签标示要求相互交叉引用），非专家难以给出可靠结论；</w:t>
      </w:r>
    </w:p>
    <w:p w14:paraId="00000022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问询与审核工作重复度高（标签审核、配方核查、许可材料预审），缺乏可复用的自动化能力。</w:t>
      </w:r>
    </w:p>
    <w:p w14:paraId="00000023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3" w:name="sec-1-2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（二）建设目标</w:t>
      </w:r>
      <w:bookmarkEnd w:id="3"/>
    </w:p>
    <w:p w14:paraId="00000024">
      <w:pPr>
        <w:spacing w:before="0" w:after="180" w:line="384"/>
        <w:ind w:left="0" w:right="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构建一个</w:t>
      </w:r>
      <w:r>
        <w:rPr>
          <w:rFonts w:hint="eastAsia" w:ascii="宋体" w:hAnsi="宋体" w:eastAsia="宋体" w:cs="宋体"/>
          <w:b w:val="1"/>
          <w:color w:val="1a237e"/>
          <w:sz w:val="24"/>
        </w:rPr>
        <w:t>饲料法规领域智能体（Feed-Reg Agent）</w:t>
      </w:r>
      <w:r>
        <w:rPr>
          <w:rFonts w:hint="eastAsia" w:ascii="宋体" w:hAnsi="宋体" w:eastAsia="宋体" w:cs="宋体"/>
          <w:color w:val="212121"/>
          <w:sz w:val="24"/>
        </w:rPr>
        <w:t>，实现四项核心能力：</w:t>
      </w:r>
    </w:p>
    <w:p w14:paraId="00000025">
      <w:pPr>
        <w:numPr>
          <w:ilvl w:val="0"/>
          <w:numId w:val="2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法规问答</w:t>
      </w:r>
      <w:r>
        <w:rPr>
          <w:rFonts w:hint="eastAsia" w:ascii="宋体" w:hAnsi="宋体" w:eastAsia="宋体" w:cs="宋体"/>
          <w:color w:val="212121"/>
          <w:sz w:val="24"/>
        </w:rPr>
        <w:t>：基于权威法规知识库的检索增强问答，答案可溯源到具体条款；</w:t>
      </w:r>
    </w:p>
    <w:p w14:paraId="00000026">
      <w:pPr>
        <w:numPr>
          <w:ilvl w:val="0"/>
          <w:numId w:val="2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合规校验</w:t>
      </w:r>
      <w:r>
        <w:rPr>
          <w:rFonts w:hint="eastAsia" w:ascii="宋体" w:hAnsi="宋体" w:eastAsia="宋体" w:cs="宋体"/>
          <w:color w:val="212121"/>
          <w:sz w:val="24"/>
        </w:rPr>
        <w:t>：对饲料配方、原料使用、添加剂用量、标签文案进行规则化与推理式合规核查，输出结构化风险报告；</w:t>
      </w:r>
    </w:p>
    <w:p w14:paraId="00000027">
      <w:pPr>
        <w:numPr>
          <w:ilvl w:val="0"/>
          <w:numId w:val="2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法规变更监控</w:t>
      </w:r>
      <w:r>
        <w:rPr>
          <w:rFonts w:hint="eastAsia" w:ascii="宋体" w:hAnsi="宋体" w:eastAsia="宋体" w:cs="宋体"/>
          <w:color w:val="212121"/>
          <w:sz w:val="24"/>
        </w:rPr>
        <w:t>：自动追踪法规与标准更新，生成变更摘要与影响分析（波及哪些原料、品类、标签声明）；</w:t>
      </w:r>
    </w:p>
    <w:p w14:paraId="00000028">
      <w:pPr>
        <w:numPr>
          <w:ilvl w:val="0"/>
          <w:numId w:val="2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审核工作流</w:t>
      </w:r>
      <w:r>
        <w:rPr>
          <w:rFonts w:hint="eastAsia" w:ascii="宋体" w:hAnsi="宋体" w:eastAsia="宋体" w:cs="宋体"/>
          <w:color w:val="212121"/>
          <w:sz w:val="24"/>
        </w:rPr>
        <w:t>：为许可申报、标签备案等场景提供材料预审与人机协同复核。</w:t>
      </w:r>
    </w:p>
    <w:p w14:paraId="00000029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4" w:name="sec-1-3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（三）设计原则</w:t>
      </w:r>
      <w:bookmarkEnd w:id="4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原则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合规优先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涉及监管结论的输出必须可溯源（条款号+原文），禁止无依据作答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规则与模型双轨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量化硬约束（限量、禁用）用确定性规则引擎，语义判断用 LLM，二者结论冲突时以规则为准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人在回路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涉及对外提交的合规结论必须经人工确认，智能体定位为「辅助审核」而非「自动批准」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知识时效可审计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知识库版本化，每条答案绑定法规版本快照，历史结论可回溯</w:t>
            </w:r>
          </w:p>
        </w:tc>
      </w:tr>
    </w:tbl>
    <w:p w14:paraId="00000034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5" w:name="sec-2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二、总体架构</w:t>
      </w:r>
      <w:bookmarkEnd w:id="5"/>
    </w:p>
    <w:p w14:paraId="00000035">
      <w:pPr>
        <w:spacing w:before="0" w:after="180" w:line="384"/>
        <w:ind w:left="0" w:right="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系统采用五层架构，自下而上为数据与知识层、能力层、智能体核心层、应用层，并由贯穿各层的治理与安全体系保障。分层职责如下表所示：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层级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核心组成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职责定位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9">
            <w:pPr>
              <w:jc w:val="left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0"/>
              </w:rPr>
              <w:t>应用层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法规问答、合规校验工作台、变更监控简报、API/插件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面向不同角色的产品化交付入口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C">
            <w:pPr>
              <w:jc w:val="left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0"/>
              </w:rPr>
              <w:t>智能体核心层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意图理解、任务规划（Planner）、四个子智能体（问答/校验/监控/审核）、结论整合、记忆体系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任务拆解、多智能体协作与结果汇聚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F">
            <w:pPr>
              <w:jc w:val="left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0"/>
              </w:rPr>
              <w:t>能力层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RAG 检索、规则引擎、法规引用定位、OCR 解析、报告生成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可复用的原子能力服务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2">
            <w:pPr>
              <w:jc w:val="left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0"/>
              </w:rPr>
              <w:t>数据与知识层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法规知识库（条款级）、目录/限量库、案例库、向量+全文双索引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领域知识沉淀与检索底座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5">
            <w:pPr>
              <w:jc w:val="left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0"/>
              </w:rPr>
              <w:t>治理与安全（贯穿）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版本化、溯源审计、权限、评测与监控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保障合规性、可审计性与持续质量</w:t>
            </w:r>
          </w:p>
        </w:tc>
      </w:tr>
    </w:tbl>
    <w:p w14:paraId="0000004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20" w:type="dxa"/>
              <w:bottom w:w="120" w:type="dxa"/>
            </w:tcMar>
            <w:vAlign w:val="center"/>
          </w:tcPr>
          <w:p w14:paraId="0000004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架构要点：智能体不直接生成监管结论，而是「检索引用 → 规则校验 → 模型整合」三段式得出结论，任何环节不可溯源时拒答并转人工。</w:t>
            </w:r>
          </w:p>
        </w:tc>
      </w:tr>
    </w:tbl>
    <w:p w14:paraId="0000004A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6" w:name="sec-3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三、数据与知识层</w:t>
      </w:r>
      <w:bookmarkEnd w:id="6"/>
    </w:p>
    <w:p w14:paraId="0000004B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7" w:name="sec-3-1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（一）法规知识库（核心资产）</w:t>
      </w:r>
      <w:bookmarkEnd w:id="7"/>
    </w:p>
    <w:p w14:paraId="0000004C">
      <w:pPr>
        <w:spacing w:before="0" w:after="180" w:line="384"/>
        <w:ind w:left="0" w:right="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知识库按「法规—章—条—款—项」四级结构存储，一条记录包含：条款正文、发文机关、生效日期、废止/修订状态、关联文件、术语标注。覆盖范围分五类：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知识类别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内容示例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更新频率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法律法规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《饲料和饲料添加剂管理条例》及修订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低（按修订）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部门规章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《饲料和饲料添加剂生产许可管理办法》《进口饲料和饲料添加剂登记管理办法》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规范性文件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农业农村部公告（原料目录增补、添加剂品种调整）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目录与限量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《饲料原料目录》《饲料添加剂安全使用规范》《饲料卫生标准》限量表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标准文档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GB/T 产品标准、检测方法标准、标签强制标示要求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</w:tr>
    </w:tbl>
    <w:p w14:paraId="0000005F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8" w:name="sec-3-2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（二）结构化规则库</w:t>
      </w:r>
      <w:bookmarkEnd w:id="8"/>
    </w:p>
    <w:p w14:paraId="00000060">
      <w:pPr>
        <w:spacing w:before="0" w:after="180" w:line="384"/>
        <w:ind w:left="0" w:right="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在文本知识之外，将可计算的合规约束抽取为结构化规则：</w:t>
      </w:r>
    </w:p>
    <w:p w14:paraId="00000061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原料规则</w:t>
      </w:r>
      <w:r>
        <w:rPr>
          <w:rFonts w:hint="eastAsia" w:ascii="宋体" w:hAnsi="宋体" w:eastAsia="宋体" w:cs="宋体"/>
          <w:color w:val="212121"/>
          <w:sz w:val="24"/>
        </w:rPr>
        <w:t>：原料是否在《饲料原料目录》内、适用动物范围、使用限制条件；</w:t>
      </w:r>
    </w:p>
    <w:p w14:paraId="00000062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添加量规则</w:t>
      </w:r>
      <w:r>
        <w:rPr>
          <w:rFonts w:hint="eastAsia" w:ascii="宋体" w:hAnsi="宋体" w:eastAsia="宋体" w:cs="宋体"/>
          <w:color w:val="212121"/>
          <w:sz w:val="24"/>
        </w:rPr>
        <w:t>：添加剂在特定动物品类下的最大添加量、配伍禁忌、停药期要求；</w:t>
      </w:r>
    </w:p>
    <w:p w14:paraId="00000063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禁用清单</w:t>
      </w:r>
      <w:r>
        <w:rPr>
          <w:rFonts w:hint="eastAsia" w:ascii="宋体" w:hAnsi="宋体" w:eastAsia="宋体" w:cs="宋体"/>
          <w:color w:val="212121"/>
          <w:sz w:val="24"/>
        </w:rPr>
        <w:t>：禁用物质及其检测判定阈值；</w:t>
      </w:r>
    </w:p>
    <w:p w14:paraId="00000064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标签规则</w:t>
      </w:r>
      <w:r>
        <w:rPr>
          <w:rFonts w:hint="eastAsia" w:ascii="宋体" w:hAnsi="宋体" w:eastAsia="宋体" w:cs="宋体"/>
          <w:color w:val="212121"/>
          <w:sz w:val="24"/>
        </w:rPr>
        <w:t>：强制标示项、禁止性宣称、通用名称与商品名要求。</w:t>
      </w:r>
    </w:p>
    <w:p w14:paraId="00000065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9" w:name="sec-3-3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（三）案例库与索引</w:t>
      </w:r>
      <w:bookmarkEnd w:id="9"/>
    </w:p>
    <w:p w14:paraId="00000066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案例库</w:t>
      </w:r>
      <w:r>
        <w:rPr>
          <w:rFonts w:hint="eastAsia" w:ascii="宋体" w:hAnsi="宋体" w:eastAsia="宋体" w:cs="宋体"/>
          <w:color w:val="212121"/>
          <w:sz w:val="24"/>
        </w:rPr>
        <w:t>：历史审核结论、行政处罚案例、监管问答口径，用于少样本参考与结论校准；</w:t>
      </w:r>
    </w:p>
    <w:p w14:paraId="00000067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双路索引</w:t>
      </w:r>
      <w:r>
        <w:rPr>
          <w:rFonts w:hint="eastAsia" w:ascii="宋体" w:hAnsi="宋体" w:eastAsia="宋体" w:cs="宋体"/>
          <w:color w:val="212121"/>
          <w:sz w:val="24"/>
        </w:rPr>
        <w:t>：向量索引（语义检索，BGE/GTE 类中文 embedding）+ 全文倒排（条款号、关键词精确命中），召回后统一重排序；</w:t>
      </w:r>
    </w:p>
    <w:p w14:paraId="00000068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版本化</w:t>
      </w:r>
      <w:r>
        <w:rPr>
          <w:rFonts w:hint="eastAsia" w:ascii="宋体" w:hAnsi="宋体" w:eastAsia="宋体" w:cs="宋体"/>
          <w:color w:val="212121"/>
          <w:sz w:val="24"/>
        </w:rPr>
        <w:t>：知识库按法规版本打快照，问答与校验结果记录所引版本。</w:t>
      </w:r>
    </w:p>
    <w:p w14:paraId="00000069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0" w:name="sec-4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四、能力层</w:t>
      </w:r>
      <w:bookmarkEnd w:id="10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能力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职责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RAG 检索服务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多路召回 + 重排 + 引用定位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返回条款级引用，供答案溯源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规则引擎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结构化规则执行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DSL 表达「品类×物质×限量」，输出确定结论（合格/超限/禁用）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法规引用定位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答案 → 条款原文校验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防止模型幻觉引用，对引用做逐条比对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文档解析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PDF/扫描件 OCR、表格抽取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处理公告附件、标签图片、检测报告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报告生成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合规报告、变更简报模板化输出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固定模板 + 模型填充，保证格式一致</w:t>
            </w:r>
          </w:p>
        </w:tc>
      </w:tr>
    </w:tbl>
    <w:p w14:paraId="0000007C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1" w:name="sec-5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五、智能体核心层</w:t>
      </w:r>
      <w:bookmarkEnd w:id="11"/>
    </w:p>
    <w:p w14:paraId="0000007D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2" w:name="sec-5-1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（一）编排与规划</w:t>
      </w:r>
      <w:bookmarkEnd w:id="12"/>
    </w:p>
    <w:p w14:paraId="0000007E">
      <w:pPr>
        <w:spacing w:before="0" w:after="180" w:line="384"/>
        <w:ind w:left="0" w:right="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采用 </w:t>
      </w:r>
      <w:r>
        <w:rPr>
          <w:rFonts w:ascii="宋体" w:hAnsi="宋体" w:eastAsia="宋体" w:cs="宋体"/>
          <w:b w:val="1"/>
          <w:color w:val="1a237e"/>
          <w:sz w:val="24"/>
        </w:rPr>
        <w:t>Planner–Executor</w:t>
      </w:r>
      <w:r>
        <w:rPr>
          <w:rFonts w:hint="eastAsia" w:ascii="宋体" w:hAnsi="宋体" w:eastAsia="宋体" w:cs="宋体"/>
          <w:color w:val="212121"/>
          <w:sz w:val="24"/>
        </w:rPr>
        <w:t xml:space="preserve"> 模式：入口 Agent 完成意图理解与任务拆解，生成执行计划（如「校验配方 → 拆为原料合法性、添加量、标签三步」），逐步调度子智能体与工具，汇总形成最终结论。复杂任务引入 ReAct 式反思：中间结论若与规则引擎冲突，触发复核而非直接输出。</w:t>
      </w:r>
    </w:p>
    <w:p w14:paraId="0000007F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3" w:name="sec-5-2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（二）子智能体分工</w:t>
      </w:r>
      <w:bookmarkEnd w:id="13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子智能体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触发场景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核心动作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问答 Agent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「XX 原料能不能用于 XX 饲料」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检索 → 引用 → 结构化作答（结论+依据+注意事项）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校验 Agent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配方/标签/申报材料合规核查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解析输入 → 规则引擎全量比对 → LLM 补充语义项 → 风险分级报告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监控 Agent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定时任务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抓取法规发布源 → 差异比对 → 变更摘要 + 影响面分析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审核 Agent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许可/备案材料预审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清单核对 → 缺项标注 → 生成预审意见供人工复核</w:t>
            </w:r>
          </w:p>
        </w:tc>
      </w:tr>
    </w:tbl>
    <w:p w14:paraId="0000008F">
      <w:pPr>
        <w:pStyle w:val="000003"/>
        <w:keepNext w:val="1"/>
        <w:keepLines w:val="1"/>
        <w:spacing w:before="36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4" w:name="sec-5-3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（三）记忆体系</w:t>
      </w:r>
      <w:bookmarkEnd w:id="14"/>
    </w:p>
    <w:p w14:paraId="00000090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会话记忆</w:t>
      </w:r>
      <w:r>
        <w:rPr>
          <w:rFonts w:hint="eastAsia" w:ascii="宋体" w:hAnsi="宋体" w:eastAsia="宋体" w:cs="宋体"/>
          <w:color w:val="212121"/>
          <w:sz w:val="24"/>
        </w:rPr>
        <w:t>：维持多轮追问的上下文（如先问限量、再追问某配方的合规性）；</w:t>
      </w:r>
    </w:p>
    <w:p w14:paraId="00000091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用户画像记忆</w:t>
      </w:r>
      <w:r>
        <w:rPr>
          <w:rFonts w:hint="eastAsia" w:ascii="宋体" w:hAnsi="宋体" w:eastAsia="宋体" w:cs="宋体"/>
          <w:color w:val="212121"/>
          <w:sz w:val="24"/>
        </w:rPr>
        <w:t>：记录企业所属品类、常检产品，简化后续提问；</w:t>
      </w:r>
    </w:p>
    <w:p w14:paraId="00000092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案例记忆</w:t>
      </w:r>
      <w:r>
        <w:rPr>
          <w:rFonts w:hint="eastAsia" w:ascii="宋体" w:hAnsi="宋体" w:eastAsia="宋体" w:cs="宋体"/>
          <w:color w:val="212121"/>
          <w:sz w:val="24"/>
        </w:rPr>
        <w:t>：沉淀高价值审核案例，作为后续同类问题的参考先例。</w:t>
      </w:r>
    </w:p>
    <w:p w14:paraId="00000093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5" w:name="sec-6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六、应用层与交互设计</w:t>
      </w:r>
      <w:bookmarkEnd w:id="15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应用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用户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关键交互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法规问答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合规专员、业务人员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对话式问答，答案附带条款引用卡片，可一键跳转原文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合规校验工作台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配方师、标签审核员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上传配方表/标签稿 → 风险分级报告（高/中/低）→ 在线申诉与复核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变更监控简报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合规负责人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周报/即时推送，标注受影响产品线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开放 API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业务系统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供 ERP/LIMS 系统在采购、投产环节嵌入合规校验</w:t>
            </w:r>
          </w:p>
        </w:tc>
      </w:tr>
    </w:tbl>
    <w:p w14:paraId="000000A3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6" w:name="sec-7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七、技术选型建议</w:t>
      </w:r>
      <w:bookmarkEnd w:id="16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模块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推荐方案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备选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智能体框架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LangGraph / 自研状态机编排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Dify、Coze（快速验证期）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LLM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国产合规大模型（如 DeepSeek、Qwen 系列），监管场景建议私有化部署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云端 API（非敏感场景）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Embedding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BGE-M3 中文向量模型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GTE、Jina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向量库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Milvus / Elasticsearch（兼顾向量+全文）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PostgreSQL + pgvector（轻量起步）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规则引擎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自研 DSL + Python 执行器（规则量可控时）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Drools（规则规模大时）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OCR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PaddleOCR（表格场景强）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云厂商文档智能服务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服务化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FastAPI + Redis + PostgreSQL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—</w:t>
            </w:r>
          </w:p>
        </w:tc>
      </w:tr>
    </w:tbl>
    <w:p w14:paraId="000000B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20" w:type="dxa"/>
              <w:bottom w:w="120" w:type="dxa"/>
            </w:tcMar>
            <w:vAlign w:val="center"/>
          </w:tcPr>
          <w:p w14:paraId="000000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选型原则：优先可控与可审计，监管场景避免依赖不可解释的黑盒；规则引擎量级有限时自研 DSL 更易维护。</w:t>
            </w:r>
          </w:p>
        </w:tc>
      </w:tr>
    </w:tbl>
    <w:p w14:paraId="000000BE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7" w:name="sec-8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八、实施路径（里程碑）</w:t>
      </w:r>
      <w:bookmarkEnd w:id="17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阶段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周期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交付物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验收标准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一期：知识底座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6–8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法规知识库 v1（五大类入库）+ 双路检索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抽样问答引用准确率 ≥ 95%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二期：问答与监控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4–6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问答 Agent + 法规变更监控 MVP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内测用户满意度 ≥ 80%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三期：合规校验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6–8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规则库 v1（原料/限量/标签）+ 校验工作台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人工复核一致性 ≥ 90%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四期：审核与开放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4–6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材料预审 Agent + 开放 API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API 接入 1 个以上业务系统</w:t>
            </w:r>
          </w:p>
        </w:tc>
      </w:tr>
    </w:tbl>
    <w:p w14:paraId="000000D3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8" w:name="sec-9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九、风险与应对</w:t>
      </w:r>
      <w:bookmarkEnd w:id="18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风险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等级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模型幻觉引用不存在的条款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引用定位器逐条校验，校验失败即拒答并转人工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地方细则与国家法规冲突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知识库分层存储并标注效力位阶，冲突时双列呈现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法规更新滞后导致过期结论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监控 Agent 双源比对，过期版本答案自动加「已修订」提示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规则覆盖不全造成漏检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校验报告区分「规则判定」与「模型判断」，未覆盖项显式标注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E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用户将辅助结论当最终批复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E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E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全部对外输出标注「辅助意见，不构成监管结论」</w:t>
            </w:r>
          </w:p>
        </w:tc>
      </w:tr>
    </w:tbl>
    <w:p w14:paraId="000000E6">
      <w:pPr>
        <w:pStyle w:val="000004"/>
        <w:keepNext w:val="1"/>
        <w:keepLines w:val="1"/>
        <w:pBdr>
          <w:left w:val="single" w:color="1565c0" w:sz="24"/>
        </w:pBdr>
        <w:spacing w:before="480" w:beforeAutospacing="1" w:after="18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9" w:name="sec-10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十、预期产出</w:t>
      </w:r>
      <w:bookmarkEnd w:id="19"/>
    </w:p>
    <w:p w14:paraId="000000E7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一套可溯源、可审计的饲料法规知识底座（条款级知识库 + 结构化规则库）；</w:t>
      </w:r>
    </w:p>
    <w:p w14:paraId="000000E8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四个可独立交付的智能体应用（问答、校验、监控、预审）；</w:t>
      </w:r>
    </w:p>
    <w:p w14:paraId="000000E9">
      <w:pPr>
        <w:numPr>
          <w:ilvl w:val="0"/>
          <w:numId w:val="1"/>
        </w:numPr>
        <w:spacing w:before="0" w:after="120" w:line="384"/>
        <w:ind w:left="48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一套面向监管场景的智能体工程规范（溯源、评测、版本化、人在回路），可复用到其他垂直法规领域（如兽药、宠物食品）。</w:t>
      </w:r>
    </w:p>
    <w:p w14:paraId="000000EA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E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4" w:semiHidden="1" w:unhideWhenUsed="1"/>
    <w:lsdException w:name="index heading" w:semiHidden="1" w:unhideWhenUsed="1"/>
    <w:lsdException w:name="table of figures" w:semiHidden="1" w:unhideWhenUsed="1"/>
    <w:lsdException w:name="Closing" w:semiHidden="1" w:unhideWhenUsed="1"/>
    <w:lsdException w:name="Normal" w:uiPriority="0" w:qFormat="1"/>
    <w:lsdException w:name="heading 1" w:uiPriority="9" w:qFormat="1"/>
    <w:lsdException w:name="List Continue 2" w:semiHidden="1" w:unhideWhenUsed="1"/>
    <w:lsdException w:name="FollowedHyperlink" w:semiHidden="1" w:unhideWhenUsed="1"/>
    <w:lsdException w:name="Block Text" w:semiHidden="1" w:unhideWhenUsed="1"/>
    <w:lsdException w:name="Normal Indent" w:semiHidden="1" w:unhideWhenUsed="1"/>
    <w:lsdException w:name="List Number 4" w:semiHidden="1" w:unhideWhenUsed="1"/>
    <w:lsdException w:name="heading 3" w:uiPriority="9" w:semiHidden="1" w:unhideWhenUsed="1" w:qFormat="1"/>
    <w:lsdException w:name="List Bullet 5" w:semiHidden="1" w:unhideWhenUsed="1"/>
    <w:lsdException w:name="Message Header" w:semiHidden="1" w:unhideWhenUsed="1"/>
    <w:lsdException w:name="page number" w:semiHidden="1" w:unhideWhenUsed="1"/>
    <w:lsdException w:name="toc 3" w:uiPriority="39" w:semiHidden="1" w:unhideWhenUsed="1"/>
    <w:lsdException w:name="List Bullet 4" w:semiHidden="1" w:unhideWhenUsed="1"/>
    <w:lsdException w:name="List Bullet" w:semiHidden="1" w:unhideWhenUsed="1"/>
    <w:lsdException w:name="heading 6" w:uiPriority="9" w:semiHidden="1" w:unhideWhenUsed="1" w:qFormat="1"/>
    <w:lsdException w:name="heading 2" w:uiPriority="9" w:semiHidden="1" w:unhideWhenUsed="1" w:qFormat="1"/>
    <w:lsdException w:name="index 7" w:semiHidden="1" w:unhideWhenUsed="1"/>
    <w:lsdException w:name="envelope return" w:semiHidden="1" w:unhideWhenUsed="1"/>
    <w:lsdException w:name="Body Text First Indent" w:semiHidden="1" w:unhideWhenUsed="1"/>
    <w:lsdException w:name="Title" w:uiPriority="10" w:qFormat="1"/>
    <w:lsdException w:name="toc 2" w:uiPriority="39" w:semiHidden="1" w:unhideWhenUsed="1"/>
    <w:lsdException w:name="heading 8" w:uiPriority="9" w:semiHidden="1" w:unhideWhenUsed="1" w:qFormat="1"/>
    <w:lsdException w:name="List Number" w:semiHidden="1" w:unhideWhenUsed="1"/>
    <w:lsdException w:name="index 1" w:semiHidden="1" w:unhideWhenUsed="1"/>
    <w:lsdException w:name="toc 8" w:uiPriority="39" w:semiHidden="1" w:unhideWhenUsed="1"/>
    <w:lsdException w:name="Hyperlink" w:semiHidden="1" w:unhideWhenUsed="1"/>
    <w:lsdException w:name="Body Text 2" w:semiHidden="1" w:unhideWhenUsed="1"/>
    <w:lsdException w:name="Body Text Indent 3" w:semiHidden="1" w:unhideWhenUsed="1"/>
    <w:lsdException w:name="List Bullet 3" w:semiHidden="1" w:unhideWhenUsed="1"/>
    <w:lsdException w:name="Body Text" w:semiHidden="1" w:unhideWhenUsed="1"/>
    <w:lsdException w:name="List Continue 4" w:semiHidden="1" w:unhideWhenUsed="1"/>
    <w:lsdException w:name="List 5" w:semiHidden="1" w:unhideWhenUsed="1"/>
    <w:lsdException w:name="annotation reference" w:semiHidden="1" w:unhideWhenUsed="1"/>
    <w:lsdException w:name="List Number 3" w:semiHidden="1" w:unhideWhenUsed="1"/>
    <w:lsdException w:name="heading 5" w:uiPriority="9" w:semiHidden="1" w:unhideWhenUsed="1" w:qFormat="1"/>
    <w:lsdException w:name="Strong" w:uiPriority="22" w:qFormat="1"/>
    <w:lsdException w:name="toc 5" w:uiPriority="39" w:semiHidden="1" w:unhideWhenUsed="1"/>
    <w:lsdException w:name="List 2" w:semiHidden="1" w:unhideWhenUsed="1"/>
    <w:lsdException w:name="index 8" w:semiHidden="1" w:unhideWhenUsed="1"/>
    <w:lsdException w:name="index 9" w:semiHidden="1" w:unhideWhenUsed="1"/>
    <w:lsdException w:name="index 3" w:semiHidden="1" w:unhideWhenUsed="1"/>
    <w:lsdException w:name="Salutation" w:semiHidden="1" w:unhideWhenUsed="1"/>
    <w:lsdException w:name="Subtitle" w:uiPriority="11" w:qFormat="1"/>
    <w:lsdException w:name="footnote reference" w:semiHidden="1" w:unhideWhenUsed="1"/>
    <w:lsdException w:name="index 2" w:semiHidden="1" w:unhideWhenUsed="1"/>
    <w:lsdException w:name="toa heading" w:semiHidden="1" w:unhideWhenUsed="1"/>
    <w:lsdException w:name="Signature" w:semiHidden="1" w:unhideWhenUsed="1"/>
    <w:lsdException w:name="List Continue" w:semiHidden="1" w:unhideWhenUsed="1"/>
    <w:lsdException w:name="List Continue 3" w:semiHidden="1" w:unhideWhenUsed="1"/>
    <w:lsdException w:name="toc 1" w:uiPriority="39" w:semiHidden="1" w:unhideWhenUsed="1"/>
    <w:lsdException w:name="endnote text" w:semiHidden="1" w:unhideWhenUsed="1"/>
    <w:lsdException w:name="index 6" w:semiHidden="1" w:unhideWhenUsed="1"/>
    <w:lsdException w:name="table of authorities" w:semiHidden="1" w:unhideWhenUsed="1"/>
    <w:lsdException w:name="heading 7" w:uiPriority="9" w:semiHidden="1" w:unhideWhenUsed="1" w:qFormat="1"/>
    <w:lsdException w:name="toc 7" w:uiPriority="39" w:semiHidden="1" w:unhideWhenUsed="1"/>
    <w:lsdException w:name="toc 6" w:uiPriority="39" w:semiHidden="1" w:unhideWhenUsed="1"/>
    <w:lsdException w:name="annotation text" w:semiHidden="1" w:unhideWhenUsed="1"/>
    <w:lsdException w:name="Body Text Indent 2" w:semiHidden="1" w:unhideWhenUsed="1"/>
    <w:lsdException w:name="List Number 5" w:semiHidden="1" w:unhideWhenUsed="1"/>
    <w:lsdException w:name="envelope address" w:semiHidden="1" w:unhideWhenUsed="1"/>
    <w:lsdException w:name="index 5" w:semiHidden="1" w:unhideWhenUsed="1"/>
    <w:lsdException w:name="macro" w:semiHidden="1" w:unhideWhenUsed="1"/>
    <w:lsdException w:name="index 4" w:semiHidden="1" w:unhideWhenUsed="1"/>
    <w:lsdException w:name="Default Paragraph Font" w:uiPriority="1" w:semiHidden="1" w:unhideWhenUsed="1"/>
    <w:lsdException w:name="heading 9" w:uiPriority="9" w:semiHidden="1" w:unhideWhenUsed="1" w:qFormat="1"/>
    <w:lsdException w:name="Date" w:semiHidden="1" w:unhideWhenUsed="1"/>
    <w:lsdException w:name="line number" w:semiHidden="1" w:unhideWhenUsed="1"/>
    <w:lsdException w:name="caption" w:uiPriority="35" w:semiHidden="1" w:unhideWhenUsed="1" w:qFormat="1"/>
    <w:lsdException w:name="Body Text 3" w:semiHidden="1" w:unhideWhenUsed="1"/>
    <w:lsdException w:name="toc 9" w:uiPriority="39" w:semiHidden="1" w:unhideWhenUsed="1"/>
    <w:lsdException w:name="List" w:semiHidden="1" w:unhideWhenUsed="1"/>
    <w:lsdException w:name="Body Text Indent" w:semiHidden="1" w:unhideWhenUsed="1"/>
    <w:lsdException w:name="List Bullet 2" w:semiHidden="1" w:unhideWhenUsed="1"/>
    <w:lsdException w:name="header" w:semiHidden="1" w:unhideWhenUsed="1"/>
    <w:lsdException w:name="heading 4" w:uiPriority="9" w:semiHidden="1" w:unhideWhenUsed="1" w:qFormat="1"/>
    <w:lsdException w:name="List Continue 5" w:semiHidden="1" w:unhideWhenUsed="1"/>
    <w:lsdException w:name="List Number 2" w:semiHidden="1" w:unhideWhenUsed="1"/>
    <w:lsdException w:name="List 3" w:semiHidden="1" w:unhideWhenUsed="1"/>
    <w:lsdException w:name="Body Text First Indent 2" w:semiHidden="1" w:unhideWhenUsed="1"/>
    <w:lsdException w:name="footer" w:semiHidden="1" w:unhideWhenUsed="1"/>
    <w:lsdException w:name="endnote reference" w:semiHidden="1" w:unhideWhenUsed="1"/>
    <w:lsdException w:name="toc 4" w:uiPriority="39" w:semiHidden="1" w:unhideWhenUsed="1"/>
    <w:lsdException w:name="Note Heading" w:semiHidden="1" w:unhideWhenUsed="1"/>
    <w:lsdException w:name="footnote text" w:semiHidden="1" w:unhideWhenUsed="1"/>
  </w:latentStyles>
  <w:style w:type="paragraph" w:styleId="uaunni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2026-10-28T10:27:11Z</dcterms:created>
  <dcterms:modified xsi:type="dcterms:W3CDTF">2026-10-28T10:27:11Z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"01a180491c107eb7ba96edf652a9a4f8", "ReservedCode1": "", "ContentPropagator": "00119111010856365494821B355", "PropagateID": "01a180491c107eb7ba96edf652a9a4f8", "ReservedCode2": ""}}</vt:lpwstr>
  </property>
</Properties>
</file>