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9ABB" w14:textId="5D5BEDAE" w:rsidR="00275A0B" w:rsidRDefault="00623BD8">
      <w:pPr>
        <w:pStyle w:val="a3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二</w:t>
      </w:r>
      <w:r>
        <w:rPr>
          <w:rFonts w:ascii="微软雅黑" w:eastAsia="微软雅黑" w:hAnsi="微软雅黑"/>
          <w:sz w:val="24"/>
          <w:szCs w:val="24"/>
        </w:rPr>
        <w:t>次小组讨论报告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6855"/>
      </w:tblGrid>
      <w:tr w:rsidR="00275A0B" w14:paraId="77B8F095" w14:textId="77777777">
        <w:trPr>
          <w:trHeight w:val="540"/>
          <w:jc w:val="center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B6E0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主题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D7908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内存、外存及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MMU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的设计</w:t>
            </w:r>
          </w:p>
        </w:tc>
      </w:tr>
      <w:tr w:rsidR="00275A0B" w14:paraId="4DD85706" w14:textId="77777777">
        <w:trPr>
          <w:trHeight w:val="540"/>
          <w:jc w:val="center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8BAD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参与人员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535F3" w14:textId="77777777" w:rsidR="00275A0B" w:rsidRDefault="00623BD8">
            <w:pPr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</w:pP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计科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  <w:t>191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郭晗</w:t>
            </w:r>
          </w:p>
          <w:p w14:paraId="27539DC5" w14:textId="77777777" w:rsidR="00275A0B" w:rsidRDefault="00623BD8">
            <w:pPr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</w:pP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计科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  <w:t>192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刘嘉仪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秦婧雯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郭清如</w:t>
            </w:r>
          </w:p>
        </w:tc>
      </w:tr>
      <w:tr w:rsidR="00275A0B" w14:paraId="5D87D6AA" w14:textId="77777777">
        <w:trPr>
          <w:jc w:val="center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4D74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讨论时间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57E6" w14:textId="648B167E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2022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-02-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15</w:t>
            </w:r>
          </w:p>
        </w:tc>
      </w:tr>
      <w:tr w:rsidR="00275A0B" w14:paraId="314FE6C6" w14:textId="77777777">
        <w:trPr>
          <w:jc w:val="center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15DE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讨论地点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AC4E3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  <w:lang w:eastAsia="zh-Hans"/>
              </w:rPr>
            </w:pP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QQ</w:t>
            </w:r>
            <w:r>
              <w:rPr>
                <w:rFonts w:ascii="微软雅黑" w:eastAsia="微软雅黑" w:hAnsi="微软雅黑" w:hint="eastAsia"/>
                <w:kern w:val="0"/>
                <w:sz w:val="24"/>
                <w:szCs w:val="24"/>
                <w:lang w:eastAsia="zh-Hans"/>
              </w:rPr>
              <w:t>共享屏幕</w:t>
            </w:r>
          </w:p>
        </w:tc>
      </w:tr>
      <w:tr w:rsidR="00275A0B" w14:paraId="1D228152" w14:textId="77777777">
        <w:trPr>
          <w:jc w:val="center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F725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讨论时长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A2FA5" w14:textId="77777777" w:rsidR="00275A0B" w:rsidRDefault="00623BD8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kern w:val="0"/>
                <w:sz w:val="24"/>
                <w:szCs w:val="24"/>
              </w:rPr>
              <w:t>小时</w:t>
            </w:r>
          </w:p>
        </w:tc>
      </w:tr>
    </w:tbl>
    <w:p w14:paraId="4FC7D8FE" w14:textId="77777777" w:rsidR="00275A0B" w:rsidRDefault="00623BD8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主要内容</w:t>
      </w:r>
    </w:p>
    <w:p w14:paraId="40DC5693" w14:textId="77777777" w:rsidR="00275A0B" w:rsidRDefault="00623BD8">
      <w:pPr>
        <w:numPr>
          <w:ilvl w:val="0"/>
          <w:numId w:val="1"/>
        </w:numP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本次会议我们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首先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对本次操作系统课设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对外存相关的要求进行了分析，以及具体实现方法。对于外存，我们打算把每个外存物理块设计成一个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.txt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文件。在根目录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.disk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下建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10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个文件夹模拟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10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个柱面，在每个柱面文件夹下建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32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个文件夹模拟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32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个磁道，每个磁道文件夹中有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64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个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.txt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文件，用来模拟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64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个扇区。外存将通过代码自动生成。关于外存的划分，需要将外存划分成系统区、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JCB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区、交换区、外页表区、文件区，以及输入井和输出井。外存中至少需要包括外存的初始化、外存的读和写三个功能。外存的读写功能，需要将输入的地址转化成外存的柱面号、磁道号、扇区号以及扇区内的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偏移地址，每次写入或读入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2</w:t>
      </w:r>
      <w:r>
        <w:rPr>
          <w:rFonts w:ascii="微软雅黑" w:eastAsia="微软雅黑" w:hAnsi="微软雅黑" w:hint="eastAsia"/>
          <w:color w:val="333333"/>
          <w:sz w:val="24"/>
          <w:szCs w:val="24"/>
        </w:rPr>
        <w:t>个字节的数据。</w:t>
      </w:r>
    </w:p>
    <w:p w14:paraId="5FF2181F" w14:textId="77777777" w:rsidR="00275A0B" w:rsidRDefault="00623BD8">
      <w:pPr>
        <w:numPr>
          <w:ilvl w:val="0"/>
          <w:numId w:val="1"/>
        </w:numPr>
        <w:snapToGrid w:val="0"/>
        <w:spacing w:before="60" w:after="60"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针对内存的分析和设计与外存类似。内存可以设计成</w:t>
      </w:r>
      <w:r>
        <w:rPr>
          <w:rFonts w:ascii="微软雅黑" w:eastAsia="微软雅黑" w:hAnsi="微软雅黑" w:hint="eastAsia"/>
          <w:sz w:val="24"/>
          <w:szCs w:val="24"/>
        </w:rPr>
        <w:t>.txt</w:t>
      </w:r>
      <w:r>
        <w:rPr>
          <w:rFonts w:ascii="微软雅黑" w:eastAsia="微软雅黑" w:hAnsi="微软雅黑" w:hint="eastAsia"/>
          <w:sz w:val="24"/>
          <w:szCs w:val="24"/>
        </w:rPr>
        <w:t>文件的形式，也可以设计成一个数组。内存共</w:t>
      </w:r>
      <w:r>
        <w:rPr>
          <w:rFonts w:ascii="微软雅黑" w:eastAsia="微软雅黑" w:hAnsi="微软雅黑" w:hint="eastAsia"/>
          <w:sz w:val="24"/>
          <w:szCs w:val="24"/>
        </w:rPr>
        <w:t>32KB</w:t>
      </w:r>
      <w:r>
        <w:rPr>
          <w:rFonts w:ascii="微软雅黑" w:eastAsia="微软雅黑" w:hAnsi="微软雅黑" w:hint="eastAsia"/>
          <w:sz w:val="24"/>
          <w:szCs w:val="24"/>
        </w:rPr>
        <w:t>，其中</w:t>
      </w:r>
      <w:r>
        <w:rPr>
          <w:rFonts w:ascii="微软雅黑" w:eastAsia="微软雅黑" w:hAnsi="微软雅黑" w:hint="eastAsia"/>
          <w:sz w:val="24"/>
          <w:szCs w:val="24"/>
        </w:rPr>
        <w:t>8KB</w:t>
      </w:r>
      <w:r>
        <w:rPr>
          <w:rFonts w:ascii="微软雅黑" w:eastAsia="微软雅黑" w:hAnsi="微软雅黑" w:hint="eastAsia"/>
          <w:sz w:val="24"/>
          <w:szCs w:val="24"/>
        </w:rPr>
        <w:t>为缓冲区，</w:t>
      </w:r>
      <w:r>
        <w:rPr>
          <w:rFonts w:ascii="微软雅黑" w:eastAsia="微软雅黑" w:hAnsi="微软雅黑" w:hint="eastAsia"/>
          <w:sz w:val="24"/>
          <w:szCs w:val="24"/>
        </w:rPr>
        <w:t>24KB</w:t>
      </w:r>
      <w:r>
        <w:rPr>
          <w:rFonts w:ascii="微软雅黑" w:eastAsia="微软雅黑" w:hAnsi="微软雅黑" w:hint="eastAsia"/>
          <w:sz w:val="24"/>
          <w:szCs w:val="24"/>
        </w:rPr>
        <w:t>为用户区。内存主要包括三个功能，内存的初始化、对内存的读和写。每次可以读或写</w:t>
      </w:r>
      <w:r>
        <w:rPr>
          <w:rFonts w:ascii="微软雅黑" w:eastAsia="微软雅黑" w:hAnsi="微软雅黑" w:hint="eastAsia"/>
          <w:sz w:val="24"/>
          <w:szCs w:val="24"/>
        </w:rPr>
        <w:t>16</w:t>
      </w:r>
      <w:r>
        <w:rPr>
          <w:rFonts w:ascii="微软雅黑" w:eastAsia="微软雅黑" w:hAnsi="微软雅黑" w:hint="eastAsia"/>
          <w:sz w:val="24"/>
          <w:szCs w:val="24"/>
        </w:rPr>
        <w:t>位数据。</w:t>
      </w:r>
    </w:p>
    <w:p w14:paraId="65944B7B" w14:textId="77777777" w:rsidR="00275A0B" w:rsidRDefault="00623BD8">
      <w:pPr>
        <w:numPr>
          <w:ilvl w:val="0"/>
          <w:numId w:val="1"/>
        </w:numPr>
        <w:snapToGrid w:val="0"/>
        <w:spacing w:before="60" w:after="60"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 w:hint="eastAsia"/>
          <w:sz w:val="24"/>
          <w:szCs w:val="24"/>
        </w:rPr>
        <w:t>MMU</w:t>
      </w:r>
      <w:r>
        <w:rPr>
          <w:rFonts w:ascii="微软雅黑" w:eastAsia="微软雅黑" w:hAnsi="微软雅黑" w:hint="eastAsia"/>
          <w:sz w:val="24"/>
          <w:szCs w:val="24"/>
        </w:rPr>
        <w:t>地址转换机制抽象为一个硬件，用一个类来实现。</w:t>
      </w:r>
      <w:r>
        <w:rPr>
          <w:rFonts w:ascii="微软雅黑" w:eastAsia="微软雅黑" w:hAnsi="微软雅黑" w:hint="eastAsia"/>
          <w:sz w:val="24"/>
          <w:szCs w:val="24"/>
        </w:rPr>
        <w:t>MMU</w:t>
      </w:r>
      <w:r>
        <w:rPr>
          <w:rFonts w:ascii="微软雅黑" w:eastAsia="微软雅黑" w:hAnsi="微软雅黑" w:hint="eastAsia"/>
          <w:sz w:val="24"/>
          <w:szCs w:val="24"/>
        </w:rPr>
        <w:t>中应该包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含对快表的管理相关功能。以及将逻辑地址转换成物理地址的功能、查询快表、页表，管理</w:t>
      </w:r>
      <w:r>
        <w:rPr>
          <w:rFonts w:ascii="微软雅黑" w:eastAsia="微软雅黑" w:hAnsi="微软雅黑" w:hint="eastAsia"/>
          <w:sz w:val="24"/>
          <w:szCs w:val="24"/>
        </w:rPr>
        <w:t>LRU</w:t>
      </w:r>
      <w:r>
        <w:rPr>
          <w:rFonts w:ascii="微软雅黑" w:eastAsia="微软雅黑" w:hAnsi="微软雅黑" w:hint="eastAsia"/>
          <w:sz w:val="24"/>
          <w:szCs w:val="24"/>
        </w:rPr>
        <w:t>队列。</w:t>
      </w:r>
    </w:p>
    <w:p w14:paraId="05208EF2" w14:textId="77777777" w:rsidR="00275A0B" w:rsidRDefault="00623BD8">
      <w:pPr>
        <w:pStyle w:val="2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讨论心得</w:t>
      </w:r>
    </w:p>
    <w:p w14:paraId="4D18848C" w14:textId="77777777" w:rsidR="00275A0B" w:rsidRDefault="00623BD8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本次讨论对该课设的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个硬件</w:t>
      </w:r>
      <w:r>
        <w:rPr>
          <w:rFonts w:ascii="微软雅黑" w:eastAsia="微软雅黑" w:hAnsi="微软雅黑" w:hint="eastAsia"/>
          <w:sz w:val="24"/>
          <w:szCs w:val="24"/>
        </w:rPr>
        <w:t>进行了</w:t>
      </w:r>
      <w:r>
        <w:rPr>
          <w:rFonts w:ascii="微软雅黑" w:eastAsia="微软雅黑" w:hAnsi="微软雅黑" w:hint="eastAsia"/>
          <w:sz w:val="24"/>
          <w:szCs w:val="24"/>
        </w:rPr>
        <w:t>具体的</w:t>
      </w:r>
      <w:r>
        <w:rPr>
          <w:rFonts w:ascii="微软雅黑" w:eastAsia="微软雅黑" w:hAnsi="微软雅黑" w:hint="eastAsia"/>
          <w:sz w:val="24"/>
          <w:szCs w:val="24"/>
        </w:rPr>
        <w:t>分析，基本确定了</w:t>
      </w:r>
      <w:r>
        <w:rPr>
          <w:rFonts w:ascii="微软雅黑" w:eastAsia="微软雅黑" w:hAnsi="微软雅黑" w:hint="eastAsia"/>
          <w:sz w:val="24"/>
          <w:szCs w:val="24"/>
        </w:rPr>
        <w:t>内存、外存具体的实现方式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MMU</w:t>
      </w:r>
      <w:r>
        <w:rPr>
          <w:rFonts w:ascii="微软雅黑" w:eastAsia="微软雅黑" w:hAnsi="微软雅黑" w:hint="eastAsia"/>
          <w:sz w:val="24"/>
          <w:szCs w:val="24"/>
        </w:rPr>
        <w:t>中包含的功能。但是由于此次课设不涉及偏移地址，指令的逻辑地址为逻辑页号，所有关于内存、外存的具体设计过程中可能会遇到很多问题，我们需要结合操作系统的理论知识和此次课程设计的具体要求，在后续实现的过程中再继续讨论。</w:t>
      </w:r>
    </w:p>
    <w:p w14:paraId="40A1D643" w14:textId="77777777" w:rsidR="00275A0B" w:rsidRDefault="00275A0B"/>
    <w:sectPr w:rsidR="0027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7510"/>
    <w:multiLevelType w:val="singleLevel"/>
    <w:tmpl w:val="242775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21CF5"/>
    <w:rsid w:val="00275A0B"/>
    <w:rsid w:val="00623BD8"/>
    <w:rsid w:val="083D71F3"/>
    <w:rsid w:val="284035F2"/>
    <w:rsid w:val="336E0177"/>
    <w:rsid w:val="3C69277D"/>
    <w:rsid w:val="3DFF40A2"/>
    <w:rsid w:val="3F3D5750"/>
    <w:rsid w:val="40021F5F"/>
    <w:rsid w:val="57DF3A97"/>
    <w:rsid w:val="5F902B59"/>
    <w:rsid w:val="5FF21CF5"/>
    <w:rsid w:val="639078B8"/>
    <w:rsid w:val="6A071B65"/>
    <w:rsid w:val="730D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D26A1"/>
  <w15:docId w15:val="{130CBE4F-EF96-443A-A9EF-13B7C749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薏仁</dc:creator>
  <cp:lastModifiedBy>郭 晗</cp:lastModifiedBy>
  <cp:revision>2</cp:revision>
  <dcterms:created xsi:type="dcterms:W3CDTF">2022-03-08T09:34:00Z</dcterms:created>
  <dcterms:modified xsi:type="dcterms:W3CDTF">2022-03-09T13:52:00Z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76487990A03F407DA5F504B7A57B03DF</vt:lpwstr>
  </property>
</Properties>
</file>