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8"/>
                <w:szCs w:val="28"/>
              </w:rPr>
              <w:t>部件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8"/>
                <w:szCs w:val="28"/>
              </w:rPr>
              <w:t>图片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8"/>
                <w:szCs w:val="28"/>
              </w:rPr>
              <w:t>名称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8"/>
                <w:szCs w:val="28"/>
              </w:rPr>
              <w:t>价格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CPU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Intel 酷睿i3 8100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949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主板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技嘉H110M-S2(rev.1.0)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429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内存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209550" cy="209550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金士顿HyperX Savage 8GB DDR4 2400（HX424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699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硬盘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5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希捷Barracuda 1TB 7200转 64MB 单碟（ST10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固态硬盘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金士顿A400（120GB）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259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显卡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影驰GT730虎将1G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499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显示器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0" t="0" r="0" b="0"/>
                  <wp:docPr id="8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长臂猿GA112FC（ 本厂色）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298</w:t>
            </w:r>
          </w:p>
        </w:tc>
      </w:tr>
    </w:tbl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机箱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9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金河田21+峥嵘 MUT1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电源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爱国者电竞500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279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散热器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九州风神玄冰400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100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鼠标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33475" cy="857250"/>
                  <wp:effectExtent l="0" t="0" r="0" b="0"/>
                  <wp:docPr id="1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Razer 炼狱蝰蛇升级版鼠标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149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键盘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罗技K120键盘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45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鼠标套装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双飞燕WKM-1000针光键鼠套装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69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音响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5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漫步者M19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199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光驱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33475" cy="857250"/>
                  <wp:effectExtent l="0" t="0" r="0" b="0"/>
                  <wp:docPr id="1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明基DW24AS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109</w:t>
            </w:r>
          </w:p>
        </w:tc>
      </w:tr>
    </w:tbl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声卡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乐之邦莫邪digital（2010版）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99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网卡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drawing>
                <wp:inline distT="0" distB="0" distL="0" distR="0">
                  <wp:extent cx="1143000" cy="857250"/>
                  <wp:effectExtent l="0" t="0" r="0" b="0"/>
                  <wp:docPr id="18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Winyao PCE-9260AC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24"/>
                <w:szCs w:val="24"/>
              </w:rPr>
              <w:t>220</w:t>
            </w:r>
          </w:p>
        </w:tc>
      </w:tr>
    </w:tbl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085"/>
      </w:tblGrid>
      <w:tr>
        <w:trPr>
          <w:trHeight w:val="90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c00000"/>
                <w:sz w:val="32"/>
                <w:szCs w:val="32"/>
              </w:rPr>
              <w:t>5000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