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E3F82" w14:textId="639C92E2">
      <w:pPr>
        <w:jc w:val="center"/>
        <w:rPr>
          <w:rFonts w:ascii="Times New Roman" w:hAnsi="Times New Roman" w:cs="Times New Roman"/>
          <w:lang w:eastAsia="zh-CN"/>
        </w:rPr>
      </w:pPr>
      <w:r>
        <w:rPr>
          <w:rFonts w:ascii="Times New Roman" w:hAnsi="Times New Roman" w:cs="Times New Roman"/>
          <w:b/>
          <w:sz w:val="36"/>
        </w:rPr>
        <w:t>Does Financial News Sentiment Move the S&amp;P 500?</w:t>
      </w:r>
    </w:p>
    <w:p w14:paraId="31173272" w14:textId="77777777">
      <w:pPr>
        <w:pStyle w:val="1"/>
        <w:ind w:right="200"/>
        <w:rPr>
          <w:rFonts w:ascii="Times New Roman" w:hAnsi="Times New Roman" w:cs="Times New Roman"/>
          <w:szCs w:val="22"/>
        </w:rPr>
      </w:pPr>
      <w:r>
        <w:rPr>
          <w:rFonts w:ascii="Times New Roman" w:hAnsi="Times New Roman" w:cs="Times New Roman"/>
          <w:szCs w:val="22"/>
        </w:rPr>
        <w:t>1. Problem Statement</w:t>
      </w:r>
    </w:p>
    <w:p w14:paraId="61F71F8C" w14:textId="386600E0">
      <w:pPr>
        <w:spacing w:after="120" w:line="252" w:lineRule="auto"/>
        <w:rPr>
          <w:rFonts w:ascii="Times New Roman" w:hAnsi="Times New Roman" w:cs="Times New Roman"/>
        </w:rPr>
      </w:pPr>
      <w:r>
        <w:rPr>
          <w:rFonts w:ascii="Times New Roman" w:hAnsi="Times New Roman" w:cs="Times New Roman"/>
        </w:rPr>
        <w:t>Financial markets are supposed to react quickly to public information, but investors still spend a lot of money on news feeds, terminals, and text-based trading signals. That tension motivated our project. We wanted to test whether daily financial headlines contain enough information to help explain or predict next-day S&amp;P 500 movement.</w:t>
      </w:r>
      <w:r>
        <w:rPr>
          <w:rFonts w:ascii="Times New Roman" w:hAnsi="Times New Roman" w:cs="Times New Roman"/>
        </w:rPr>
        <w:t xml:space="preserve"> </w:t>
      </w:r>
      <w:r>
        <w:rPr>
          <w:rFonts w:ascii="Times New Roman" w:hAnsi="Times New Roman" w:cs="Times New Roman"/>
        </w:rPr>
        <w:t>More specifically, we frame the main prediction task as a binary direction problem: whether the S&amp;P 500 will close higher or lower on the next trading day.</w:t>
      </w:r>
    </w:p>
    <w:p w14:paraId="6082196C" w14:textId="77777777">
      <w:pPr>
        <w:spacing w:after="120" w:line="252" w:lineRule="auto"/>
        <w:rPr>
          <w:rFonts w:ascii="Times New Roman" w:hAnsi="Times New Roman" w:cs="Times New Roman"/>
        </w:rPr>
      </w:pPr>
      <w:r>
        <w:rPr>
          <w:rFonts w:ascii="Times New Roman" w:hAnsi="Times New Roman" w:cs="Times New Roman"/>
        </w:rPr>
        <w:t>We were not trying to prove that news never matters. Large news events clearly affect how investors think about risk. Our question is narrower: after headlines are aggregated at the daily level, do sentiment features add useful signal beyond a simple market baseline? We also wanted to see whether that signal changes across very different market periods, including the 2008-2009 financial crisis, the 2020 COVID shock, and the 2022-2023 rate-hike cycle.</w:t>
      </w:r>
    </w:p>
    <w:p w14:paraId="7A161CB9" w14:textId="77777777">
      <w:pPr>
        <w:spacing w:after="120" w:line="252" w:lineRule="auto"/>
        <w:rPr>
          <w:rFonts w:ascii="Times New Roman" w:hAnsi="Times New Roman" w:cs="Times New Roman"/>
        </w:rPr>
      </w:pPr>
      <w:r>
        <w:rPr>
          <w:rFonts w:ascii="Times New Roman" w:hAnsi="Times New Roman" w:cs="Times New Roman"/>
        </w:rPr>
        <w:t xml:space="preserve">The short answer is mixed and mostly cautious. Some finance-specific sentiment features look promising in selected </w:t>
      </w:r>
      <w:proofErr w:type="spellStart"/>
      <w:r>
        <w:rPr>
          <w:rFonts w:ascii="Times New Roman" w:hAnsi="Times New Roman" w:cs="Times New Roman"/>
        </w:rPr>
        <w:t>backtests</w:t>
      </w:r>
      <w:proofErr w:type="spellEnd"/>
      <w:r>
        <w:rPr>
          <w:rFonts w:ascii="Times New Roman" w:hAnsi="Times New Roman" w:cs="Times New Roman"/>
        </w:rPr>
        <w:t>, but the overall predictive signal is weak. Classification accuracy stays close to chance, return models barely improve on a historical mean benchmark, and the strategy results are sensitive to regime, threshold choice, and trading assumptions.</w:t>
      </w:r>
    </w:p>
    <w:p w14:paraId="3D58D2E7" w14:textId="77777777">
      <w:pPr>
        <w:pStyle w:val="1"/>
        <w:ind w:right="200"/>
        <w:rPr>
          <w:rFonts w:ascii="Times New Roman" w:hAnsi="Times New Roman" w:cs="Times New Roman"/>
        </w:rPr>
      </w:pPr>
      <w:r>
        <w:rPr>
          <w:rFonts w:ascii="Times New Roman" w:hAnsi="Times New Roman" w:cs="Times New Roman"/>
        </w:rPr>
        <w:t>2. Data Description</w:t>
      </w:r>
    </w:p>
    <w:p w14:paraId="139FBEC3" w14:textId="77777777">
      <w:pPr>
        <w:spacing w:after="120" w:line="252" w:lineRule="auto"/>
        <w:rPr>
          <w:rFonts w:ascii="Times New Roman" w:hAnsi="Times New Roman" w:cs="Times New Roman"/>
        </w:rPr>
      </w:pPr>
      <w:r>
        <w:rPr>
          <w:rFonts w:ascii="Times New Roman" w:hAnsi="Times New Roman" w:cs="Times New Roman"/>
        </w:rPr>
        <w:t xml:space="preserve">Our main dataset is the Kaggle file "S&amp;P 500 with Financial News Headlines (2008-2024)" by </w:t>
      </w:r>
      <w:proofErr w:type="spellStart"/>
      <w:r>
        <w:rPr>
          <w:rFonts w:ascii="Times New Roman" w:hAnsi="Times New Roman" w:cs="Times New Roman"/>
        </w:rPr>
        <w:t>dyutidasmahaptra</w:t>
      </w:r>
      <w:proofErr w:type="spellEnd"/>
      <w:r>
        <w:rPr>
          <w:rFonts w:ascii="Times New Roman" w:hAnsi="Times New Roman" w:cs="Times New Roman"/>
        </w:rPr>
        <w:t xml:space="preserve">. The raw file has 19,127 rows with headline text, date, and S&amp;P 500 close price, covering January 2, </w:t>
      </w:r>
      <w:proofErr w:type="gramStart"/>
      <w:r>
        <w:rPr>
          <w:rFonts w:ascii="Times New Roman" w:hAnsi="Times New Roman" w:cs="Times New Roman"/>
        </w:rPr>
        <w:t>2008</w:t>
      </w:r>
      <w:proofErr w:type="gramEnd"/>
      <w:r>
        <w:rPr>
          <w:rFonts w:ascii="Times New Roman" w:hAnsi="Times New Roman" w:cs="Times New Roman"/>
        </w:rPr>
        <w:t xml:space="preserve"> through March 4, 2024. Because there are often multiple headlines on the same trading day, the raw data is headline-level rather than one row per market day.</w:t>
      </w:r>
    </w:p>
    <w:tbl>
      <w:tblPr>
        <w:tblStyle w:val="aff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5040"/>
      </w:tblGrid>
      <w:tr w14:paraId="4EA50C5A" w14:textId="77777777">
        <w:tc>
          <w:tcPr>
            <w:tcW w:w="5040" w:type="dxa"/>
            <w:tcBorders>
              <w:top w:val="single" w:sz="4" w:space="0" w:color="auto"/>
              <w:bottom w:val="single" w:sz="4" w:space="0" w:color="auto"/>
            </w:tcBorders>
          </w:tcPr>
          <w:p w14:paraId="72660652" w14:textId="77777777">
            <w:pPr>
              <w:rPr>
                <w:rFonts w:ascii="Times New Roman" w:hAnsi="Times New Roman" w:cs="Times New Roman"/>
              </w:rPr>
            </w:pPr>
            <w:r>
              <w:rPr>
                <w:rFonts w:ascii="Times New Roman" w:hAnsi="Times New Roman" w:cs="Times New Roman"/>
                <w:b/>
                <w:sz w:val="16"/>
              </w:rPr>
              <w:t>Item</w:t>
            </w:r>
          </w:p>
        </w:tc>
        <w:tc>
          <w:tcPr>
            <w:tcW w:w="5040" w:type="dxa"/>
            <w:tcBorders>
              <w:top w:val="single" w:sz="4" w:space="0" w:color="auto"/>
              <w:bottom w:val="single" w:sz="4" w:space="0" w:color="auto"/>
            </w:tcBorders>
          </w:tcPr>
          <w:p w14:paraId="4F0D5C91" w14:textId="77777777">
            <w:pPr>
              <w:rPr>
                <w:rFonts w:ascii="Times New Roman" w:hAnsi="Times New Roman" w:cs="Times New Roman"/>
              </w:rPr>
            </w:pPr>
            <w:r>
              <w:rPr>
                <w:rFonts w:ascii="Times New Roman" w:hAnsi="Times New Roman" w:cs="Times New Roman"/>
                <w:b/>
                <w:sz w:val="16"/>
              </w:rPr>
              <w:t>Value</w:t>
            </w:r>
          </w:p>
        </w:tc>
      </w:tr>
      <w:tr w14:paraId="6DB2DE37" w14:textId="77777777">
        <w:tc>
          <w:tcPr>
            <w:tcW w:w="5040" w:type="dxa"/>
            <w:tcBorders>
              <w:top w:val="single" w:sz="4" w:space="0" w:color="auto"/>
            </w:tcBorders>
          </w:tcPr>
          <w:p w14:paraId="2CD7C531" w14:textId="77777777">
            <w:pPr>
              <w:rPr>
                <w:rFonts w:ascii="Times New Roman" w:hAnsi="Times New Roman" w:cs="Times New Roman"/>
              </w:rPr>
            </w:pPr>
            <w:r>
              <w:rPr>
                <w:rFonts w:ascii="Times New Roman" w:hAnsi="Times New Roman" w:cs="Times New Roman"/>
                <w:sz w:val="16"/>
              </w:rPr>
              <w:t>Raw rows</w:t>
            </w:r>
          </w:p>
        </w:tc>
        <w:tc>
          <w:tcPr>
            <w:tcW w:w="5040" w:type="dxa"/>
            <w:tcBorders>
              <w:top w:val="single" w:sz="4" w:space="0" w:color="auto"/>
            </w:tcBorders>
          </w:tcPr>
          <w:p w14:paraId="6CB4C33D" w14:textId="77777777">
            <w:pPr>
              <w:rPr>
                <w:rFonts w:ascii="Times New Roman" w:hAnsi="Times New Roman" w:cs="Times New Roman"/>
              </w:rPr>
            </w:pPr>
            <w:r>
              <w:rPr>
                <w:rFonts w:ascii="Times New Roman" w:hAnsi="Times New Roman" w:cs="Times New Roman"/>
                <w:sz w:val="16"/>
              </w:rPr>
              <w:t>19,127</w:t>
            </w:r>
          </w:p>
        </w:tc>
      </w:tr>
      <w:tr w14:paraId="324DA132" w14:textId="77777777">
        <w:tc>
          <w:tcPr>
            <w:tcW w:w="5040" w:type="dxa"/>
          </w:tcPr>
          <w:p w14:paraId="0203C2EB" w14:textId="77777777">
            <w:pPr>
              <w:rPr>
                <w:rFonts w:ascii="Times New Roman" w:hAnsi="Times New Roman" w:cs="Times New Roman"/>
              </w:rPr>
            </w:pPr>
            <w:r>
              <w:rPr>
                <w:rFonts w:ascii="Times New Roman" w:hAnsi="Times New Roman" w:cs="Times New Roman"/>
                <w:sz w:val="16"/>
              </w:rPr>
              <w:t>Clean headline rows</w:t>
            </w:r>
          </w:p>
        </w:tc>
        <w:tc>
          <w:tcPr>
            <w:tcW w:w="5040" w:type="dxa"/>
          </w:tcPr>
          <w:p w14:paraId="65596A3D" w14:textId="77777777">
            <w:pPr>
              <w:rPr>
                <w:rFonts w:ascii="Times New Roman" w:hAnsi="Times New Roman" w:cs="Times New Roman"/>
              </w:rPr>
            </w:pPr>
            <w:r>
              <w:rPr>
                <w:rFonts w:ascii="Times New Roman" w:hAnsi="Times New Roman" w:cs="Times New Roman"/>
                <w:sz w:val="16"/>
              </w:rPr>
              <w:t>18,153</w:t>
            </w:r>
          </w:p>
        </w:tc>
      </w:tr>
      <w:tr w14:paraId="513081DC" w14:textId="77777777">
        <w:tc>
          <w:tcPr>
            <w:tcW w:w="5040" w:type="dxa"/>
          </w:tcPr>
          <w:p w14:paraId="672DCF62" w14:textId="77777777">
            <w:pPr>
              <w:rPr>
                <w:rFonts w:ascii="Times New Roman" w:hAnsi="Times New Roman" w:cs="Times New Roman"/>
              </w:rPr>
            </w:pPr>
            <w:r>
              <w:rPr>
                <w:rFonts w:ascii="Times New Roman" w:hAnsi="Times New Roman" w:cs="Times New Roman"/>
                <w:sz w:val="16"/>
              </w:rPr>
              <w:t>Exact duplicate rows removed</w:t>
            </w:r>
          </w:p>
        </w:tc>
        <w:tc>
          <w:tcPr>
            <w:tcW w:w="5040" w:type="dxa"/>
          </w:tcPr>
          <w:p w14:paraId="6379C2BC" w14:textId="77777777">
            <w:pPr>
              <w:rPr>
                <w:rFonts w:ascii="Times New Roman" w:hAnsi="Times New Roman" w:cs="Times New Roman"/>
              </w:rPr>
            </w:pPr>
            <w:r>
              <w:rPr>
                <w:rFonts w:ascii="Times New Roman" w:hAnsi="Times New Roman" w:cs="Times New Roman"/>
                <w:sz w:val="16"/>
              </w:rPr>
              <w:t>974</w:t>
            </w:r>
          </w:p>
        </w:tc>
      </w:tr>
      <w:tr w14:paraId="5CEF48F2" w14:textId="77777777">
        <w:tc>
          <w:tcPr>
            <w:tcW w:w="5040" w:type="dxa"/>
          </w:tcPr>
          <w:p w14:paraId="4CF2AD69" w14:textId="77777777">
            <w:pPr>
              <w:rPr>
                <w:rFonts w:ascii="Times New Roman" w:hAnsi="Times New Roman" w:cs="Times New Roman"/>
              </w:rPr>
            </w:pPr>
            <w:r>
              <w:rPr>
                <w:rFonts w:ascii="Times New Roman" w:hAnsi="Times New Roman" w:cs="Times New Roman"/>
                <w:sz w:val="16"/>
              </w:rPr>
              <w:t>Prepared daily rows</w:t>
            </w:r>
          </w:p>
        </w:tc>
        <w:tc>
          <w:tcPr>
            <w:tcW w:w="5040" w:type="dxa"/>
          </w:tcPr>
          <w:p w14:paraId="14F382D8" w14:textId="77777777">
            <w:pPr>
              <w:rPr>
                <w:rFonts w:ascii="Times New Roman" w:hAnsi="Times New Roman" w:cs="Times New Roman"/>
              </w:rPr>
            </w:pPr>
            <w:r>
              <w:rPr>
                <w:rFonts w:ascii="Times New Roman" w:hAnsi="Times New Roman" w:cs="Times New Roman"/>
                <w:sz w:val="16"/>
              </w:rPr>
              <w:t>3,506</w:t>
            </w:r>
          </w:p>
        </w:tc>
      </w:tr>
      <w:tr w14:paraId="06B83F38" w14:textId="77777777">
        <w:tc>
          <w:tcPr>
            <w:tcW w:w="5040" w:type="dxa"/>
          </w:tcPr>
          <w:p w14:paraId="62CE59C2" w14:textId="77777777">
            <w:pPr>
              <w:rPr>
                <w:rFonts w:ascii="Times New Roman" w:hAnsi="Times New Roman" w:cs="Times New Roman"/>
              </w:rPr>
            </w:pPr>
            <w:r>
              <w:rPr>
                <w:rFonts w:ascii="Times New Roman" w:hAnsi="Times New Roman" w:cs="Times New Roman"/>
                <w:sz w:val="16"/>
              </w:rPr>
              <w:t>Mean headlines per trading day</w:t>
            </w:r>
          </w:p>
        </w:tc>
        <w:tc>
          <w:tcPr>
            <w:tcW w:w="5040" w:type="dxa"/>
          </w:tcPr>
          <w:p w14:paraId="21564C42" w14:textId="77777777">
            <w:pPr>
              <w:rPr>
                <w:rFonts w:ascii="Times New Roman" w:hAnsi="Times New Roman" w:cs="Times New Roman"/>
              </w:rPr>
            </w:pPr>
            <w:r>
              <w:rPr>
                <w:rFonts w:ascii="Times New Roman" w:hAnsi="Times New Roman" w:cs="Times New Roman"/>
                <w:sz w:val="16"/>
              </w:rPr>
              <w:t>5.17</w:t>
            </w:r>
          </w:p>
        </w:tc>
      </w:tr>
      <w:tr w14:paraId="3E620CB3" w14:textId="77777777">
        <w:tc>
          <w:tcPr>
            <w:tcW w:w="5040" w:type="dxa"/>
          </w:tcPr>
          <w:p w14:paraId="655E0682" w14:textId="77777777">
            <w:pPr>
              <w:rPr>
                <w:rFonts w:ascii="Times New Roman" w:hAnsi="Times New Roman" w:cs="Times New Roman"/>
              </w:rPr>
            </w:pPr>
            <w:r>
              <w:rPr>
                <w:rFonts w:ascii="Times New Roman" w:hAnsi="Times New Roman" w:cs="Times New Roman"/>
                <w:sz w:val="16"/>
              </w:rPr>
              <w:t>Median headlines per trading day</w:t>
            </w:r>
          </w:p>
        </w:tc>
        <w:tc>
          <w:tcPr>
            <w:tcW w:w="5040" w:type="dxa"/>
          </w:tcPr>
          <w:p w14:paraId="632C87C9" w14:textId="77777777">
            <w:pPr>
              <w:rPr>
                <w:rFonts w:ascii="Times New Roman" w:hAnsi="Times New Roman" w:cs="Times New Roman"/>
              </w:rPr>
            </w:pPr>
            <w:r>
              <w:rPr>
                <w:rFonts w:ascii="Times New Roman" w:hAnsi="Times New Roman" w:cs="Times New Roman"/>
                <w:sz w:val="16"/>
              </w:rPr>
              <w:t>4</w:t>
            </w:r>
          </w:p>
        </w:tc>
      </w:tr>
      <w:tr w14:paraId="249C26D3" w14:textId="77777777">
        <w:tc>
          <w:tcPr>
            <w:tcW w:w="5040" w:type="dxa"/>
          </w:tcPr>
          <w:p w14:paraId="528E1155" w14:textId="77777777">
            <w:pPr>
              <w:rPr>
                <w:rFonts w:ascii="Times New Roman" w:hAnsi="Times New Roman" w:cs="Times New Roman"/>
              </w:rPr>
            </w:pPr>
            <w:r>
              <w:rPr>
                <w:rFonts w:ascii="Times New Roman" w:hAnsi="Times New Roman" w:cs="Times New Roman"/>
                <w:sz w:val="16"/>
              </w:rPr>
              <w:t>Maximum headlines on one date</w:t>
            </w:r>
          </w:p>
        </w:tc>
        <w:tc>
          <w:tcPr>
            <w:tcW w:w="5040" w:type="dxa"/>
          </w:tcPr>
          <w:p w14:paraId="2F3BCFB5" w14:textId="77777777">
            <w:pPr>
              <w:rPr>
                <w:rFonts w:ascii="Times New Roman" w:hAnsi="Times New Roman" w:cs="Times New Roman"/>
              </w:rPr>
            </w:pPr>
            <w:r>
              <w:rPr>
                <w:rFonts w:ascii="Times New Roman" w:hAnsi="Times New Roman" w:cs="Times New Roman"/>
                <w:sz w:val="16"/>
              </w:rPr>
              <w:t>55</w:t>
            </w:r>
          </w:p>
        </w:tc>
      </w:tr>
      <w:tr w14:paraId="7364BAF4" w14:textId="77777777">
        <w:tc>
          <w:tcPr>
            <w:tcW w:w="5040" w:type="dxa"/>
          </w:tcPr>
          <w:p w14:paraId="158A3EDA" w14:textId="77777777">
            <w:pPr>
              <w:rPr>
                <w:rFonts w:ascii="Times New Roman" w:hAnsi="Times New Roman" w:cs="Times New Roman"/>
              </w:rPr>
            </w:pPr>
            <w:r>
              <w:rPr>
                <w:rFonts w:ascii="Times New Roman" w:hAnsi="Times New Roman" w:cs="Times New Roman"/>
                <w:sz w:val="16"/>
              </w:rPr>
              <w:t>Next-day up-day rate</w:t>
            </w:r>
          </w:p>
        </w:tc>
        <w:tc>
          <w:tcPr>
            <w:tcW w:w="5040" w:type="dxa"/>
          </w:tcPr>
          <w:p w14:paraId="7399EEA2" w14:textId="77777777">
            <w:pPr>
              <w:rPr>
                <w:rFonts w:ascii="Times New Roman" w:hAnsi="Times New Roman" w:cs="Times New Roman"/>
              </w:rPr>
            </w:pPr>
            <w:r>
              <w:rPr>
                <w:rFonts w:ascii="Times New Roman" w:hAnsi="Times New Roman" w:cs="Times New Roman"/>
                <w:sz w:val="16"/>
              </w:rPr>
              <w:t>54.3%</w:t>
            </w:r>
          </w:p>
        </w:tc>
      </w:tr>
    </w:tbl>
    <w:p w14:paraId="7A651773" w14:textId="77777777">
      <w:pPr>
        <w:spacing w:after="120" w:line="252" w:lineRule="auto"/>
        <w:rPr>
          <w:rFonts w:ascii="Times New Roman" w:hAnsi="Times New Roman" w:cs="Times New Roman"/>
          <w:lang w:eastAsia="zh-CN"/>
        </w:rPr>
      </w:pPr>
      <w:r>
        <w:rPr>
          <w:rFonts w:ascii="Times New Roman" w:hAnsi="Times New Roman" w:cs="Times New Roman"/>
        </w:rPr>
        <w:t>We kept the cleaning process conservative. We removed exact duplicate rows, checked that each date mapped to one closing price, and found no missing values in the raw headline, date, or close fields. After cleaning, we aggregated headlines to the daily level and created next-day return and next-day direction targets. The prepared daily dataset contains 3,506 rows, with an average of 5.17 headlines per trading day.</w:t>
      </w:r>
    </w:p>
    <w:p w14:paraId="13419DE0" w14:textId="77777777">
      <w:pPr>
        <w:spacing w:after="120" w:line="252" w:lineRule="auto"/>
        <w:rPr>
          <w:rFonts w:ascii="Times New Roman" w:hAnsi="Times New Roman" w:cs="Times New Roman"/>
        </w:rPr>
      </w:pPr>
      <w:r>
        <w:rPr>
          <w:rFonts w:ascii="Times New Roman" w:hAnsi="Times New Roman" w:cs="Times New Roman"/>
        </w:rPr>
        <w:t>To give the models market context, we added FRED macro variables such as the VIX, Treasury rates, the 10Y-2Y spread, the federal funds rate, CPI inflation, unemployment, and a recession indicator. These variables are not meant to make the project a macro forecasting exercise; they help separate headline sentiment from the market environment in which the headlines appeared.</w:t>
      </w:r>
    </w:p>
    <w:p w14:paraId="57526108" w14:textId="77777777">
      <w:pPr>
        <w:spacing w:after="120" w:line="252" w:lineRule="auto"/>
        <w:rPr>
          <w:rFonts w:ascii="Times New Roman" w:hAnsi="Times New Roman" w:cs="Times New Roman"/>
        </w:rPr>
      </w:pPr>
      <w:r>
        <w:rPr>
          <w:rFonts w:ascii="Times New Roman" w:hAnsi="Times New Roman" w:cs="Times New Roman"/>
        </w:rPr>
        <w:t xml:space="preserve">The data also has important limits. The original news source is not fully documented, some headlines are only loosely connected to the S&amp;P 500, and daily close prices cannot capture intraday reactions. Headline volume also rises over time, which means </w:t>
      </w:r>
      <w:proofErr w:type="gramStart"/>
      <w:r>
        <w:rPr>
          <w:rFonts w:ascii="Times New Roman" w:hAnsi="Times New Roman" w:cs="Times New Roman"/>
        </w:rPr>
        <w:t>the 2008 part</w:t>
      </w:r>
      <w:proofErr w:type="gramEnd"/>
      <w:r>
        <w:rPr>
          <w:rFonts w:ascii="Times New Roman" w:hAnsi="Times New Roman" w:cs="Times New Roman"/>
        </w:rPr>
        <w:t xml:space="preserve"> of the sample is not directly comparable to </w:t>
      </w:r>
      <w:proofErr w:type="gramStart"/>
      <w:r>
        <w:rPr>
          <w:rFonts w:ascii="Times New Roman" w:hAnsi="Times New Roman" w:cs="Times New Roman"/>
        </w:rPr>
        <w:t>the 2023-2024 part</w:t>
      </w:r>
      <w:proofErr w:type="gramEnd"/>
      <w:r>
        <w:rPr>
          <w:rFonts w:ascii="Times New Roman" w:hAnsi="Times New Roman" w:cs="Times New Roman"/>
        </w:rPr>
        <w:t>. We treat that drift as part of the analysis rather than something we can fully remove.</w:t>
      </w:r>
    </w:p>
    <w:p w14:paraId="0E6154C3" w14:textId="77777777">
      <w:pPr>
        <w:pStyle w:val="1"/>
        <w:ind w:right="200"/>
        <w:rPr>
          <w:rFonts w:ascii="Times New Roman" w:hAnsi="Times New Roman" w:cs="Times New Roman"/>
        </w:rPr>
      </w:pPr>
      <w:r>
        <w:rPr>
          <w:rFonts w:ascii="Times New Roman" w:hAnsi="Times New Roman" w:cs="Times New Roman"/>
        </w:rPr>
        <w:t>3. Methods</w:t>
      </w:r>
    </w:p>
    <w:p w14:paraId="46FD830C" w14:textId="77777777">
      <w:pPr>
        <w:spacing w:after="120" w:line="252" w:lineRule="auto"/>
        <w:rPr>
          <w:rFonts w:ascii="Times New Roman" w:hAnsi="Times New Roman" w:cs="Times New Roman"/>
        </w:rPr>
      </w:pPr>
      <w:r>
        <w:rPr>
          <w:rFonts w:ascii="Times New Roman" w:hAnsi="Times New Roman" w:cs="Times New Roman"/>
        </w:rPr>
        <w:t>The workflow starts with daily aggregation and data checks, then builds from simple sentiment measures to more flexible models. The first sentiment layer is a dictionary baseline with both general and finance-specific word lists. From that we calculate average daily sentiment, positive and negative headline shares, extreme sentiment counts, and headline volume.</w:t>
      </w:r>
    </w:p>
    <w:p w14:paraId="069944C5" w14:textId="77777777">
      <w:pPr>
        <w:spacing w:after="120" w:line="252" w:lineRule="auto"/>
        <w:rPr>
          <w:rFonts w:ascii="Times New Roman" w:hAnsi="Times New Roman" w:cs="Times New Roman"/>
        </w:rPr>
      </w:pPr>
      <w:r>
        <w:rPr>
          <w:rFonts w:ascii="Times New Roman" w:hAnsi="Times New Roman" w:cs="Times New Roman"/>
        </w:rPr>
        <w:t xml:space="preserve">We then compare that baseline with VADER, </w:t>
      </w:r>
      <w:proofErr w:type="spellStart"/>
      <w:r>
        <w:rPr>
          <w:rFonts w:ascii="Times New Roman" w:hAnsi="Times New Roman" w:cs="Times New Roman"/>
        </w:rPr>
        <w:t>FinBERT</w:t>
      </w:r>
      <w:proofErr w:type="spellEnd"/>
      <w:r>
        <w:rPr>
          <w:rFonts w:ascii="Times New Roman" w:hAnsi="Times New Roman" w:cs="Times New Roman"/>
        </w:rPr>
        <w:t xml:space="preserve">, and LDA topic modeling. VADER gives a general short-text sentiment score, while </w:t>
      </w:r>
      <w:proofErr w:type="spellStart"/>
      <w:r>
        <w:rPr>
          <w:rFonts w:ascii="Times New Roman" w:hAnsi="Times New Roman" w:cs="Times New Roman"/>
        </w:rPr>
        <w:t>FinBERT</w:t>
      </w:r>
      <w:proofErr w:type="spellEnd"/>
      <w:r>
        <w:rPr>
          <w:rFonts w:ascii="Times New Roman" w:hAnsi="Times New Roman" w:cs="Times New Roman"/>
        </w:rPr>
        <w:t xml:space="preserve"> is designed for financial language and returns positive, neutral, and negative probabilities. LDA topics help us check whether different kinds of headlines, such as policy, earnings, inflation, or banking stress, behave differently.</w:t>
      </w:r>
    </w:p>
    <w:p w14:paraId="40EFF223" w14:textId="40AF96CB">
      <w:pPr>
        <w:rPr>
          <w:rFonts w:ascii="Times New Roman" w:hAnsi="Times New Roman" w:cs="Times New Roman"/>
        </w:rPr>
      </w:pPr>
      <w:r>
        <w:rPr>
          <w:rFonts w:ascii="Times New Roman" w:hAnsi="Times New Roman" w:cs="Times New Roman"/>
        </w:rPr>
        <w:t>The classification target is next-day market direction, coded as 1 when the next close-to-close return is positive and 0 otherwise.</w:t>
      </w:r>
      <w:r>
        <w:rPr>
          <w:rFonts w:ascii="Times New Roman" w:hAnsi="Times New Roman" w:cs="Times New Roman"/>
        </w:rPr>
        <w:t xml:space="preserve"> </w:t>
      </w:r>
      <w:r>
        <w:rPr>
          <w:rFonts w:ascii="Times New Roman" w:hAnsi="Times New Roman" w:cs="Times New Roman"/>
        </w:rPr>
        <w:t xml:space="preserve">For prediction, we use time-aware splits instead of random splits: training before 2020, validation during 2020-2021, and testing from 2022 through March 2024. Logistic regression serves as an interpretable benchmark, while </w:t>
      </w:r>
      <w:proofErr w:type="spellStart"/>
      <w:r>
        <w:rPr>
          <w:rFonts w:ascii="Times New Roman" w:hAnsi="Times New Roman" w:cs="Times New Roman"/>
        </w:rPr>
        <w:t>XGBoost</w:t>
      </w:r>
      <w:proofErr w:type="spellEnd"/>
      <w:r>
        <w:rPr>
          <w:rFonts w:ascii="Times New Roman" w:hAnsi="Times New Roman" w:cs="Times New Roman"/>
        </w:rPr>
        <w:t xml:space="preserve"> </w:t>
      </w:r>
      <w:r>
        <w:rPr>
          <w:rFonts w:ascii="Times New Roman" w:hAnsi="Times New Roman" w:cs="Times New Roman"/>
        </w:rPr>
        <w:lastRenderedPageBreak/>
        <w:t>tests whether nonlinear interactions improve performance. Probability thresholds are selected on the validation set, not the test set.</w:t>
      </w:r>
    </w:p>
    <w:p w14:paraId="502907E0" w14:textId="77777777">
      <w:pPr>
        <w:spacing w:after="120" w:line="252" w:lineRule="auto"/>
        <w:rPr>
          <w:rFonts w:ascii="Times New Roman" w:hAnsi="Times New Roman" w:cs="Times New Roman"/>
        </w:rPr>
      </w:pPr>
      <w:r>
        <w:rPr>
          <w:rFonts w:ascii="Times New Roman" w:hAnsi="Times New Roman" w:cs="Times New Roman"/>
        </w:rPr>
        <w:t xml:space="preserve">We also evaluate whether model signals would have any economic value. The </w:t>
      </w:r>
      <w:proofErr w:type="spellStart"/>
      <w:r>
        <w:rPr>
          <w:rFonts w:ascii="Times New Roman" w:hAnsi="Times New Roman" w:cs="Times New Roman"/>
        </w:rPr>
        <w:t>backtest</w:t>
      </w:r>
      <w:proofErr w:type="spellEnd"/>
      <w:r>
        <w:rPr>
          <w:rFonts w:ascii="Times New Roman" w:hAnsi="Times New Roman" w:cs="Times New Roman"/>
        </w:rPr>
        <w:t xml:space="preserve"> uses a simple long/flat rule: the strategy is long when the predicted probability of an up day is above the selected threshold and flat otherwise. We apply a 1 basis point transaction cost whenever the position changes, then review performance by regime, threshold, cost level, and failure cases.</w:t>
      </w:r>
    </w:p>
    <w:p w14:paraId="511FEA13" w14:textId="77777777">
      <w:pPr>
        <w:pStyle w:val="1"/>
        <w:ind w:right="200"/>
        <w:rPr>
          <w:rFonts w:ascii="Times New Roman" w:hAnsi="Times New Roman" w:cs="Times New Roman"/>
        </w:rPr>
      </w:pPr>
      <w:r>
        <w:rPr>
          <w:rFonts w:ascii="Times New Roman" w:hAnsi="Times New Roman" w:cs="Times New Roman"/>
        </w:rPr>
        <w:t>4. Findings</w:t>
      </w:r>
    </w:p>
    <w:p w14:paraId="5063C29A" w14:textId="77777777">
      <w:pPr>
        <w:pStyle w:val="21"/>
      </w:pPr>
      <w:r>
        <w:t>4.1 Simple sentiment relationships are weak</w:t>
      </w:r>
    </w:p>
    <w:p w14:paraId="1E2D76C6" w14:textId="77777777">
      <w:pPr>
        <w:spacing w:after="120" w:line="252" w:lineRule="auto"/>
        <w:rPr>
          <w:rFonts w:ascii="Times New Roman" w:hAnsi="Times New Roman" w:cs="Times New Roman"/>
        </w:rPr>
      </w:pPr>
      <w:r>
        <w:rPr>
          <w:rFonts w:ascii="Times New Roman" w:hAnsi="Times New Roman" w:cs="Times New Roman"/>
        </w:rPr>
        <w:t>The first clear finding is that simple sentiment variables do not line up strongly with next-day market movement. Average finance sentiment has a correlation of -0.012 with next-day return and 0.022 with next-day direction. General sentiment and headline count are also close to zero. In plain terms, a more positive headline day does not reliably translate into a stronger market day tomorrow.</w:t>
      </w:r>
    </w:p>
    <w:tbl>
      <w:tblPr>
        <w:tblStyle w:val="aff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0"/>
        <w:gridCol w:w="3360"/>
        <w:gridCol w:w="3360"/>
      </w:tblGrid>
      <w:tr w14:paraId="6B702A98" w14:textId="77777777">
        <w:tc>
          <w:tcPr>
            <w:tcW w:w="3360" w:type="dxa"/>
            <w:tcBorders>
              <w:top w:val="single" w:sz="4" w:space="0" w:color="auto"/>
              <w:bottom w:val="single" w:sz="4" w:space="0" w:color="auto"/>
            </w:tcBorders>
          </w:tcPr>
          <w:p w14:paraId="513241D3" w14:textId="77777777">
            <w:pPr>
              <w:rPr>
                <w:rFonts w:ascii="Times New Roman" w:hAnsi="Times New Roman" w:cs="Times New Roman"/>
              </w:rPr>
            </w:pPr>
            <w:r>
              <w:rPr>
                <w:rFonts w:ascii="Times New Roman" w:hAnsi="Times New Roman" w:cs="Times New Roman"/>
                <w:b/>
                <w:sz w:val="16"/>
              </w:rPr>
              <w:t>Feature</w:t>
            </w:r>
          </w:p>
        </w:tc>
        <w:tc>
          <w:tcPr>
            <w:tcW w:w="3360" w:type="dxa"/>
            <w:tcBorders>
              <w:top w:val="single" w:sz="4" w:space="0" w:color="auto"/>
              <w:bottom w:val="single" w:sz="4" w:space="0" w:color="auto"/>
            </w:tcBorders>
          </w:tcPr>
          <w:p w14:paraId="101428D3" w14:textId="77777777">
            <w:pPr>
              <w:jc w:val="center"/>
              <w:rPr>
                <w:rFonts w:ascii="Times New Roman" w:hAnsi="Times New Roman" w:cs="Times New Roman"/>
              </w:rPr>
            </w:pPr>
            <w:r>
              <w:rPr>
                <w:rFonts w:ascii="Times New Roman" w:hAnsi="Times New Roman" w:cs="Times New Roman"/>
                <w:b/>
                <w:sz w:val="16"/>
              </w:rPr>
              <w:t>Corr. next-day return</w:t>
            </w:r>
          </w:p>
        </w:tc>
        <w:tc>
          <w:tcPr>
            <w:tcW w:w="3360" w:type="dxa"/>
            <w:tcBorders>
              <w:top w:val="single" w:sz="4" w:space="0" w:color="auto"/>
              <w:bottom w:val="single" w:sz="4" w:space="0" w:color="auto"/>
            </w:tcBorders>
          </w:tcPr>
          <w:p w14:paraId="706EF314" w14:textId="77777777">
            <w:pPr>
              <w:jc w:val="center"/>
              <w:rPr>
                <w:rFonts w:ascii="Times New Roman" w:hAnsi="Times New Roman" w:cs="Times New Roman"/>
              </w:rPr>
            </w:pPr>
            <w:r>
              <w:rPr>
                <w:rFonts w:ascii="Times New Roman" w:hAnsi="Times New Roman" w:cs="Times New Roman"/>
                <w:b/>
                <w:sz w:val="16"/>
              </w:rPr>
              <w:t>Corr. next-day direction</w:t>
            </w:r>
          </w:p>
        </w:tc>
      </w:tr>
      <w:tr w14:paraId="1E31E37F" w14:textId="77777777">
        <w:tc>
          <w:tcPr>
            <w:tcW w:w="3360" w:type="dxa"/>
            <w:tcBorders>
              <w:top w:val="single" w:sz="4" w:space="0" w:color="auto"/>
            </w:tcBorders>
          </w:tcPr>
          <w:p w14:paraId="491EEB73" w14:textId="77777777">
            <w:pPr>
              <w:rPr>
                <w:rFonts w:ascii="Times New Roman" w:hAnsi="Times New Roman" w:cs="Times New Roman"/>
              </w:rPr>
            </w:pPr>
            <w:proofErr w:type="spellStart"/>
            <w:r>
              <w:rPr>
                <w:rFonts w:ascii="Times New Roman" w:hAnsi="Times New Roman" w:cs="Times New Roman"/>
                <w:sz w:val="16"/>
              </w:rPr>
              <w:t>avg_finance_sentiment</w:t>
            </w:r>
            <w:proofErr w:type="spellEnd"/>
          </w:p>
        </w:tc>
        <w:tc>
          <w:tcPr>
            <w:tcW w:w="3360" w:type="dxa"/>
            <w:tcBorders>
              <w:top w:val="single" w:sz="4" w:space="0" w:color="auto"/>
            </w:tcBorders>
          </w:tcPr>
          <w:p w14:paraId="423B79B6" w14:textId="77777777">
            <w:pPr>
              <w:jc w:val="center"/>
              <w:rPr>
                <w:rFonts w:ascii="Times New Roman" w:hAnsi="Times New Roman" w:cs="Times New Roman"/>
              </w:rPr>
            </w:pPr>
            <w:r>
              <w:rPr>
                <w:rFonts w:ascii="Times New Roman" w:hAnsi="Times New Roman" w:cs="Times New Roman"/>
                <w:sz w:val="16"/>
              </w:rPr>
              <w:t>-0.012</w:t>
            </w:r>
          </w:p>
        </w:tc>
        <w:tc>
          <w:tcPr>
            <w:tcW w:w="3360" w:type="dxa"/>
            <w:tcBorders>
              <w:top w:val="single" w:sz="4" w:space="0" w:color="auto"/>
            </w:tcBorders>
          </w:tcPr>
          <w:p w14:paraId="7EB91A46" w14:textId="77777777">
            <w:pPr>
              <w:jc w:val="center"/>
              <w:rPr>
                <w:rFonts w:ascii="Times New Roman" w:hAnsi="Times New Roman" w:cs="Times New Roman"/>
              </w:rPr>
            </w:pPr>
            <w:r>
              <w:rPr>
                <w:rFonts w:ascii="Times New Roman" w:hAnsi="Times New Roman" w:cs="Times New Roman"/>
                <w:sz w:val="16"/>
              </w:rPr>
              <w:t>0.022</w:t>
            </w:r>
          </w:p>
        </w:tc>
      </w:tr>
      <w:tr w14:paraId="25472662" w14:textId="77777777">
        <w:tc>
          <w:tcPr>
            <w:tcW w:w="3360" w:type="dxa"/>
          </w:tcPr>
          <w:p w14:paraId="7AF1408C" w14:textId="77777777">
            <w:pPr>
              <w:rPr>
                <w:rFonts w:ascii="Times New Roman" w:hAnsi="Times New Roman" w:cs="Times New Roman"/>
              </w:rPr>
            </w:pPr>
            <w:proofErr w:type="spellStart"/>
            <w:r>
              <w:rPr>
                <w:rFonts w:ascii="Times New Roman" w:hAnsi="Times New Roman" w:cs="Times New Roman"/>
                <w:sz w:val="16"/>
              </w:rPr>
              <w:t>avg_general_sentiment</w:t>
            </w:r>
            <w:proofErr w:type="spellEnd"/>
          </w:p>
        </w:tc>
        <w:tc>
          <w:tcPr>
            <w:tcW w:w="3360" w:type="dxa"/>
          </w:tcPr>
          <w:p w14:paraId="14462AA8" w14:textId="77777777">
            <w:pPr>
              <w:jc w:val="center"/>
              <w:rPr>
                <w:rFonts w:ascii="Times New Roman" w:hAnsi="Times New Roman" w:cs="Times New Roman"/>
              </w:rPr>
            </w:pPr>
            <w:r>
              <w:rPr>
                <w:rFonts w:ascii="Times New Roman" w:hAnsi="Times New Roman" w:cs="Times New Roman"/>
                <w:sz w:val="16"/>
              </w:rPr>
              <w:t>-0.008</w:t>
            </w:r>
          </w:p>
        </w:tc>
        <w:tc>
          <w:tcPr>
            <w:tcW w:w="3360" w:type="dxa"/>
          </w:tcPr>
          <w:p w14:paraId="62DF22CE" w14:textId="77777777">
            <w:pPr>
              <w:jc w:val="center"/>
              <w:rPr>
                <w:rFonts w:ascii="Times New Roman" w:hAnsi="Times New Roman" w:cs="Times New Roman"/>
              </w:rPr>
            </w:pPr>
            <w:r>
              <w:rPr>
                <w:rFonts w:ascii="Times New Roman" w:hAnsi="Times New Roman" w:cs="Times New Roman"/>
                <w:sz w:val="16"/>
              </w:rPr>
              <w:t>0.007</w:t>
            </w:r>
          </w:p>
        </w:tc>
      </w:tr>
      <w:tr w14:paraId="5B3B6AFB" w14:textId="77777777">
        <w:tc>
          <w:tcPr>
            <w:tcW w:w="3360" w:type="dxa"/>
          </w:tcPr>
          <w:p w14:paraId="35984682" w14:textId="77777777">
            <w:pPr>
              <w:rPr>
                <w:rFonts w:ascii="Times New Roman" w:hAnsi="Times New Roman" w:cs="Times New Roman"/>
              </w:rPr>
            </w:pPr>
            <w:proofErr w:type="spellStart"/>
            <w:r>
              <w:rPr>
                <w:rFonts w:ascii="Times New Roman" w:hAnsi="Times New Roman" w:cs="Times New Roman"/>
                <w:sz w:val="16"/>
              </w:rPr>
              <w:t>negative_headline_share</w:t>
            </w:r>
            <w:proofErr w:type="spellEnd"/>
          </w:p>
        </w:tc>
        <w:tc>
          <w:tcPr>
            <w:tcW w:w="3360" w:type="dxa"/>
          </w:tcPr>
          <w:p w14:paraId="2DD5B8F4" w14:textId="77777777">
            <w:pPr>
              <w:jc w:val="center"/>
              <w:rPr>
                <w:rFonts w:ascii="Times New Roman" w:hAnsi="Times New Roman" w:cs="Times New Roman"/>
              </w:rPr>
            </w:pPr>
            <w:r>
              <w:rPr>
                <w:rFonts w:ascii="Times New Roman" w:hAnsi="Times New Roman" w:cs="Times New Roman"/>
                <w:sz w:val="16"/>
              </w:rPr>
              <w:t>0.000</w:t>
            </w:r>
          </w:p>
        </w:tc>
        <w:tc>
          <w:tcPr>
            <w:tcW w:w="3360" w:type="dxa"/>
          </w:tcPr>
          <w:p w14:paraId="7B25264E" w14:textId="77777777">
            <w:pPr>
              <w:jc w:val="center"/>
              <w:rPr>
                <w:rFonts w:ascii="Times New Roman" w:hAnsi="Times New Roman" w:cs="Times New Roman"/>
              </w:rPr>
            </w:pPr>
            <w:r>
              <w:rPr>
                <w:rFonts w:ascii="Times New Roman" w:hAnsi="Times New Roman" w:cs="Times New Roman"/>
                <w:sz w:val="16"/>
              </w:rPr>
              <w:t>-0.032</w:t>
            </w:r>
          </w:p>
        </w:tc>
      </w:tr>
      <w:tr w14:paraId="56AD3075" w14:textId="77777777">
        <w:tc>
          <w:tcPr>
            <w:tcW w:w="3360" w:type="dxa"/>
          </w:tcPr>
          <w:p w14:paraId="118407B6" w14:textId="77777777">
            <w:pPr>
              <w:rPr>
                <w:rFonts w:ascii="Times New Roman" w:hAnsi="Times New Roman" w:cs="Times New Roman"/>
              </w:rPr>
            </w:pPr>
            <w:proofErr w:type="spellStart"/>
            <w:r>
              <w:rPr>
                <w:rFonts w:ascii="Times New Roman" w:hAnsi="Times New Roman" w:cs="Times New Roman"/>
                <w:sz w:val="16"/>
              </w:rPr>
              <w:t>headline_count</w:t>
            </w:r>
            <w:proofErr w:type="spellEnd"/>
          </w:p>
        </w:tc>
        <w:tc>
          <w:tcPr>
            <w:tcW w:w="3360" w:type="dxa"/>
          </w:tcPr>
          <w:p w14:paraId="11289382" w14:textId="77777777">
            <w:pPr>
              <w:jc w:val="center"/>
              <w:rPr>
                <w:rFonts w:ascii="Times New Roman" w:hAnsi="Times New Roman" w:cs="Times New Roman"/>
              </w:rPr>
            </w:pPr>
            <w:r>
              <w:rPr>
                <w:rFonts w:ascii="Times New Roman" w:hAnsi="Times New Roman" w:cs="Times New Roman"/>
                <w:sz w:val="16"/>
              </w:rPr>
              <w:t>0.022</w:t>
            </w:r>
          </w:p>
        </w:tc>
        <w:tc>
          <w:tcPr>
            <w:tcW w:w="3360" w:type="dxa"/>
          </w:tcPr>
          <w:p w14:paraId="5CAF9327" w14:textId="77777777">
            <w:pPr>
              <w:jc w:val="center"/>
              <w:rPr>
                <w:rFonts w:ascii="Times New Roman" w:hAnsi="Times New Roman" w:cs="Times New Roman"/>
              </w:rPr>
            </w:pPr>
            <w:r>
              <w:rPr>
                <w:rFonts w:ascii="Times New Roman" w:hAnsi="Times New Roman" w:cs="Times New Roman"/>
                <w:sz w:val="16"/>
              </w:rPr>
              <w:t>-0.009</w:t>
            </w:r>
          </w:p>
        </w:tc>
      </w:tr>
    </w:tbl>
    <w:p w14:paraId="4D28EAEB" w14:textId="77777777">
      <w:pPr>
        <w:spacing w:after="120" w:line="252" w:lineRule="auto"/>
        <w:rPr>
          <w:rFonts w:ascii="Times New Roman" w:hAnsi="Times New Roman" w:cs="Times New Roman"/>
        </w:rPr>
      </w:pPr>
      <w:r>
        <w:rPr>
          <w:rFonts w:ascii="Times New Roman" w:hAnsi="Times New Roman" w:cs="Times New Roman"/>
        </w:rPr>
        <w:t>The tercile comparison tells a similar story. Low finance sentiment days average a 0.033% next-day return and a 52.6% up-day rate. Middle sentiment days average 0.054% and a 56.2% up-day rate, while high sentiment days average 0.049% and a 54.1% up-day rate. The middle group performs best, not the highest-sentiment group, so the relationship is not a clean positive slope.</w:t>
      </w:r>
    </w:p>
    <w:p w14:paraId="35C92139" w14:textId="77777777">
      <w:pPr>
        <w:jc w:val="center"/>
        <w:rPr>
          <w:rFonts w:ascii="Times New Roman" w:hAnsi="Times New Roman" w:cs="Times New Roman"/>
        </w:rPr>
      </w:pPr>
      <w:r>
        <w:rPr>
          <w:rFonts w:ascii="Times New Roman" w:hAnsi="Times New Roman" w:cs="Times New Roman"/>
          <w:noProof/>
        </w:rPr>
        <w:drawing>
          <wp:inline distT="0" distB="0" distL="0" distR="0" wp14:anchorId="2B671BCB" wp14:editId="2DA2018E">
            <wp:extent cx="5303520" cy="34094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timent_analysis_summary.png"/>
                    <pic:cNvPicPr/>
                  </pic:nvPicPr>
                  <pic:blipFill>
                    <a:blip r:embed="rId8"/>
                    <a:stretch>
                      <a:fillRect/>
                    </a:stretch>
                  </pic:blipFill>
                  <pic:spPr>
                    <a:xfrm>
                      <a:off x="0" y="0"/>
                      <a:ext cx="5303520" cy="3409406"/>
                    </a:xfrm>
                    <a:prstGeom prst="rect">
                      <a:avLst/>
                    </a:prstGeom>
                  </pic:spPr>
                </pic:pic>
              </a:graphicData>
            </a:graphic>
          </wp:inline>
        </w:drawing>
      </w:r>
    </w:p>
    <w:p w14:paraId="000C581C" w14:textId="77777777">
      <w:pPr>
        <w:jc w:val="center"/>
        <w:rPr>
          <w:rFonts w:ascii="Times New Roman" w:hAnsi="Times New Roman" w:cs="Times New Roman"/>
        </w:rPr>
      </w:pPr>
      <w:r>
        <w:rPr>
          <w:rFonts w:ascii="Times New Roman" w:hAnsi="Times New Roman" w:cs="Times New Roman"/>
        </w:rPr>
        <w:t>Figure 1. Daily sentiment summaries from the dictionary baseline.</w:t>
      </w:r>
    </w:p>
    <w:p w14:paraId="749CD9D3" w14:textId="77777777">
      <w:pPr>
        <w:pStyle w:val="21"/>
        <w:rPr>
          <w:rFonts w:ascii="Times New Roman" w:hAnsi="Times New Roman" w:cs="Times New Roman"/>
        </w:rPr>
      </w:pPr>
      <w:r>
        <w:rPr>
          <w:rFonts w:ascii="Times New Roman" w:hAnsi="Times New Roman" w:cs="Times New Roman"/>
        </w:rPr>
        <w:t>4.2 Direction models stay close to baseline</w:t>
      </w:r>
    </w:p>
    <w:p w14:paraId="405D6193" w14:textId="77777777">
      <w:pPr>
        <w:spacing w:after="120" w:line="252" w:lineRule="auto"/>
        <w:rPr>
          <w:rFonts w:ascii="Times New Roman" w:hAnsi="Times New Roman" w:cs="Times New Roman"/>
        </w:rPr>
      </w:pPr>
      <w:r>
        <w:rPr>
          <w:rFonts w:ascii="Times New Roman" w:hAnsi="Times New Roman" w:cs="Times New Roman"/>
        </w:rPr>
        <w:t xml:space="preserve">The held-out test models also stay close to baseline. The majority-class benchmark has 49.5% accuracy and 50.0% balanced accuracy. Most logistic regression and </w:t>
      </w:r>
      <w:proofErr w:type="spellStart"/>
      <w:r>
        <w:rPr>
          <w:rFonts w:ascii="Times New Roman" w:hAnsi="Times New Roman" w:cs="Times New Roman"/>
        </w:rPr>
        <w:t>XGBoost</w:t>
      </w:r>
      <w:proofErr w:type="spellEnd"/>
      <w:r>
        <w:rPr>
          <w:rFonts w:ascii="Times New Roman" w:hAnsi="Times New Roman" w:cs="Times New Roman"/>
        </w:rPr>
        <w:t xml:space="preserve"> versions land near that range. The </w:t>
      </w:r>
      <w:proofErr w:type="gramStart"/>
      <w:r>
        <w:rPr>
          <w:rFonts w:ascii="Times New Roman" w:hAnsi="Times New Roman" w:cs="Times New Roman"/>
        </w:rPr>
        <w:t>best balanced</w:t>
      </w:r>
      <w:proofErr w:type="gramEnd"/>
      <w:r>
        <w:rPr>
          <w:rFonts w:ascii="Times New Roman" w:hAnsi="Times New Roman" w:cs="Times New Roman"/>
        </w:rPr>
        <w:t xml:space="preserve"> accuracy in the comparison is XGB with VADER features at 51.4%, which is an improvement, but still too small to call a reliable direction signal by itself.</w:t>
      </w:r>
    </w:p>
    <w:tbl>
      <w:tblPr>
        <w:tblStyle w:val="aff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0"/>
        <w:gridCol w:w="1680"/>
        <w:gridCol w:w="1680"/>
        <w:gridCol w:w="1680"/>
        <w:gridCol w:w="1680"/>
        <w:gridCol w:w="1680"/>
      </w:tblGrid>
      <w:tr w14:paraId="6D0C1E99" w14:textId="77777777">
        <w:tc>
          <w:tcPr>
            <w:tcW w:w="1680" w:type="dxa"/>
            <w:tcBorders>
              <w:top w:val="single" w:sz="4" w:space="0" w:color="auto"/>
              <w:bottom w:val="single" w:sz="4" w:space="0" w:color="auto"/>
            </w:tcBorders>
          </w:tcPr>
          <w:p w14:paraId="5975177F" w14:textId="77777777">
            <w:pPr>
              <w:rPr>
                <w:rFonts w:ascii="Times New Roman" w:hAnsi="Times New Roman" w:cs="Times New Roman"/>
              </w:rPr>
            </w:pPr>
            <w:r>
              <w:rPr>
                <w:rFonts w:ascii="Times New Roman" w:hAnsi="Times New Roman" w:cs="Times New Roman"/>
                <w:b/>
                <w:sz w:val="16"/>
              </w:rPr>
              <w:t>Model</w:t>
            </w:r>
          </w:p>
        </w:tc>
        <w:tc>
          <w:tcPr>
            <w:tcW w:w="1680" w:type="dxa"/>
            <w:tcBorders>
              <w:top w:val="single" w:sz="4" w:space="0" w:color="auto"/>
              <w:bottom w:val="single" w:sz="4" w:space="0" w:color="auto"/>
            </w:tcBorders>
          </w:tcPr>
          <w:p w14:paraId="7C134DD5" w14:textId="77777777">
            <w:pPr>
              <w:jc w:val="center"/>
              <w:rPr>
                <w:rFonts w:ascii="Times New Roman" w:hAnsi="Times New Roman" w:cs="Times New Roman"/>
              </w:rPr>
            </w:pPr>
            <w:r>
              <w:rPr>
                <w:rFonts w:ascii="Times New Roman" w:hAnsi="Times New Roman" w:cs="Times New Roman"/>
                <w:b/>
                <w:sz w:val="16"/>
              </w:rPr>
              <w:t>Feature set</w:t>
            </w:r>
          </w:p>
        </w:tc>
        <w:tc>
          <w:tcPr>
            <w:tcW w:w="1680" w:type="dxa"/>
            <w:tcBorders>
              <w:top w:val="single" w:sz="4" w:space="0" w:color="auto"/>
              <w:bottom w:val="single" w:sz="4" w:space="0" w:color="auto"/>
            </w:tcBorders>
          </w:tcPr>
          <w:p w14:paraId="0B9DD766" w14:textId="77777777">
            <w:pPr>
              <w:jc w:val="center"/>
              <w:rPr>
                <w:rFonts w:ascii="Times New Roman" w:hAnsi="Times New Roman" w:cs="Times New Roman"/>
              </w:rPr>
            </w:pPr>
            <w:r>
              <w:rPr>
                <w:rFonts w:ascii="Times New Roman" w:hAnsi="Times New Roman" w:cs="Times New Roman"/>
                <w:b/>
                <w:sz w:val="16"/>
              </w:rPr>
              <w:t>Accuracy</w:t>
            </w:r>
          </w:p>
        </w:tc>
        <w:tc>
          <w:tcPr>
            <w:tcW w:w="1680" w:type="dxa"/>
            <w:tcBorders>
              <w:top w:val="single" w:sz="4" w:space="0" w:color="auto"/>
              <w:bottom w:val="single" w:sz="4" w:space="0" w:color="auto"/>
            </w:tcBorders>
          </w:tcPr>
          <w:p w14:paraId="415D10A3" w14:textId="77777777">
            <w:pPr>
              <w:jc w:val="center"/>
              <w:rPr>
                <w:rFonts w:ascii="Times New Roman" w:hAnsi="Times New Roman" w:cs="Times New Roman"/>
              </w:rPr>
            </w:pPr>
            <w:r>
              <w:rPr>
                <w:rFonts w:ascii="Times New Roman" w:hAnsi="Times New Roman" w:cs="Times New Roman"/>
                <w:b/>
                <w:sz w:val="16"/>
              </w:rPr>
              <w:t>Balanced acc.</w:t>
            </w:r>
          </w:p>
        </w:tc>
        <w:tc>
          <w:tcPr>
            <w:tcW w:w="1680" w:type="dxa"/>
            <w:tcBorders>
              <w:top w:val="single" w:sz="4" w:space="0" w:color="auto"/>
              <w:bottom w:val="single" w:sz="4" w:space="0" w:color="auto"/>
            </w:tcBorders>
          </w:tcPr>
          <w:p w14:paraId="2A5419FA" w14:textId="77777777">
            <w:pPr>
              <w:jc w:val="center"/>
              <w:rPr>
                <w:rFonts w:ascii="Times New Roman" w:hAnsi="Times New Roman" w:cs="Times New Roman"/>
              </w:rPr>
            </w:pPr>
            <w:r>
              <w:rPr>
                <w:rFonts w:ascii="Times New Roman" w:hAnsi="Times New Roman" w:cs="Times New Roman"/>
                <w:b/>
                <w:sz w:val="16"/>
              </w:rPr>
              <w:t>AUC</w:t>
            </w:r>
          </w:p>
        </w:tc>
        <w:tc>
          <w:tcPr>
            <w:tcW w:w="1680" w:type="dxa"/>
            <w:tcBorders>
              <w:top w:val="single" w:sz="4" w:space="0" w:color="auto"/>
              <w:bottom w:val="single" w:sz="4" w:space="0" w:color="auto"/>
            </w:tcBorders>
          </w:tcPr>
          <w:p w14:paraId="777560B6" w14:textId="77777777">
            <w:pPr>
              <w:jc w:val="center"/>
              <w:rPr>
                <w:rFonts w:ascii="Times New Roman" w:hAnsi="Times New Roman" w:cs="Times New Roman"/>
              </w:rPr>
            </w:pPr>
            <w:r>
              <w:rPr>
                <w:rFonts w:ascii="Times New Roman" w:hAnsi="Times New Roman" w:cs="Times New Roman"/>
                <w:b/>
                <w:sz w:val="16"/>
              </w:rPr>
              <w:t>Threshold</w:t>
            </w:r>
          </w:p>
        </w:tc>
      </w:tr>
      <w:tr w14:paraId="6BDA5008" w14:textId="77777777">
        <w:tc>
          <w:tcPr>
            <w:tcW w:w="1680" w:type="dxa"/>
            <w:tcBorders>
              <w:top w:val="single" w:sz="4" w:space="0" w:color="auto"/>
            </w:tcBorders>
          </w:tcPr>
          <w:p w14:paraId="04FED6C9" w14:textId="77777777">
            <w:pPr>
              <w:rPr>
                <w:rFonts w:ascii="Times New Roman" w:hAnsi="Times New Roman" w:cs="Times New Roman"/>
              </w:rPr>
            </w:pPr>
            <w:r>
              <w:rPr>
                <w:rFonts w:ascii="Times New Roman" w:hAnsi="Times New Roman" w:cs="Times New Roman"/>
                <w:sz w:val="16"/>
              </w:rPr>
              <w:t>Majority baseline</w:t>
            </w:r>
          </w:p>
        </w:tc>
        <w:tc>
          <w:tcPr>
            <w:tcW w:w="1680" w:type="dxa"/>
            <w:tcBorders>
              <w:top w:val="single" w:sz="4" w:space="0" w:color="auto"/>
            </w:tcBorders>
          </w:tcPr>
          <w:p w14:paraId="3F829298" w14:textId="77777777">
            <w:pPr>
              <w:jc w:val="center"/>
              <w:rPr>
                <w:rFonts w:ascii="Times New Roman" w:hAnsi="Times New Roman" w:cs="Times New Roman"/>
              </w:rPr>
            </w:pPr>
            <w:r>
              <w:rPr>
                <w:rFonts w:ascii="Times New Roman" w:hAnsi="Times New Roman" w:cs="Times New Roman"/>
                <w:sz w:val="16"/>
              </w:rPr>
              <w:t>-</w:t>
            </w:r>
          </w:p>
        </w:tc>
        <w:tc>
          <w:tcPr>
            <w:tcW w:w="1680" w:type="dxa"/>
            <w:tcBorders>
              <w:top w:val="single" w:sz="4" w:space="0" w:color="auto"/>
            </w:tcBorders>
          </w:tcPr>
          <w:p w14:paraId="0F3EA631" w14:textId="77777777">
            <w:pPr>
              <w:jc w:val="center"/>
              <w:rPr>
                <w:rFonts w:ascii="Times New Roman" w:hAnsi="Times New Roman" w:cs="Times New Roman"/>
              </w:rPr>
            </w:pPr>
            <w:r>
              <w:rPr>
                <w:rFonts w:ascii="Times New Roman" w:hAnsi="Times New Roman" w:cs="Times New Roman"/>
                <w:sz w:val="16"/>
              </w:rPr>
              <w:t>0.495</w:t>
            </w:r>
          </w:p>
        </w:tc>
        <w:tc>
          <w:tcPr>
            <w:tcW w:w="1680" w:type="dxa"/>
            <w:tcBorders>
              <w:top w:val="single" w:sz="4" w:space="0" w:color="auto"/>
            </w:tcBorders>
          </w:tcPr>
          <w:p w14:paraId="717A5886" w14:textId="77777777">
            <w:pPr>
              <w:jc w:val="center"/>
              <w:rPr>
                <w:rFonts w:ascii="Times New Roman" w:hAnsi="Times New Roman" w:cs="Times New Roman"/>
              </w:rPr>
            </w:pPr>
            <w:r>
              <w:rPr>
                <w:rFonts w:ascii="Times New Roman" w:hAnsi="Times New Roman" w:cs="Times New Roman"/>
                <w:sz w:val="16"/>
              </w:rPr>
              <w:t>0.500</w:t>
            </w:r>
          </w:p>
        </w:tc>
        <w:tc>
          <w:tcPr>
            <w:tcW w:w="1680" w:type="dxa"/>
            <w:tcBorders>
              <w:top w:val="single" w:sz="4" w:space="0" w:color="auto"/>
            </w:tcBorders>
          </w:tcPr>
          <w:p w14:paraId="7DA30BC1" w14:textId="77777777">
            <w:pPr>
              <w:jc w:val="center"/>
              <w:rPr>
                <w:rFonts w:ascii="Times New Roman" w:hAnsi="Times New Roman" w:cs="Times New Roman"/>
              </w:rPr>
            </w:pPr>
            <w:r>
              <w:rPr>
                <w:rFonts w:ascii="Times New Roman" w:hAnsi="Times New Roman" w:cs="Times New Roman"/>
                <w:sz w:val="16"/>
              </w:rPr>
              <w:t>0.500</w:t>
            </w:r>
          </w:p>
        </w:tc>
        <w:tc>
          <w:tcPr>
            <w:tcW w:w="1680" w:type="dxa"/>
            <w:tcBorders>
              <w:top w:val="single" w:sz="4" w:space="0" w:color="auto"/>
            </w:tcBorders>
          </w:tcPr>
          <w:p w14:paraId="7306EDB6" w14:textId="77777777">
            <w:pPr>
              <w:jc w:val="center"/>
              <w:rPr>
                <w:rFonts w:ascii="Times New Roman" w:hAnsi="Times New Roman" w:cs="Times New Roman"/>
              </w:rPr>
            </w:pPr>
            <w:r>
              <w:rPr>
                <w:rFonts w:ascii="Times New Roman" w:hAnsi="Times New Roman" w:cs="Times New Roman"/>
                <w:sz w:val="16"/>
              </w:rPr>
              <w:t>0.50</w:t>
            </w:r>
          </w:p>
        </w:tc>
      </w:tr>
      <w:tr w14:paraId="544183E1" w14:textId="77777777">
        <w:tc>
          <w:tcPr>
            <w:tcW w:w="1680" w:type="dxa"/>
          </w:tcPr>
          <w:p w14:paraId="313D38EB" w14:textId="77777777">
            <w:pPr>
              <w:rPr>
                <w:rFonts w:ascii="Times New Roman" w:hAnsi="Times New Roman" w:cs="Times New Roman"/>
              </w:rPr>
            </w:pPr>
            <w:r>
              <w:rPr>
                <w:rFonts w:ascii="Times New Roman" w:hAnsi="Times New Roman" w:cs="Times New Roman"/>
                <w:sz w:val="16"/>
              </w:rPr>
              <w:t>Logit</w:t>
            </w:r>
          </w:p>
        </w:tc>
        <w:tc>
          <w:tcPr>
            <w:tcW w:w="1680" w:type="dxa"/>
          </w:tcPr>
          <w:p w14:paraId="14BD6C83" w14:textId="77777777">
            <w:pPr>
              <w:jc w:val="center"/>
              <w:rPr>
                <w:rFonts w:ascii="Times New Roman" w:hAnsi="Times New Roman" w:cs="Times New Roman"/>
              </w:rPr>
            </w:pPr>
            <w:r>
              <w:rPr>
                <w:rFonts w:ascii="Times New Roman" w:hAnsi="Times New Roman" w:cs="Times New Roman"/>
                <w:sz w:val="16"/>
              </w:rPr>
              <w:t>all</w:t>
            </w:r>
          </w:p>
        </w:tc>
        <w:tc>
          <w:tcPr>
            <w:tcW w:w="1680" w:type="dxa"/>
          </w:tcPr>
          <w:p w14:paraId="41F88899" w14:textId="77777777">
            <w:pPr>
              <w:jc w:val="center"/>
              <w:rPr>
                <w:rFonts w:ascii="Times New Roman" w:hAnsi="Times New Roman" w:cs="Times New Roman"/>
              </w:rPr>
            </w:pPr>
            <w:r>
              <w:rPr>
                <w:rFonts w:ascii="Times New Roman" w:hAnsi="Times New Roman" w:cs="Times New Roman"/>
                <w:sz w:val="16"/>
              </w:rPr>
              <w:t>0.493</w:t>
            </w:r>
          </w:p>
        </w:tc>
        <w:tc>
          <w:tcPr>
            <w:tcW w:w="1680" w:type="dxa"/>
          </w:tcPr>
          <w:p w14:paraId="769D3975" w14:textId="77777777">
            <w:pPr>
              <w:jc w:val="center"/>
              <w:rPr>
                <w:rFonts w:ascii="Times New Roman" w:hAnsi="Times New Roman" w:cs="Times New Roman"/>
              </w:rPr>
            </w:pPr>
            <w:r>
              <w:rPr>
                <w:rFonts w:ascii="Times New Roman" w:hAnsi="Times New Roman" w:cs="Times New Roman"/>
                <w:sz w:val="16"/>
              </w:rPr>
              <w:t>0.498</w:t>
            </w:r>
          </w:p>
        </w:tc>
        <w:tc>
          <w:tcPr>
            <w:tcW w:w="1680" w:type="dxa"/>
          </w:tcPr>
          <w:p w14:paraId="08B24295" w14:textId="77777777">
            <w:pPr>
              <w:jc w:val="center"/>
              <w:rPr>
                <w:rFonts w:ascii="Times New Roman" w:hAnsi="Times New Roman" w:cs="Times New Roman"/>
              </w:rPr>
            </w:pPr>
            <w:r>
              <w:rPr>
                <w:rFonts w:ascii="Times New Roman" w:hAnsi="Times New Roman" w:cs="Times New Roman"/>
                <w:sz w:val="16"/>
              </w:rPr>
              <w:t>0.509</w:t>
            </w:r>
          </w:p>
        </w:tc>
        <w:tc>
          <w:tcPr>
            <w:tcW w:w="1680" w:type="dxa"/>
          </w:tcPr>
          <w:p w14:paraId="39B0F205" w14:textId="77777777">
            <w:pPr>
              <w:jc w:val="center"/>
              <w:rPr>
                <w:rFonts w:ascii="Times New Roman" w:hAnsi="Times New Roman" w:cs="Times New Roman"/>
              </w:rPr>
            </w:pPr>
            <w:r>
              <w:rPr>
                <w:rFonts w:ascii="Times New Roman" w:hAnsi="Times New Roman" w:cs="Times New Roman"/>
                <w:sz w:val="16"/>
              </w:rPr>
              <w:t>0.54</w:t>
            </w:r>
          </w:p>
        </w:tc>
      </w:tr>
      <w:tr w14:paraId="181FD8F6" w14:textId="77777777">
        <w:tc>
          <w:tcPr>
            <w:tcW w:w="1680" w:type="dxa"/>
          </w:tcPr>
          <w:p w14:paraId="706D3550" w14:textId="77777777">
            <w:pPr>
              <w:rPr>
                <w:rFonts w:ascii="Times New Roman" w:hAnsi="Times New Roman" w:cs="Times New Roman"/>
              </w:rPr>
            </w:pPr>
            <w:r>
              <w:rPr>
                <w:rFonts w:ascii="Times New Roman" w:hAnsi="Times New Roman" w:cs="Times New Roman"/>
                <w:sz w:val="16"/>
              </w:rPr>
              <w:t>XGB</w:t>
            </w:r>
          </w:p>
        </w:tc>
        <w:tc>
          <w:tcPr>
            <w:tcW w:w="1680" w:type="dxa"/>
          </w:tcPr>
          <w:p w14:paraId="28A33174" w14:textId="77777777">
            <w:pPr>
              <w:jc w:val="center"/>
              <w:rPr>
                <w:rFonts w:ascii="Times New Roman" w:hAnsi="Times New Roman" w:cs="Times New Roman"/>
              </w:rPr>
            </w:pPr>
            <w:r>
              <w:rPr>
                <w:rFonts w:ascii="Times New Roman" w:hAnsi="Times New Roman" w:cs="Times New Roman"/>
                <w:sz w:val="16"/>
              </w:rPr>
              <w:t>all</w:t>
            </w:r>
          </w:p>
        </w:tc>
        <w:tc>
          <w:tcPr>
            <w:tcW w:w="1680" w:type="dxa"/>
          </w:tcPr>
          <w:p w14:paraId="17ACFE7E" w14:textId="77777777">
            <w:pPr>
              <w:jc w:val="center"/>
              <w:rPr>
                <w:rFonts w:ascii="Times New Roman" w:hAnsi="Times New Roman" w:cs="Times New Roman"/>
              </w:rPr>
            </w:pPr>
            <w:r>
              <w:rPr>
                <w:rFonts w:ascii="Times New Roman" w:hAnsi="Times New Roman" w:cs="Times New Roman"/>
                <w:sz w:val="16"/>
              </w:rPr>
              <w:t>0.495</w:t>
            </w:r>
          </w:p>
        </w:tc>
        <w:tc>
          <w:tcPr>
            <w:tcW w:w="1680" w:type="dxa"/>
          </w:tcPr>
          <w:p w14:paraId="62ABE8F6" w14:textId="77777777">
            <w:pPr>
              <w:jc w:val="center"/>
              <w:rPr>
                <w:rFonts w:ascii="Times New Roman" w:hAnsi="Times New Roman" w:cs="Times New Roman"/>
              </w:rPr>
            </w:pPr>
            <w:r>
              <w:rPr>
                <w:rFonts w:ascii="Times New Roman" w:hAnsi="Times New Roman" w:cs="Times New Roman"/>
                <w:sz w:val="16"/>
              </w:rPr>
              <w:t>0.500</w:t>
            </w:r>
          </w:p>
        </w:tc>
        <w:tc>
          <w:tcPr>
            <w:tcW w:w="1680" w:type="dxa"/>
          </w:tcPr>
          <w:p w14:paraId="78150041" w14:textId="77777777">
            <w:pPr>
              <w:jc w:val="center"/>
              <w:rPr>
                <w:rFonts w:ascii="Times New Roman" w:hAnsi="Times New Roman" w:cs="Times New Roman"/>
              </w:rPr>
            </w:pPr>
            <w:r>
              <w:rPr>
                <w:rFonts w:ascii="Times New Roman" w:hAnsi="Times New Roman" w:cs="Times New Roman"/>
                <w:sz w:val="16"/>
              </w:rPr>
              <w:t>0.522</w:t>
            </w:r>
          </w:p>
        </w:tc>
        <w:tc>
          <w:tcPr>
            <w:tcW w:w="1680" w:type="dxa"/>
          </w:tcPr>
          <w:p w14:paraId="58B7A41D" w14:textId="77777777">
            <w:pPr>
              <w:jc w:val="center"/>
              <w:rPr>
                <w:rFonts w:ascii="Times New Roman" w:hAnsi="Times New Roman" w:cs="Times New Roman"/>
              </w:rPr>
            </w:pPr>
            <w:r>
              <w:rPr>
                <w:rFonts w:ascii="Times New Roman" w:hAnsi="Times New Roman" w:cs="Times New Roman"/>
                <w:sz w:val="16"/>
              </w:rPr>
              <w:t>0.50</w:t>
            </w:r>
          </w:p>
        </w:tc>
      </w:tr>
      <w:tr w14:paraId="69F2AF36" w14:textId="77777777">
        <w:tc>
          <w:tcPr>
            <w:tcW w:w="1680" w:type="dxa"/>
          </w:tcPr>
          <w:p w14:paraId="18D3027A" w14:textId="77777777">
            <w:pPr>
              <w:rPr>
                <w:rFonts w:ascii="Times New Roman" w:hAnsi="Times New Roman" w:cs="Times New Roman"/>
              </w:rPr>
            </w:pPr>
            <w:r>
              <w:rPr>
                <w:rFonts w:ascii="Times New Roman" w:hAnsi="Times New Roman" w:cs="Times New Roman"/>
                <w:sz w:val="16"/>
              </w:rPr>
              <w:lastRenderedPageBreak/>
              <w:t>XGB</w:t>
            </w:r>
          </w:p>
        </w:tc>
        <w:tc>
          <w:tcPr>
            <w:tcW w:w="1680" w:type="dxa"/>
          </w:tcPr>
          <w:p w14:paraId="7212C321" w14:textId="77777777">
            <w:pPr>
              <w:jc w:val="center"/>
              <w:rPr>
                <w:rFonts w:ascii="Times New Roman" w:hAnsi="Times New Roman" w:cs="Times New Roman"/>
              </w:rPr>
            </w:pPr>
            <w:proofErr w:type="spellStart"/>
            <w:r>
              <w:rPr>
                <w:rFonts w:ascii="Times New Roman" w:hAnsi="Times New Roman" w:cs="Times New Roman"/>
                <w:sz w:val="16"/>
              </w:rPr>
              <w:t>vader</w:t>
            </w:r>
            <w:proofErr w:type="spellEnd"/>
          </w:p>
        </w:tc>
        <w:tc>
          <w:tcPr>
            <w:tcW w:w="1680" w:type="dxa"/>
          </w:tcPr>
          <w:p w14:paraId="54D4CDC3" w14:textId="77777777">
            <w:pPr>
              <w:jc w:val="center"/>
              <w:rPr>
                <w:rFonts w:ascii="Times New Roman" w:hAnsi="Times New Roman" w:cs="Times New Roman"/>
              </w:rPr>
            </w:pPr>
            <w:r>
              <w:rPr>
                <w:rFonts w:ascii="Times New Roman" w:hAnsi="Times New Roman" w:cs="Times New Roman"/>
                <w:sz w:val="16"/>
              </w:rPr>
              <w:t>0.510</w:t>
            </w:r>
          </w:p>
        </w:tc>
        <w:tc>
          <w:tcPr>
            <w:tcW w:w="1680" w:type="dxa"/>
          </w:tcPr>
          <w:p w14:paraId="02E68696" w14:textId="77777777">
            <w:pPr>
              <w:jc w:val="center"/>
              <w:rPr>
                <w:rFonts w:ascii="Times New Roman" w:hAnsi="Times New Roman" w:cs="Times New Roman"/>
              </w:rPr>
            </w:pPr>
            <w:r>
              <w:rPr>
                <w:rFonts w:ascii="Times New Roman" w:hAnsi="Times New Roman" w:cs="Times New Roman"/>
                <w:sz w:val="16"/>
              </w:rPr>
              <w:t>0.514</w:t>
            </w:r>
          </w:p>
        </w:tc>
        <w:tc>
          <w:tcPr>
            <w:tcW w:w="1680" w:type="dxa"/>
          </w:tcPr>
          <w:p w14:paraId="60C5ECAD" w14:textId="77777777">
            <w:pPr>
              <w:jc w:val="center"/>
              <w:rPr>
                <w:rFonts w:ascii="Times New Roman" w:hAnsi="Times New Roman" w:cs="Times New Roman"/>
              </w:rPr>
            </w:pPr>
            <w:r>
              <w:rPr>
                <w:rFonts w:ascii="Times New Roman" w:hAnsi="Times New Roman" w:cs="Times New Roman"/>
                <w:sz w:val="16"/>
              </w:rPr>
              <w:t>0.507</w:t>
            </w:r>
          </w:p>
        </w:tc>
        <w:tc>
          <w:tcPr>
            <w:tcW w:w="1680" w:type="dxa"/>
          </w:tcPr>
          <w:p w14:paraId="24158DEE" w14:textId="77777777">
            <w:pPr>
              <w:jc w:val="center"/>
              <w:rPr>
                <w:rFonts w:ascii="Times New Roman" w:hAnsi="Times New Roman" w:cs="Times New Roman"/>
              </w:rPr>
            </w:pPr>
            <w:r>
              <w:rPr>
                <w:rFonts w:ascii="Times New Roman" w:hAnsi="Times New Roman" w:cs="Times New Roman"/>
                <w:sz w:val="16"/>
              </w:rPr>
              <w:t>0.54</w:t>
            </w:r>
          </w:p>
        </w:tc>
      </w:tr>
      <w:tr w14:paraId="4F4739EB" w14:textId="77777777">
        <w:tc>
          <w:tcPr>
            <w:tcW w:w="1680" w:type="dxa"/>
          </w:tcPr>
          <w:p w14:paraId="1E389CF6" w14:textId="77777777">
            <w:pPr>
              <w:rPr>
                <w:rFonts w:ascii="Times New Roman" w:hAnsi="Times New Roman" w:cs="Times New Roman"/>
              </w:rPr>
            </w:pPr>
            <w:r>
              <w:rPr>
                <w:rFonts w:ascii="Times New Roman" w:hAnsi="Times New Roman" w:cs="Times New Roman"/>
                <w:sz w:val="16"/>
              </w:rPr>
              <w:t>Logit</w:t>
            </w:r>
          </w:p>
        </w:tc>
        <w:tc>
          <w:tcPr>
            <w:tcW w:w="1680" w:type="dxa"/>
          </w:tcPr>
          <w:p w14:paraId="7CEA43E2" w14:textId="77777777">
            <w:pPr>
              <w:jc w:val="center"/>
              <w:rPr>
                <w:rFonts w:ascii="Times New Roman" w:hAnsi="Times New Roman" w:cs="Times New Roman"/>
              </w:rPr>
            </w:pPr>
            <w:proofErr w:type="spellStart"/>
            <w:r>
              <w:rPr>
                <w:rFonts w:ascii="Times New Roman" w:hAnsi="Times New Roman" w:cs="Times New Roman"/>
                <w:sz w:val="16"/>
              </w:rPr>
              <w:t>finbert</w:t>
            </w:r>
            <w:proofErr w:type="spellEnd"/>
          </w:p>
        </w:tc>
        <w:tc>
          <w:tcPr>
            <w:tcW w:w="1680" w:type="dxa"/>
          </w:tcPr>
          <w:p w14:paraId="423B2FFC" w14:textId="77777777">
            <w:pPr>
              <w:jc w:val="center"/>
              <w:rPr>
                <w:rFonts w:ascii="Times New Roman" w:hAnsi="Times New Roman" w:cs="Times New Roman"/>
              </w:rPr>
            </w:pPr>
            <w:r>
              <w:rPr>
                <w:rFonts w:ascii="Times New Roman" w:hAnsi="Times New Roman" w:cs="Times New Roman"/>
                <w:sz w:val="16"/>
              </w:rPr>
              <w:t>0.497</w:t>
            </w:r>
          </w:p>
        </w:tc>
        <w:tc>
          <w:tcPr>
            <w:tcW w:w="1680" w:type="dxa"/>
          </w:tcPr>
          <w:p w14:paraId="73ACAC30" w14:textId="77777777">
            <w:pPr>
              <w:jc w:val="center"/>
              <w:rPr>
                <w:rFonts w:ascii="Times New Roman" w:hAnsi="Times New Roman" w:cs="Times New Roman"/>
              </w:rPr>
            </w:pPr>
            <w:r>
              <w:rPr>
                <w:rFonts w:ascii="Times New Roman" w:hAnsi="Times New Roman" w:cs="Times New Roman"/>
                <w:sz w:val="16"/>
              </w:rPr>
              <w:t>0.499</w:t>
            </w:r>
          </w:p>
        </w:tc>
        <w:tc>
          <w:tcPr>
            <w:tcW w:w="1680" w:type="dxa"/>
          </w:tcPr>
          <w:p w14:paraId="42569EE1" w14:textId="77777777">
            <w:pPr>
              <w:jc w:val="center"/>
              <w:rPr>
                <w:rFonts w:ascii="Times New Roman" w:hAnsi="Times New Roman" w:cs="Times New Roman"/>
              </w:rPr>
            </w:pPr>
            <w:r>
              <w:rPr>
                <w:rFonts w:ascii="Times New Roman" w:hAnsi="Times New Roman" w:cs="Times New Roman"/>
                <w:sz w:val="16"/>
              </w:rPr>
              <w:t>0.522</w:t>
            </w:r>
          </w:p>
        </w:tc>
        <w:tc>
          <w:tcPr>
            <w:tcW w:w="1680" w:type="dxa"/>
          </w:tcPr>
          <w:p w14:paraId="1019F7E1" w14:textId="77777777">
            <w:pPr>
              <w:jc w:val="center"/>
              <w:rPr>
                <w:rFonts w:ascii="Times New Roman" w:hAnsi="Times New Roman" w:cs="Times New Roman"/>
              </w:rPr>
            </w:pPr>
            <w:r>
              <w:rPr>
                <w:rFonts w:ascii="Times New Roman" w:hAnsi="Times New Roman" w:cs="Times New Roman"/>
                <w:sz w:val="16"/>
              </w:rPr>
              <w:t>0.55</w:t>
            </w:r>
          </w:p>
        </w:tc>
      </w:tr>
    </w:tbl>
    <w:p w14:paraId="7A85DBA3" w14:textId="77777777">
      <w:pPr>
        <w:jc w:val="center"/>
        <w:rPr>
          <w:rFonts w:ascii="Times New Roman" w:hAnsi="Times New Roman" w:cs="Times New Roman"/>
        </w:rPr>
      </w:pPr>
      <w:r>
        <w:rPr>
          <w:rFonts w:ascii="Times New Roman" w:hAnsi="Times New Roman" w:cs="Times New Roman"/>
          <w:noProof/>
        </w:rPr>
        <w:drawing>
          <wp:inline distT="0" distB="0" distL="0" distR="0" wp14:anchorId="3B227103" wp14:editId="3356646C">
            <wp:extent cx="5669280" cy="1889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entiment_method_comparison.png"/>
                    <pic:cNvPicPr/>
                  </pic:nvPicPr>
                  <pic:blipFill>
                    <a:blip r:embed="rId9"/>
                    <a:stretch>
                      <a:fillRect/>
                    </a:stretch>
                  </pic:blipFill>
                  <pic:spPr>
                    <a:xfrm>
                      <a:off x="0" y="0"/>
                      <a:ext cx="5669280" cy="1889760"/>
                    </a:xfrm>
                    <a:prstGeom prst="rect">
                      <a:avLst/>
                    </a:prstGeom>
                  </pic:spPr>
                </pic:pic>
              </a:graphicData>
            </a:graphic>
          </wp:inline>
        </w:drawing>
      </w:r>
    </w:p>
    <w:p w14:paraId="7C47F24C" w14:textId="77777777">
      <w:pPr>
        <w:jc w:val="center"/>
        <w:rPr>
          <w:rFonts w:ascii="Times New Roman" w:hAnsi="Times New Roman" w:cs="Times New Roman"/>
        </w:rPr>
      </w:pPr>
      <w:r>
        <w:rPr>
          <w:rFonts w:ascii="Times New Roman" w:hAnsi="Times New Roman" w:cs="Times New Roman"/>
        </w:rPr>
        <w:t>Figure 2. Test-set comparison across sentiment feature sets.</w:t>
      </w:r>
    </w:p>
    <w:p w14:paraId="6F275800" w14:textId="77777777">
      <w:pPr>
        <w:jc w:val="center"/>
        <w:rPr>
          <w:rFonts w:ascii="Times New Roman" w:hAnsi="Times New Roman" w:cs="Times New Roman"/>
        </w:rPr>
      </w:pPr>
      <w:r>
        <w:rPr>
          <w:rFonts w:ascii="Times New Roman" w:hAnsi="Times New Roman" w:cs="Times New Roman"/>
          <w:noProof/>
        </w:rPr>
        <w:drawing>
          <wp:inline distT="0" distB="0" distL="0" distR="0" wp14:anchorId="14573F08" wp14:editId="603A9E07">
            <wp:extent cx="4632157" cy="4632157"/>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oc_test.png"/>
                    <pic:cNvPicPr/>
                  </pic:nvPicPr>
                  <pic:blipFill>
                    <a:blip r:embed="rId10"/>
                    <a:stretch>
                      <a:fillRect/>
                    </a:stretch>
                  </pic:blipFill>
                  <pic:spPr>
                    <a:xfrm>
                      <a:off x="0" y="0"/>
                      <a:ext cx="4670289" cy="4670289"/>
                    </a:xfrm>
                    <a:prstGeom prst="rect">
                      <a:avLst/>
                    </a:prstGeom>
                  </pic:spPr>
                </pic:pic>
              </a:graphicData>
            </a:graphic>
          </wp:inline>
        </w:drawing>
      </w:r>
    </w:p>
    <w:p w14:paraId="5367E4B8" w14:textId="77777777">
      <w:pPr>
        <w:jc w:val="center"/>
        <w:rPr>
          <w:rFonts w:ascii="Times New Roman" w:hAnsi="Times New Roman" w:cs="Times New Roman"/>
        </w:rPr>
      </w:pPr>
      <w:r>
        <w:rPr>
          <w:rFonts w:ascii="Times New Roman" w:hAnsi="Times New Roman" w:cs="Times New Roman"/>
        </w:rPr>
        <w:t>Figure 3. ROC curves on the held-out test set; most curves remain close to the 0.50 baseline.</w:t>
      </w:r>
    </w:p>
    <w:p w14:paraId="53BE5643" w14:textId="77777777">
      <w:pPr>
        <w:pStyle w:val="21"/>
        <w:rPr>
          <w:rFonts w:ascii="Times New Roman" w:hAnsi="Times New Roman" w:cs="Times New Roman"/>
        </w:rPr>
      </w:pPr>
      <w:r>
        <w:rPr>
          <w:rFonts w:ascii="Times New Roman" w:hAnsi="Times New Roman" w:cs="Times New Roman"/>
        </w:rPr>
        <w:t xml:space="preserve">4.3 Finance-specific signals help some </w:t>
      </w:r>
      <w:proofErr w:type="spellStart"/>
      <w:r>
        <w:rPr>
          <w:rFonts w:ascii="Times New Roman" w:hAnsi="Times New Roman" w:cs="Times New Roman"/>
        </w:rPr>
        <w:t>backtests</w:t>
      </w:r>
      <w:proofErr w:type="spellEnd"/>
      <w:r>
        <w:rPr>
          <w:rFonts w:ascii="Times New Roman" w:hAnsi="Times New Roman" w:cs="Times New Roman"/>
        </w:rPr>
        <w:t>, but the edge is fragile</w:t>
      </w:r>
    </w:p>
    <w:p w14:paraId="48002600" w14:textId="77777777">
      <w:pPr>
        <w:spacing w:after="120" w:line="252" w:lineRule="auto"/>
        <w:rPr>
          <w:rFonts w:ascii="Times New Roman" w:hAnsi="Times New Roman" w:cs="Times New Roman"/>
        </w:rPr>
      </w:pPr>
      <w:proofErr w:type="spellStart"/>
      <w:r>
        <w:rPr>
          <w:rFonts w:ascii="Times New Roman" w:hAnsi="Times New Roman" w:cs="Times New Roman"/>
        </w:rPr>
        <w:t>Backtesting</w:t>
      </w:r>
      <w:proofErr w:type="spellEnd"/>
      <w:r>
        <w:rPr>
          <w:rFonts w:ascii="Times New Roman" w:hAnsi="Times New Roman" w:cs="Times New Roman"/>
        </w:rPr>
        <w:t xml:space="preserve"> gives a more complicated picture than classification accuracy alone. The all-feature Logit and XGB strategies are almost identical to buy-and-hold in the test period because they are long nearly all the time. Logit with </w:t>
      </w:r>
      <w:proofErr w:type="spellStart"/>
      <w:r>
        <w:rPr>
          <w:rFonts w:ascii="Times New Roman" w:hAnsi="Times New Roman" w:cs="Times New Roman"/>
        </w:rPr>
        <w:t>FinBERT</w:t>
      </w:r>
      <w:proofErr w:type="spellEnd"/>
      <w:r>
        <w:rPr>
          <w:rFonts w:ascii="Times New Roman" w:hAnsi="Times New Roman" w:cs="Times New Roman"/>
        </w:rPr>
        <w:t>, however, produces a 13.1% cumulative test return versus 7.0% for buy-and-hold, with a smaller maximum drawdown. XGB with VADER also improves on buy-and-hold. These results are interesting, but they should be treated carefully because they depend on feature set and threshold choice.</w:t>
      </w:r>
    </w:p>
    <w:tbl>
      <w:tblPr>
        <w:tblStyle w:val="aff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1260"/>
        <w:gridCol w:w="1260"/>
        <w:gridCol w:w="1260"/>
        <w:gridCol w:w="1260"/>
        <w:gridCol w:w="1260"/>
        <w:gridCol w:w="1260"/>
        <w:gridCol w:w="1260"/>
      </w:tblGrid>
      <w:tr w14:paraId="5950CB7A" w14:textId="77777777">
        <w:tc>
          <w:tcPr>
            <w:tcW w:w="1260" w:type="dxa"/>
            <w:tcBorders>
              <w:top w:val="single" w:sz="4" w:space="0" w:color="auto"/>
              <w:bottom w:val="single" w:sz="4" w:space="0" w:color="auto"/>
            </w:tcBorders>
          </w:tcPr>
          <w:p w14:paraId="48BEA9C9" w14:textId="77777777">
            <w:pPr>
              <w:rPr>
                <w:rFonts w:ascii="Times New Roman" w:hAnsi="Times New Roman" w:cs="Times New Roman"/>
              </w:rPr>
            </w:pPr>
            <w:r>
              <w:rPr>
                <w:rFonts w:ascii="Times New Roman" w:hAnsi="Times New Roman" w:cs="Times New Roman"/>
                <w:b/>
                <w:sz w:val="16"/>
              </w:rPr>
              <w:lastRenderedPageBreak/>
              <w:t>Model</w:t>
            </w:r>
          </w:p>
        </w:tc>
        <w:tc>
          <w:tcPr>
            <w:tcW w:w="1260" w:type="dxa"/>
            <w:tcBorders>
              <w:top w:val="single" w:sz="4" w:space="0" w:color="auto"/>
              <w:bottom w:val="single" w:sz="4" w:space="0" w:color="auto"/>
            </w:tcBorders>
          </w:tcPr>
          <w:p w14:paraId="5584716A" w14:textId="77777777">
            <w:pPr>
              <w:jc w:val="center"/>
              <w:rPr>
                <w:rFonts w:ascii="Times New Roman" w:hAnsi="Times New Roman" w:cs="Times New Roman"/>
              </w:rPr>
            </w:pPr>
            <w:r>
              <w:rPr>
                <w:rFonts w:ascii="Times New Roman" w:hAnsi="Times New Roman" w:cs="Times New Roman"/>
                <w:b/>
                <w:sz w:val="16"/>
              </w:rPr>
              <w:t>Features</w:t>
            </w:r>
          </w:p>
        </w:tc>
        <w:tc>
          <w:tcPr>
            <w:tcW w:w="1260" w:type="dxa"/>
            <w:tcBorders>
              <w:top w:val="single" w:sz="4" w:space="0" w:color="auto"/>
              <w:bottom w:val="single" w:sz="4" w:space="0" w:color="auto"/>
            </w:tcBorders>
          </w:tcPr>
          <w:p w14:paraId="54FFD0D7" w14:textId="77777777">
            <w:pPr>
              <w:jc w:val="center"/>
              <w:rPr>
                <w:rFonts w:ascii="Times New Roman" w:hAnsi="Times New Roman" w:cs="Times New Roman"/>
              </w:rPr>
            </w:pPr>
            <w:r>
              <w:rPr>
                <w:rFonts w:ascii="Times New Roman" w:hAnsi="Times New Roman" w:cs="Times New Roman"/>
                <w:b/>
                <w:sz w:val="16"/>
              </w:rPr>
              <w:t>Strategy return</w:t>
            </w:r>
          </w:p>
        </w:tc>
        <w:tc>
          <w:tcPr>
            <w:tcW w:w="1260" w:type="dxa"/>
            <w:tcBorders>
              <w:top w:val="single" w:sz="4" w:space="0" w:color="auto"/>
              <w:bottom w:val="single" w:sz="4" w:space="0" w:color="auto"/>
            </w:tcBorders>
          </w:tcPr>
          <w:p w14:paraId="74FBA012" w14:textId="77777777">
            <w:pPr>
              <w:jc w:val="center"/>
              <w:rPr>
                <w:rFonts w:ascii="Times New Roman" w:hAnsi="Times New Roman" w:cs="Times New Roman"/>
              </w:rPr>
            </w:pPr>
            <w:r>
              <w:rPr>
                <w:rFonts w:ascii="Times New Roman" w:hAnsi="Times New Roman" w:cs="Times New Roman"/>
                <w:b/>
                <w:sz w:val="16"/>
              </w:rPr>
              <w:t>Buy-hold</w:t>
            </w:r>
          </w:p>
        </w:tc>
        <w:tc>
          <w:tcPr>
            <w:tcW w:w="1260" w:type="dxa"/>
            <w:tcBorders>
              <w:top w:val="single" w:sz="4" w:space="0" w:color="auto"/>
              <w:bottom w:val="single" w:sz="4" w:space="0" w:color="auto"/>
            </w:tcBorders>
          </w:tcPr>
          <w:p w14:paraId="7438B5D1" w14:textId="77777777">
            <w:pPr>
              <w:jc w:val="center"/>
              <w:rPr>
                <w:rFonts w:ascii="Times New Roman" w:hAnsi="Times New Roman" w:cs="Times New Roman"/>
              </w:rPr>
            </w:pPr>
            <w:r>
              <w:rPr>
                <w:rFonts w:ascii="Times New Roman" w:hAnsi="Times New Roman" w:cs="Times New Roman"/>
                <w:b/>
                <w:sz w:val="16"/>
              </w:rPr>
              <w:t>Sharpe</w:t>
            </w:r>
          </w:p>
        </w:tc>
        <w:tc>
          <w:tcPr>
            <w:tcW w:w="1260" w:type="dxa"/>
            <w:tcBorders>
              <w:top w:val="single" w:sz="4" w:space="0" w:color="auto"/>
              <w:bottom w:val="single" w:sz="4" w:space="0" w:color="auto"/>
            </w:tcBorders>
          </w:tcPr>
          <w:p w14:paraId="3EA406B1" w14:textId="77777777">
            <w:pPr>
              <w:jc w:val="center"/>
              <w:rPr>
                <w:rFonts w:ascii="Times New Roman" w:hAnsi="Times New Roman" w:cs="Times New Roman"/>
              </w:rPr>
            </w:pPr>
            <w:r>
              <w:rPr>
                <w:rFonts w:ascii="Times New Roman" w:hAnsi="Times New Roman" w:cs="Times New Roman"/>
                <w:b/>
                <w:sz w:val="16"/>
              </w:rPr>
              <w:t>Max drawdown</w:t>
            </w:r>
          </w:p>
        </w:tc>
        <w:tc>
          <w:tcPr>
            <w:tcW w:w="1260" w:type="dxa"/>
            <w:tcBorders>
              <w:top w:val="single" w:sz="4" w:space="0" w:color="auto"/>
              <w:bottom w:val="single" w:sz="4" w:space="0" w:color="auto"/>
            </w:tcBorders>
          </w:tcPr>
          <w:p w14:paraId="35A18034" w14:textId="77777777">
            <w:pPr>
              <w:jc w:val="center"/>
              <w:rPr>
                <w:rFonts w:ascii="Times New Roman" w:hAnsi="Times New Roman" w:cs="Times New Roman"/>
              </w:rPr>
            </w:pPr>
            <w:r>
              <w:rPr>
                <w:rFonts w:ascii="Times New Roman" w:hAnsi="Times New Roman" w:cs="Times New Roman"/>
                <w:b/>
                <w:sz w:val="16"/>
              </w:rPr>
              <w:t>Exposure</w:t>
            </w:r>
          </w:p>
        </w:tc>
        <w:tc>
          <w:tcPr>
            <w:tcW w:w="1260" w:type="dxa"/>
            <w:tcBorders>
              <w:top w:val="single" w:sz="4" w:space="0" w:color="auto"/>
              <w:bottom w:val="single" w:sz="4" w:space="0" w:color="auto"/>
            </w:tcBorders>
          </w:tcPr>
          <w:p w14:paraId="0FC024CF" w14:textId="77777777">
            <w:pPr>
              <w:jc w:val="center"/>
              <w:rPr>
                <w:rFonts w:ascii="Times New Roman" w:hAnsi="Times New Roman" w:cs="Times New Roman"/>
              </w:rPr>
            </w:pPr>
            <w:r>
              <w:rPr>
                <w:rFonts w:ascii="Times New Roman" w:hAnsi="Times New Roman" w:cs="Times New Roman"/>
                <w:b/>
                <w:sz w:val="16"/>
              </w:rPr>
              <w:t>Trades</w:t>
            </w:r>
          </w:p>
        </w:tc>
      </w:tr>
      <w:tr w14:paraId="588B359E" w14:textId="77777777">
        <w:tc>
          <w:tcPr>
            <w:tcW w:w="1260" w:type="dxa"/>
            <w:tcBorders>
              <w:top w:val="single" w:sz="4" w:space="0" w:color="auto"/>
            </w:tcBorders>
          </w:tcPr>
          <w:p w14:paraId="0B9ADC98" w14:textId="77777777">
            <w:pPr>
              <w:rPr>
                <w:rFonts w:ascii="Times New Roman" w:hAnsi="Times New Roman" w:cs="Times New Roman"/>
              </w:rPr>
            </w:pPr>
            <w:r>
              <w:rPr>
                <w:rFonts w:ascii="Times New Roman" w:hAnsi="Times New Roman" w:cs="Times New Roman"/>
                <w:sz w:val="16"/>
              </w:rPr>
              <w:t>Logit</w:t>
            </w:r>
          </w:p>
        </w:tc>
        <w:tc>
          <w:tcPr>
            <w:tcW w:w="1260" w:type="dxa"/>
            <w:tcBorders>
              <w:top w:val="single" w:sz="4" w:space="0" w:color="auto"/>
            </w:tcBorders>
          </w:tcPr>
          <w:p w14:paraId="4F0D5B74" w14:textId="77777777">
            <w:pPr>
              <w:jc w:val="center"/>
              <w:rPr>
                <w:rFonts w:ascii="Times New Roman" w:hAnsi="Times New Roman" w:cs="Times New Roman"/>
              </w:rPr>
            </w:pPr>
            <w:r>
              <w:rPr>
                <w:rFonts w:ascii="Times New Roman" w:hAnsi="Times New Roman" w:cs="Times New Roman"/>
                <w:sz w:val="16"/>
              </w:rPr>
              <w:t>all</w:t>
            </w:r>
          </w:p>
        </w:tc>
        <w:tc>
          <w:tcPr>
            <w:tcW w:w="1260" w:type="dxa"/>
            <w:tcBorders>
              <w:top w:val="single" w:sz="4" w:space="0" w:color="auto"/>
            </w:tcBorders>
          </w:tcPr>
          <w:p w14:paraId="4E7A5FBC" w14:textId="77777777">
            <w:pPr>
              <w:jc w:val="center"/>
              <w:rPr>
                <w:rFonts w:ascii="Times New Roman" w:hAnsi="Times New Roman" w:cs="Times New Roman"/>
              </w:rPr>
            </w:pPr>
            <w:r>
              <w:rPr>
                <w:rFonts w:ascii="Times New Roman" w:hAnsi="Times New Roman" w:cs="Times New Roman"/>
                <w:sz w:val="16"/>
              </w:rPr>
              <w:t>7.15%</w:t>
            </w:r>
          </w:p>
        </w:tc>
        <w:tc>
          <w:tcPr>
            <w:tcW w:w="1260" w:type="dxa"/>
            <w:tcBorders>
              <w:top w:val="single" w:sz="4" w:space="0" w:color="auto"/>
            </w:tcBorders>
          </w:tcPr>
          <w:p w14:paraId="47B78D08" w14:textId="77777777">
            <w:pPr>
              <w:jc w:val="center"/>
              <w:rPr>
                <w:rFonts w:ascii="Times New Roman" w:hAnsi="Times New Roman" w:cs="Times New Roman"/>
              </w:rPr>
            </w:pPr>
            <w:r>
              <w:rPr>
                <w:rFonts w:ascii="Times New Roman" w:hAnsi="Times New Roman" w:cs="Times New Roman"/>
                <w:sz w:val="16"/>
              </w:rPr>
              <w:t>6.97%</w:t>
            </w:r>
          </w:p>
        </w:tc>
        <w:tc>
          <w:tcPr>
            <w:tcW w:w="1260" w:type="dxa"/>
            <w:tcBorders>
              <w:top w:val="single" w:sz="4" w:space="0" w:color="auto"/>
            </w:tcBorders>
          </w:tcPr>
          <w:p w14:paraId="67AA4EA9" w14:textId="77777777">
            <w:pPr>
              <w:jc w:val="center"/>
              <w:rPr>
                <w:rFonts w:ascii="Times New Roman" w:hAnsi="Times New Roman" w:cs="Times New Roman"/>
              </w:rPr>
            </w:pPr>
            <w:r>
              <w:rPr>
                <w:rFonts w:ascii="Times New Roman" w:hAnsi="Times New Roman" w:cs="Times New Roman"/>
                <w:sz w:val="16"/>
              </w:rPr>
              <w:t>0.266</w:t>
            </w:r>
          </w:p>
        </w:tc>
        <w:tc>
          <w:tcPr>
            <w:tcW w:w="1260" w:type="dxa"/>
            <w:tcBorders>
              <w:top w:val="single" w:sz="4" w:space="0" w:color="auto"/>
            </w:tcBorders>
          </w:tcPr>
          <w:p w14:paraId="0B9892AC" w14:textId="77777777">
            <w:pPr>
              <w:jc w:val="center"/>
              <w:rPr>
                <w:rFonts w:ascii="Times New Roman" w:hAnsi="Times New Roman" w:cs="Times New Roman"/>
              </w:rPr>
            </w:pPr>
            <w:r>
              <w:rPr>
                <w:rFonts w:ascii="Times New Roman" w:hAnsi="Times New Roman" w:cs="Times New Roman"/>
                <w:sz w:val="16"/>
              </w:rPr>
              <w:t>-25.24%</w:t>
            </w:r>
          </w:p>
        </w:tc>
        <w:tc>
          <w:tcPr>
            <w:tcW w:w="1260" w:type="dxa"/>
            <w:tcBorders>
              <w:top w:val="single" w:sz="4" w:space="0" w:color="auto"/>
            </w:tcBorders>
          </w:tcPr>
          <w:p w14:paraId="773F8BD3" w14:textId="77777777">
            <w:pPr>
              <w:jc w:val="center"/>
              <w:rPr>
                <w:rFonts w:ascii="Times New Roman" w:hAnsi="Times New Roman" w:cs="Times New Roman"/>
              </w:rPr>
            </w:pPr>
            <w:r>
              <w:rPr>
                <w:rFonts w:ascii="Times New Roman" w:hAnsi="Times New Roman" w:cs="Times New Roman"/>
                <w:sz w:val="16"/>
              </w:rPr>
              <w:t>99.4%</w:t>
            </w:r>
          </w:p>
        </w:tc>
        <w:tc>
          <w:tcPr>
            <w:tcW w:w="1260" w:type="dxa"/>
            <w:tcBorders>
              <w:top w:val="single" w:sz="4" w:space="0" w:color="auto"/>
            </w:tcBorders>
          </w:tcPr>
          <w:p w14:paraId="5BE41875" w14:textId="77777777">
            <w:pPr>
              <w:jc w:val="center"/>
              <w:rPr>
                <w:rFonts w:ascii="Times New Roman" w:hAnsi="Times New Roman" w:cs="Times New Roman"/>
              </w:rPr>
            </w:pPr>
            <w:r>
              <w:rPr>
                <w:rFonts w:ascii="Times New Roman" w:hAnsi="Times New Roman" w:cs="Times New Roman"/>
                <w:sz w:val="16"/>
              </w:rPr>
              <w:t>7</w:t>
            </w:r>
          </w:p>
        </w:tc>
      </w:tr>
      <w:tr w14:paraId="7511EED8" w14:textId="77777777">
        <w:tc>
          <w:tcPr>
            <w:tcW w:w="1260" w:type="dxa"/>
          </w:tcPr>
          <w:p w14:paraId="6F94C490" w14:textId="77777777">
            <w:pPr>
              <w:rPr>
                <w:rFonts w:ascii="Times New Roman" w:hAnsi="Times New Roman" w:cs="Times New Roman"/>
              </w:rPr>
            </w:pPr>
            <w:r>
              <w:rPr>
                <w:rFonts w:ascii="Times New Roman" w:hAnsi="Times New Roman" w:cs="Times New Roman"/>
                <w:sz w:val="16"/>
              </w:rPr>
              <w:t>XGB</w:t>
            </w:r>
          </w:p>
        </w:tc>
        <w:tc>
          <w:tcPr>
            <w:tcW w:w="1260" w:type="dxa"/>
          </w:tcPr>
          <w:p w14:paraId="3945C42B" w14:textId="77777777">
            <w:pPr>
              <w:jc w:val="center"/>
              <w:rPr>
                <w:rFonts w:ascii="Times New Roman" w:hAnsi="Times New Roman" w:cs="Times New Roman"/>
              </w:rPr>
            </w:pPr>
            <w:r>
              <w:rPr>
                <w:rFonts w:ascii="Times New Roman" w:hAnsi="Times New Roman" w:cs="Times New Roman"/>
                <w:sz w:val="16"/>
              </w:rPr>
              <w:t>all</w:t>
            </w:r>
          </w:p>
        </w:tc>
        <w:tc>
          <w:tcPr>
            <w:tcW w:w="1260" w:type="dxa"/>
          </w:tcPr>
          <w:p w14:paraId="44838933" w14:textId="77777777">
            <w:pPr>
              <w:jc w:val="center"/>
              <w:rPr>
                <w:rFonts w:ascii="Times New Roman" w:hAnsi="Times New Roman" w:cs="Times New Roman"/>
              </w:rPr>
            </w:pPr>
            <w:r>
              <w:rPr>
                <w:rFonts w:ascii="Times New Roman" w:hAnsi="Times New Roman" w:cs="Times New Roman"/>
                <w:sz w:val="16"/>
              </w:rPr>
              <w:t>6.96%</w:t>
            </w:r>
          </w:p>
        </w:tc>
        <w:tc>
          <w:tcPr>
            <w:tcW w:w="1260" w:type="dxa"/>
          </w:tcPr>
          <w:p w14:paraId="053352BB" w14:textId="77777777">
            <w:pPr>
              <w:jc w:val="center"/>
              <w:rPr>
                <w:rFonts w:ascii="Times New Roman" w:hAnsi="Times New Roman" w:cs="Times New Roman"/>
              </w:rPr>
            </w:pPr>
            <w:r>
              <w:rPr>
                <w:rFonts w:ascii="Times New Roman" w:hAnsi="Times New Roman" w:cs="Times New Roman"/>
                <w:sz w:val="16"/>
              </w:rPr>
              <w:t>6.97%</w:t>
            </w:r>
          </w:p>
        </w:tc>
        <w:tc>
          <w:tcPr>
            <w:tcW w:w="1260" w:type="dxa"/>
          </w:tcPr>
          <w:p w14:paraId="1CF98450" w14:textId="77777777">
            <w:pPr>
              <w:jc w:val="center"/>
              <w:rPr>
                <w:rFonts w:ascii="Times New Roman" w:hAnsi="Times New Roman" w:cs="Times New Roman"/>
              </w:rPr>
            </w:pPr>
            <w:r>
              <w:rPr>
                <w:rFonts w:ascii="Times New Roman" w:hAnsi="Times New Roman" w:cs="Times New Roman"/>
                <w:sz w:val="16"/>
              </w:rPr>
              <w:t>0.261</w:t>
            </w:r>
          </w:p>
        </w:tc>
        <w:tc>
          <w:tcPr>
            <w:tcW w:w="1260" w:type="dxa"/>
          </w:tcPr>
          <w:p w14:paraId="2B55A344" w14:textId="77777777">
            <w:pPr>
              <w:jc w:val="center"/>
              <w:rPr>
                <w:rFonts w:ascii="Times New Roman" w:hAnsi="Times New Roman" w:cs="Times New Roman"/>
              </w:rPr>
            </w:pPr>
            <w:r>
              <w:rPr>
                <w:rFonts w:ascii="Times New Roman" w:hAnsi="Times New Roman" w:cs="Times New Roman"/>
                <w:sz w:val="16"/>
              </w:rPr>
              <w:t>-25.38%</w:t>
            </w:r>
          </w:p>
        </w:tc>
        <w:tc>
          <w:tcPr>
            <w:tcW w:w="1260" w:type="dxa"/>
          </w:tcPr>
          <w:p w14:paraId="0F653602" w14:textId="77777777">
            <w:pPr>
              <w:jc w:val="center"/>
              <w:rPr>
                <w:rFonts w:ascii="Times New Roman" w:hAnsi="Times New Roman" w:cs="Times New Roman"/>
              </w:rPr>
            </w:pPr>
            <w:r>
              <w:rPr>
                <w:rFonts w:ascii="Times New Roman" w:hAnsi="Times New Roman" w:cs="Times New Roman"/>
                <w:sz w:val="16"/>
              </w:rPr>
              <w:t>100.0%</w:t>
            </w:r>
          </w:p>
        </w:tc>
        <w:tc>
          <w:tcPr>
            <w:tcW w:w="1260" w:type="dxa"/>
          </w:tcPr>
          <w:p w14:paraId="38D59716" w14:textId="77777777">
            <w:pPr>
              <w:jc w:val="center"/>
              <w:rPr>
                <w:rFonts w:ascii="Times New Roman" w:hAnsi="Times New Roman" w:cs="Times New Roman"/>
              </w:rPr>
            </w:pPr>
            <w:r>
              <w:rPr>
                <w:rFonts w:ascii="Times New Roman" w:hAnsi="Times New Roman" w:cs="Times New Roman"/>
                <w:sz w:val="16"/>
              </w:rPr>
              <w:t>1</w:t>
            </w:r>
          </w:p>
        </w:tc>
      </w:tr>
      <w:tr w14:paraId="272A623E" w14:textId="77777777">
        <w:tc>
          <w:tcPr>
            <w:tcW w:w="1260" w:type="dxa"/>
          </w:tcPr>
          <w:p w14:paraId="4C04DC17" w14:textId="77777777">
            <w:pPr>
              <w:rPr>
                <w:rFonts w:ascii="Times New Roman" w:hAnsi="Times New Roman" w:cs="Times New Roman"/>
              </w:rPr>
            </w:pPr>
            <w:r>
              <w:rPr>
                <w:rFonts w:ascii="Times New Roman" w:hAnsi="Times New Roman" w:cs="Times New Roman"/>
                <w:sz w:val="16"/>
              </w:rPr>
              <w:t>Logit</w:t>
            </w:r>
          </w:p>
        </w:tc>
        <w:tc>
          <w:tcPr>
            <w:tcW w:w="1260" w:type="dxa"/>
          </w:tcPr>
          <w:p w14:paraId="717C2F80" w14:textId="77777777">
            <w:pPr>
              <w:jc w:val="center"/>
              <w:rPr>
                <w:rFonts w:ascii="Times New Roman" w:hAnsi="Times New Roman" w:cs="Times New Roman"/>
              </w:rPr>
            </w:pPr>
            <w:proofErr w:type="spellStart"/>
            <w:r>
              <w:rPr>
                <w:rFonts w:ascii="Times New Roman" w:hAnsi="Times New Roman" w:cs="Times New Roman"/>
                <w:sz w:val="16"/>
              </w:rPr>
              <w:t>finbert</w:t>
            </w:r>
            <w:proofErr w:type="spellEnd"/>
          </w:p>
        </w:tc>
        <w:tc>
          <w:tcPr>
            <w:tcW w:w="1260" w:type="dxa"/>
          </w:tcPr>
          <w:p w14:paraId="443736D6" w14:textId="77777777">
            <w:pPr>
              <w:jc w:val="center"/>
              <w:rPr>
                <w:rFonts w:ascii="Times New Roman" w:hAnsi="Times New Roman" w:cs="Times New Roman"/>
              </w:rPr>
            </w:pPr>
            <w:r>
              <w:rPr>
                <w:rFonts w:ascii="Times New Roman" w:hAnsi="Times New Roman" w:cs="Times New Roman"/>
                <w:sz w:val="16"/>
              </w:rPr>
              <w:t>13.12%</w:t>
            </w:r>
          </w:p>
        </w:tc>
        <w:tc>
          <w:tcPr>
            <w:tcW w:w="1260" w:type="dxa"/>
          </w:tcPr>
          <w:p w14:paraId="153F9AF8" w14:textId="77777777">
            <w:pPr>
              <w:jc w:val="center"/>
              <w:rPr>
                <w:rFonts w:ascii="Times New Roman" w:hAnsi="Times New Roman" w:cs="Times New Roman"/>
              </w:rPr>
            </w:pPr>
            <w:r>
              <w:rPr>
                <w:rFonts w:ascii="Times New Roman" w:hAnsi="Times New Roman" w:cs="Times New Roman"/>
                <w:sz w:val="16"/>
              </w:rPr>
              <w:t>6.97%</w:t>
            </w:r>
          </w:p>
        </w:tc>
        <w:tc>
          <w:tcPr>
            <w:tcW w:w="1260" w:type="dxa"/>
          </w:tcPr>
          <w:p w14:paraId="4428CCCC" w14:textId="77777777">
            <w:pPr>
              <w:jc w:val="center"/>
              <w:rPr>
                <w:rFonts w:ascii="Times New Roman" w:hAnsi="Times New Roman" w:cs="Times New Roman"/>
              </w:rPr>
            </w:pPr>
            <w:r>
              <w:rPr>
                <w:rFonts w:ascii="Times New Roman" w:hAnsi="Times New Roman" w:cs="Times New Roman"/>
                <w:sz w:val="16"/>
              </w:rPr>
              <w:t>0.453</w:t>
            </w:r>
          </w:p>
        </w:tc>
        <w:tc>
          <w:tcPr>
            <w:tcW w:w="1260" w:type="dxa"/>
          </w:tcPr>
          <w:p w14:paraId="6C458A7E" w14:textId="77777777">
            <w:pPr>
              <w:jc w:val="center"/>
              <w:rPr>
                <w:rFonts w:ascii="Times New Roman" w:hAnsi="Times New Roman" w:cs="Times New Roman"/>
              </w:rPr>
            </w:pPr>
            <w:r>
              <w:rPr>
                <w:rFonts w:ascii="Times New Roman" w:hAnsi="Times New Roman" w:cs="Times New Roman"/>
                <w:sz w:val="16"/>
              </w:rPr>
              <w:t>-15.20%</w:t>
            </w:r>
          </w:p>
        </w:tc>
        <w:tc>
          <w:tcPr>
            <w:tcW w:w="1260" w:type="dxa"/>
          </w:tcPr>
          <w:p w14:paraId="42DF028D" w14:textId="77777777">
            <w:pPr>
              <w:jc w:val="center"/>
              <w:rPr>
                <w:rFonts w:ascii="Times New Roman" w:hAnsi="Times New Roman" w:cs="Times New Roman"/>
              </w:rPr>
            </w:pPr>
            <w:r>
              <w:rPr>
                <w:rFonts w:ascii="Times New Roman" w:hAnsi="Times New Roman" w:cs="Times New Roman"/>
                <w:sz w:val="16"/>
              </w:rPr>
              <w:t>64.8%</w:t>
            </w:r>
          </w:p>
        </w:tc>
        <w:tc>
          <w:tcPr>
            <w:tcW w:w="1260" w:type="dxa"/>
          </w:tcPr>
          <w:p w14:paraId="0071C1F4" w14:textId="77777777">
            <w:pPr>
              <w:jc w:val="center"/>
              <w:rPr>
                <w:rFonts w:ascii="Times New Roman" w:hAnsi="Times New Roman" w:cs="Times New Roman"/>
              </w:rPr>
            </w:pPr>
            <w:r>
              <w:rPr>
                <w:rFonts w:ascii="Times New Roman" w:hAnsi="Times New Roman" w:cs="Times New Roman"/>
                <w:sz w:val="16"/>
              </w:rPr>
              <w:t>134</w:t>
            </w:r>
          </w:p>
        </w:tc>
      </w:tr>
      <w:tr w14:paraId="283DDC9B" w14:textId="77777777">
        <w:tc>
          <w:tcPr>
            <w:tcW w:w="1260" w:type="dxa"/>
          </w:tcPr>
          <w:p w14:paraId="2007ABA2" w14:textId="77777777">
            <w:pPr>
              <w:rPr>
                <w:rFonts w:ascii="Times New Roman" w:hAnsi="Times New Roman" w:cs="Times New Roman"/>
              </w:rPr>
            </w:pPr>
            <w:r>
              <w:rPr>
                <w:rFonts w:ascii="Times New Roman" w:hAnsi="Times New Roman" w:cs="Times New Roman"/>
                <w:sz w:val="16"/>
              </w:rPr>
              <w:t>XGB</w:t>
            </w:r>
          </w:p>
        </w:tc>
        <w:tc>
          <w:tcPr>
            <w:tcW w:w="1260" w:type="dxa"/>
          </w:tcPr>
          <w:p w14:paraId="6150334A" w14:textId="77777777">
            <w:pPr>
              <w:jc w:val="center"/>
              <w:rPr>
                <w:rFonts w:ascii="Times New Roman" w:hAnsi="Times New Roman" w:cs="Times New Roman"/>
              </w:rPr>
            </w:pPr>
            <w:proofErr w:type="spellStart"/>
            <w:r>
              <w:rPr>
                <w:rFonts w:ascii="Times New Roman" w:hAnsi="Times New Roman" w:cs="Times New Roman"/>
                <w:sz w:val="16"/>
              </w:rPr>
              <w:t>vader</w:t>
            </w:r>
            <w:proofErr w:type="spellEnd"/>
          </w:p>
        </w:tc>
        <w:tc>
          <w:tcPr>
            <w:tcW w:w="1260" w:type="dxa"/>
          </w:tcPr>
          <w:p w14:paraId="5CCC8060" w14:textId="77777777">
            <w:pPr>
              <w:jc w:val="center"/>
              <w:rPr>
                <w:rFonts w:ascii="Times New Roman" w:hAnsi="Times New Roman" w:cs="Times New Roman"/>
              </w:rPr>
            </w:pPr>
            <w:r>
              <w:rPr>
                <w:rFonts w:ascii="Times New Roman" w:hAnsi="Times New Roman" w:cs="Times New Roman"/>
                <w:sz w:val="16"/>
              </w:rPr>
              <w:t>9.13%</w:t>
            </w:r>
          </w:p>
        </w:tc>
        <w:tc>
          <w:tcPr>
            <w:tcW w:w="1260" w:type="dxa"/>
          </w:tcPr>
          <w:p w14:paraId="2C65C6FB" w14:textId="77777777">
            <w:pPr>
              <w:jc w:val="center"/>
              <w:rPr>
                <w:rFonts w:ascii="Times New Roman" w:hAnsi="Times New Roman" w:cs="Times New Roman"/>
              </w:rPr>
            </w:pPr>
            <w:r>
              <w:rPr>
                <w:rFonts w:ascii="Times New Roman" w:hAnsi="Times New Roman" w:cs="Times New Roman"/>
                <w:sz w:val="16"/>
              </w:rPr>
              <w:t>6.97%</w:t>
            </w:r>
          </w:p>
        </w:tc>
        <w:tc>
          <w:tcPr>
            <w:tcW w:w="1260" w:type="dxa"/>
          </w:tcPr>
          <w:p w14:paraId="578F586F" w14:textId="77777777">
            <w:pPr>
              <w:jc w:val="center"/>
              <w:rPr>
                <w:rFonts w:ascii="Times New Roman" w:hAnsi="Times New Roman" w:cs="Times New Roman"/>
              </w:rPr>
            </w:pPr>
            <w:r>
              <w:rPr>
                <w:rFonts w:ascii="Times New Roman" w:hAnsi="Times New Roman" w:cs="Times New Roman"/>
                <w:sz w:val="16"/>
              </w:rPr>
              <w:t>0.320</w:t>
            </w:r>
          </w:p>
        </w:tc>
        <w:tc>
          <w:tcPr>
            <w:tcW w:w="1260" w:type="dxa"/>
          </w:tcPr>
          <w:p w14:paraId="31407E94" w14:textId="77777777">
            <w:pPr>
              <w:jc w:val="center"/>
              <w:rPr>
                <w:rFonts w:ascii="Times New Roman" w:hAnsi="Times New Roman" w:cs="Times New Roman"/>
              </w:rPr>
            </w:pPr>
            <w:r>
              <w:rPr>
                <w:rFonts w:ascii="Times New Roman" w:hAnsi="Times New Roman" w:cs="Times New Roman"/>
                <w:sz w:val="16"/>
              </w:rPr>
              <w:t>-22.34%</w:t>
            </w:r>
          </w:p>
        </w:tc>
        <w:tc>
          <w:tcPr>
            <w:tcW w:w="1260" w:type="dxa"/>
          </w:tcPr>
          <w:p w14:paraId="1244CEF5" w14:textId="77777777">
            <w:pPr>
              <w:jc w:val="center"/>
              <w:rPr>
                <w:rFonts w:ascii="Times New Roman" w:hAnsi="Times New Roman" w:cs="Times New Roman"/>
              </w:rPr>
            </w:pPr>
            <w:r>
              <w:rPr>
                <w:rFonts w:ascii="Times New Roman" w:hAnsi="Times New Roman" w:cs="Times New Roman"/>
                <w:sz w:val="16"/>
              </w:rPr>
              <w:t>90.3%</w:t>
            </w:r>
          </w:p>
        </w:tc>
        <w:tc>
          <w:tcPr>
            <w:tcW w:w="1260" w:type="dxa"/>
          </w:tcPr>
          <w:p w14:paraId="74C442A6" w14:textId="77777777">
            <w:pPr>
              <w:jc w:val="center"/>
              <w:rPr>
                <w:rFonts w:ascii="Times New Roman" w:hAnsi="Times New Roman" w:cs="Times New Roman"/>
              </w:rPr>
            </w:pPr>
            <w:r>
              <w:rPr>
                <w:rFonts w:ascii="Times New Roman" w:hAnsi="Times New Roman" w:cs="Times New Roman"/>
                <w:sz w:val="16"/>
              </w:rPr>
              <w:t>87</w:t>
            </w:r>
          </w:p>
        </w:tc>
      </w:tr>
    </w:tbl>
    <w:p w14:paraId="6844FB5A" w14:textId="77777777">
      <w:pPr>
        <w:jc w:val="center"/>
        <w:rPr>
          <w:rFonts w:ascii="Times New Roman" w:hAnsi="Times New Roman" w:cs="Times New Roman"/>
        </w:rPr>
      </w:pPr>
      <w:r>
        <w:rPr>
          <w:rFonts w:ascii="Times New Roman" w:hAnsi="Times New Roman" w:cs="Times New Roman"/>
          <w:noProof/>
        </w:rPr>
        <w:drawing>
          <wp:inline distT="0" distB="0" distL="0" distR="0" wp14:anchorId="6204C9A2" wp14:editId="6CB843A9">
            <wp:extent cx="5669280" cy="2834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backtest_equity_curves.png"/>
                    <pic:cNvPicPr/>
                  </pic:nvPicPr>
                  <pic:blipFill>
                    <a:blip r:embed="rId11"/>
                    <a:stretch>
                      <a:fillRect/>
                    </a:stretch>
                  </pic:blipFill>
                  <pic:spPr>
                    <a:xfrm>
                      <a:off x="0" y="0"/>
                      <a:ext cx="5669280" cy="2834640"/>
                    </a:xfrm>
                    <a:prstGeom prst="rect">
                      <a:avLst/>
                    </a:prstGeom>
                  </pic:spPr>
                </pic:pic>
              </a:graphicData>
            </a:graphic>
          </wp:inline>
        </w:drawing>
      </w:r>
    </w:p>
    <w:p w14:paraId="396B8BC1" w14:textId="77777777">
      <w:pPr>
        <w:jc w:val="center"/>
        <w:rPr>
          <w:rFonts w:ascii="Times New Roman" w:hAnsi="Times New Roman" w:cs="Times New Roman"/>
        </w:rPr>
      </w:pPr>
      <w:r>
        <w:rPr>
          <w:rFonts w:ascii="Times New Roman" w:hAnsi="Times New Roman" w:cs="Times New Roman"/>
        </w:rPr>
        <w:t>Figure 4. Test-set long/flat equity curves for the all-feature models; the table also reports selected sentiment-only variants.</w:t>
      </w:r>
    </w:p>
    <w:p w14:paraId="6DDD3FB4" w14:textId="77777777">
      <w:pPr>
        <w:pStyle w:val="21"/>
        <w:rPr>
          <w:rFonts w:ascii="Times New Roman" w:hAnsi="Times New Roman" w:cs="Times New Roman"/>
        </w:rPr>
      </w:pPr>
      <w:r>
        <w:rPr>
          <w:rFonts w:ascii="Times New Roman" w:hAnsi="Times New Roman" w:cs="Times New Roman"/>
        </w:rPr>
        <w:t>4.4 Regime analysis shows instability</w:t>
      </w:r>
    </w:p>
    <w:p w14:paraId="5BE1DF5D" w14:textId="77777777">
      <w:pPr>
        <w:spacing w:after="120" w:line="252" w:lineRule="auto"/>
        <w:rPr>
          <w:rFonts w:ascii="Times New Roman" w:hAnsi="Times New Roman" w:cs="Times New Roman"/>
        </w:rPr>
      </w:pPr>
      <w:r>
        <w:rPr>
          <w:rFonts w:ascii="Times New Roman" w:hAnsi="Times New Roman" w:cs="Times New Roman"/>
        </w:rPr>
        <w:t>Performance is not stable across regimes. On the held-out test set, the 2022-2023 rate-hike cycle is the dominant regime, and all-feature models are basically at baseline. Logit all has 48.5% accuracy, 49.8% balanced accuracy, and a 0.499 AUC. XGB all is similar, with 48.7% accuracy, 50.0% balanced accuracy, and a 0.513 AUC. The small 'Other' slice has only 42 days, so we do not treat it as strong evidence.</w:t>
      </w:r>
    </w:p>
    <w:p w14:paraId="0342E01C" w14:textId="77777777">
      <w:pPr>
        <w:spacing w:after="120" w:line="252" w:lineRule="auto"/>
        <w:rPr>
          <w:rFonts w:ascii="Times New Roman" w:hAnsi="Times New Roman" w:cs="Times New Roman"/>
        </w:rPr>
      </w:pPr>
      <w:r>
        <w:rPr>
          <w:rFonts w:ascii="Times New Roman" w:hAnsi="Times New Roman" w:cs="Times New Roman"/>
        </w:rPr>
        <w:t xml:space="preserve">The expanding-window </w:t>
      </w:r>
      <w:proofErr w:type="spellStart"/>
      <w:r>
        <w:rPr>
          <w:rFonts w:ascii="Times New Roman" w:hAnsi="Times New Roman" w:cs="Times New Roman"/>
        </w:rPr>
        <w:t>backtest</w:t>
      </w:r>
      <w:proofErr w:type="spellEnd"/>
      <w:r>
        <w:rPr>
          <w:rFonts w:ascii="Times New Roman" w:hAnsi="Times New Roman" w:cs="Times New Roman"/>
        </w:rPr>
        <w:t xml:space="preserve"> suggests that text signals may work better in some stress periods than in calm or highly policy-driven periods. During 2008-2009, the all-feature Logit and XGB strategies beat buy-and-hold in cumulative return. During 2020 and 2022-2023, the same approach is much less convincing. That instability is one of the most important findings from the evaluation section.</w:t>
      </w:r>
    </w:p>
    <w:p w14:paraId="379C462C" w14:textId="77777777">
      <w:pPr>
        <w:jc w:val="center"/>
        <w:rPr>
          <w:rFonts w:ascii="Times New Roman" w:hAnsi="Times New Roman" w:cs="Times New Roman"/>
        </w:rPr>
      </w:pPr>
      <w:r>
        <w:rPr>
          <w:rFonts w:ascii="Times New Roman" w:hAnsi="Times New Roman" w:cs="Times New Roman"/>
          <w:noProof/>
        </w:rPr>
        <w:drawing>
          <wp:inline distT="0" distB="0" distL="0" distR="0" wp14:anchorId="7408953D" wp14:editId="77EB65BB">
            <wp:extent cx="4410221" cy="2004646"/>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regime_backtest_returns.png"/>
                    <pic:cNvPicPr/>
                  </pic:nvPicPr>
                  <pic:blipFill>
                    <a:blip r:embed="rId12"/>
                    <a:stretch>
                      <a:fillRect/>
                    </a:stretch>
                  </pic:blipFill>
                  <pic:spPr>
                    <a:xfrm>
                      <a:off x="0" y="0"/>
                      <a:ext cx="4515564" cy="2052529"/>
                    </a:xfrm>
                    <a:prstGeom prst="rect">
                      <a:avLst/>
                    </a:prstGeom>
                  </pic:spPr>
                </pic:pic>
              </a:graphicData>
            </a:graphic>
          </wp:inline>
        </w:drawing>
      </w:r>
    </w:p>
    <w:p w14:paraId="013CE214" w14:textId="77777777">
      <w:pPr>
        <w:jc w:val="center"/>
        <w:rPr>
          <w:rFonts w:ascii="Times New Roman" w:hAnsi="Times New Roman" w:cs="Times New Roman"/>
        </w:rPr>
      </w:pPr>
      <w:r>
        <w:rPr>
          <w:rFonts w:ascii="Times New Roman" w:hAnsi="Times New Roman" w:cs="Times New Roman"/>
        </w:rPr>
        <w:t xml:space="preserve">Figure 5. Regime-level </w:t>
      </w:r>
      <w:proofErr w:type="spellStart"/>
      <w:r>
        <w:rPr>
          <w:rFonts w:ascii="Times New Roman" w:hAnsi="Times New Roman" w:cs="Times New Roman"/>
        </w:rPr>
        <w:t>backtest</w:t>
      </w:r>
      <w:proofErr w:type="spellEnd"/>
      <w:r>
        <w:rPr>
          <w:rFonts w:ascii="Times New Roman" w:hAnsi="Times New Roman" w:cs="Times New Roman"/>
        </w:rPr>
        <w:t xml:space="preserve"> returns from the expanding-window evaluation.</w:t>
      </w:r>
    </w:p>
    <w:p w14:paraId="17B9C673" w14:textId="77777777">
      <w:pPr>
        <w:pStyle w:val="21"/>
        <w:rPr>
          <w:rFonts w:ascii="Times New Roman" w:hAnsi="Times New Roman" w:cs="Times New Roman"/>
        </w:rPr>
      </w:pPr>
      <w:r>
        <w:rPr>
          <w:rFonts w:ascii="Times New Roman" w:hAnsi="Times New Roman" w:cs="Times New Roman"/>
        </w:rPr>
        <w:t>4.5 Robustness and return models keep the conclusion cautious</w:t>
      </w:r>
    </w:p>
    <w:p w14:paraId="4CFEF18F" w14:textId="77777777">
      <w:pPr>
        <w:spacing w:after="120" w:line="252" w:lineRule="auto"/>
        <w:rPr>
          <w:rFonts w:ascii="Times New Roman" w:hAnsi="Times New Roman" w:cs="Times New Roman"/>
        </w:rPr>
      </w:pPr>
      <w:r>
        <w:rPr>
          <w:rFonts w:ascii="Times New Roman" w:hAnsi="Times New Roman" w:cs="Times New Roman"/>
        </w:rPr>
        <w:t xml:space="preserve">Threshold robustness matters because several strategies look like buy-and-hold at low thresholds. Around 0.40 to 0.50, exposure is often close to 100%; at 0.60, some models barely trade. The </w:t>
      </w:r>
      <w:proofErr w:type="spellStart"/>
      <w:r>
        <w:rPr>
          <w:rFonts w:ascii="Times New Roman" w:hAnsi="Times New Roman" w:cs="Times New Roman"/>
        </w:rPr>
        <w:t>backtest</w:t>
      </w:r>
      <w:proofErr w:type="spellEnd"/>
      <w:r>
        <w:rPr>
          <w:rFonts w:ascii="Times New Roman" w:hAnsi="Times New Roman" w:cs="Times New Roman"/>
        </w:rPr>
        <w:t xml:space="preserve"> edge therefore depends not only on model quality, but also on how the probability signal is turned into positions.</w:t>
      </w:r>
    </w:p>
    <w:p w14:paraId="6B85E0BD" w14:textId="77777777">
      <w:pPr>
        <w:spacing w:after="120" w:line="252" w:lineRule="auto"/>
        <w:rPr>
          <w:rFonts w:ascii="Times New Roman" w:hAnsi="Times New Roman" w:cs="Times New Roman"/>
        </w:rPr>
      </w:pPr>
      <w:r>
        <w:rPr>
          <w:rFonts w:ascii="Times New Roman" w:hAnsi="Times New Roman" w:cs="Times New Roman"/>
        </w:rPr>
        <w:lastRenderedPageBreak/>
        <w:t xml:space="preserve">Continuous return prediction is also weak. The historical mean baseline has a test RMSE of about 0.01197 and nearly zero R-squared. The best </w:t>
      </w:r>
      <w:proofErr w:type="spellStart"/>
      <w:r>
        <w:rPr>
          <w:rFonts w:ascii="Times New Roman" w:hAnsi="Times New Roman" w:cs="Times New Roman"/>
        </w:rPr>
        <w:t>XGBRegressor</w:t>
      </w:r>
      <w:proofErr w:type="spellEnd"/>
      <w:r>
        <w:rPr>
          <w:rFonts w:ascii="Times New Roman" w:hAnsi="Times New Roman" w:cs="Times New Roman"/>
        </w:rPr>
        <w:t xml:space="preserve"> variant improves RMSE only slightly, to about 0.01193, which is too small to support a strong return-forecasting claim.</w:t>
      </w:r>
    </w:p>
    <w:p w14:paraId="0A0B9678" w14:textId="77777777">
      <w:pPr>
        <w:jc w:val="center"/>
        <w:rPr>
          <w:rFonts w:ascii="Times New Roman" w:hAnsi="Times New Roman" w:cs="Times New Roman"/>
        </w:rPr>
      </w:pPr>
      <w:r>
        <w:rPr>
          <w:rFonts w:ascii="Times New Roman" w:hAnsi="Times New Roman" w:cs="Times New Roman"/>
          <w:noProof/>
        </w:rPr>
        <w:drawing>
          <wp:inline distT="0" distB="0" distL="0" distR="0" wp14:anchorId="575E50FB" wp14:editId="58558273">
            <wp:extent cx="5577840" cy="20283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backtest_robustness.png"/>
                    <pic:cNvPicPr/>
                  </pic:nvPicPr>
                  <pic:blipFill>
                    <a:blip r:embed="rId13"/>
                    <a:stretch>
                      <a:fillRect/>
                    </a:stretch>
                  </pic:blipFill>
                  <pic:spPr>
                    <a:xfrm>
                      <a:off x="0" y="0"/>
                      <a:ext cx="5577840" cy="2028305"/>
                    </a:xfrm>
                    <a:prstGeom prst="rect">
                      <a:avLst/>
                    </a:prstGeom>
                  </pic:spPr>
                </pic:pic>
              </a:graphicData>
            </a:graphic>
          </wp:inline>
        </w:drawing>
      </w:r>
    </w:p>
    <w:p w14:paraId="79982AF8" w14:textId="77777777">
      <w:pPr>
        <w:jc w:val="center"/>
        <w:rPr>
          <w:rFonts w:ascii="Times New Roman" w:hAnsi="Times New Roman" w:cs="Times New Roman"/>
        </w:rPr>
      </w:pPr>
      <w:r>
        <w:rPr>
          <w:rFonts w:ascii="Times New Roman" w:hAnsi="Times New Roman" w:cs="Times New Roman"/>
        </w:rPr>
        <w:t>Figure 6. Threshold and transaction-cost robustness checks used to test whether the trading results survive reasonable assumptions.</w:t>
      </w:r>
    </w:p>
    <w:p w14:paraId="5DB560D5" w14:textId="2E5D51E8">
      <w:pPr>
        <w:jc w:val="center"/>
        <w:rPr>
          <w:rFonts w:ascii="Times New Roman" w:hAnsi="Times New Roman" w:cs="Times New Roman"/>
          <w:lang w:eastAsia="zh-CN"/>
        </w:rPr>
      </w:pPr>
      <w:r>
        <w:rPr>
          <w:rFonts w:ascii="Times New Roman" w:hAnsi="Times New Roman" w:cs="Times New Roman" w:hint="eastAsia"/>
          <w:noProof/>
          <w:lang w:eastAsia="zh-CN"/>
        </w:rPr>
        <w:drawing>
          <wp:inline distT="0" distB="0" distL="0" distR="0" wp14:anchorId="4D1BECA0" wp14:editId="20A328AF">
            <wp:extent cx="6400800" cy="2453640"/>
            <wp:effectExtent l="0" t="0" r="0" b="0"/>
            <wp:docPr id="983433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33966" name="图片 983433966"/>
                    <pic:cNvPicPr/>
                  </pic:nvPicPr>
                  <pic:blipFill>
                    <a:blip r:embed="rId14"/>
                    <a:stretch>
                      <a:fillRect/>
                    </a:stretch>
                  </pic:blipFill>
                  <pic:spPr>
                    <a:xfrm>
                      <a:off x="0" y="0"/>
                      <a:ext cx="6400800" cy="2453640"/>
                    </a:xfrm>
                    <a:prstGeom prst="rect">
                      <a:avLst/>
                    </a:prstGeom>
                  </pic:spPr>
                </pic:pic>
              </a:graphicData>
            </a:graphic>
          </wp:inline>
        </w:drawing>
      </w:r>
    </w:p>
    <w:p w14:paraId="1250A539" w14:textId="77777777">
      <w:pPr>
        <w:jc w:val="center"/>
        <w:rPr>
          <w:rFonts w:ascii="Times New Roman" w:hAnsi="Times New Roman" w:cs="Times New Roman"/>
        </w:rPr>
      </w:pPr>
      <w:r>
        <w:rPr>
          <w:rFonts w:ascii="Times New Roman" w:hAnsi="Times New Roman" w:cs="Times New Roman"/>
        </w:rPr>
        <w:t>Figure 7. Continuous return model predictions, showing only limited improvement over a simple historical-mean baseline.</w:t>
      </w:r>
    </w:p>
    <w:p w14:paraId="3ADF2704" w14:textId="77777777">
      <w:pPr>
        <w:pStyle w:val="1"/>
        <w:ind w:right="200"/>
        <w:rPr>
          <w:rFonts w:ascii="Times New Roman" w:hAnsi="Times New Roman" w:cs="Times New Roman"/>
        </w:rPr>
      </w:pPr>
      <w:r>
        <w:rPr>
          <w:rFonts w:ascii="Times New Roman" w:hAnsi="Times New Roman" w:cs="Times New Roman"/>
        </w:rPr>
        <w:t>5. Conclusions</w:t>
      </w:r>
    </w:p>
    <w:p w14:paraId="1DE89DD8" w14:textId="77777777">
      <w:pPr>
        <w:spacing w:after="120" w:line="252" w:lineRule="auto"/>
        <w:rPr>
          <w:rFonts w:ascii="Times New Roman" w:hAnsi="Times New Roman" w:cs="Times New Roman"/>
        </w:rPr>
      </w:pPr>
      <w:r>
        <w:rPr>
          <w:rFonts w:ascii="Times New Roman" w:hAnsi="Times New Roman" w:cs="Times New Roman"/>
        </w:rPr>
        <w:t xml:space="preserve">Overall, we do not find strong evidence that daily financial headline sentiment reliably predicts next-day S&amp;P 500 movement. The strongest pattern is </w:t>
      </w:r>
      <w:proofErr w:type="gramStart"/>
      <w:r>
        <w:rPr>
          <w:rFonts w:ascii="Times New Roman" w:hAnsi="Times New Roman" w:cs="Times New Roman"/>
        </w:rPr>
        <w:t>actually the</w:t>
      </w:r>
      <w:proofErr w:type="gramEnd"/>
      <w:r>
        <w:rPr>
          <w:rFonts w:ascii="Times New Roman" w:hAnsi="Times New Roman" w:cs="Times New Roman"/>
        </w:rPr>
        <w:t xml:space="preserve"> weakness of the relationship: correlations are small, direction models stay near chance, and continuous return models add very little beyond a simple baseline.</w:t>
      </w:r>
    </w:p>
    <w:p w14:paraId="7FFC35B1" w14:textId="77777777">
      <w:pPr>
        <w:spacing w:after="120" w:line="252" w:lineRule="auto"/>
        <w:rPr>
          <w:rFonts w:ascii="Times New Roman" w:hAnsi="Times New Roman" w:cs="Times New Roman"/>
        </w:rPr>
      </w:pPr>
      <w:r>
        <w:rPr>
          <w:rFonts w:ascii="Times New Roman" w:hAnsi="Times New Roman" w:cs="Times New Roman"/>
        </w:rPr>
        <w:t xml:space="preserve">At the same time, the project was not a failure. Finance-specific tools such as </w:t>
      </w:r>
      <w:proofErr w:type="spellStart"/>
      <w:r>
        <w:rPr>
          <w:rFonts w:ascii="Times New Roman" w:hAnsi="Times New Roman" w:cs="Times New Roman"/>
        </w:rPr>
        <w:t>FinBERT</w:t>
      </w:r>
      <w:proofErr w:type="spellEnd"/>
      <w:r>
        <w:rPr>
          <w:rFonts w:ascii="Times New Roman" w:hAnsi="Times New Roman" w:cs="Times New Roman"/>
        </w:rPr>
        <w:t xml:space="preserve"> look more useful than very simple dictionary sentiment in some economic tests, and the regime analysis shows why one overall accuracy number can hide important differences across market environments. The evaluation step made the results more honest: some apparent strategy gains disappear once we look at thresholds, exposure, costs, and regimes.</w:t>
      </w:r>
    </w:p>
    <w:p w14:paraId="09A4B96C" w14:textId="77777777">
      <w:pPr>
        <w:spacing w:after="120" w:line="252" w:lineRule="auto"/>
        <w:rPr>
          <w:rFonts w:ascii="Times New Roman" w:hAnsi="Times New Roman" w:cs="Times New Roman"/>
        </w:rPr>
      </w:pPr>
      <w:r>
        <w:rPr>
          <w:rFonts w:ascii="Times New Roman" w:hAnsi="Times New Roman" w:cs="Times New Roman"/>
        </w:rPr>
        <w:t>Future work should use timestamped news with intraday returns, include source and outlet metadata, filter off-topic headlines more carefully, and test event-specific models for Fed policy, inflation, earnings, geopolitics, and banking stress. A stronger design would also use walk-forward threshold selection and more realistic trading assumptions before making any claim about a tradable edge.</w:t>
      </w:r>
    </w:p>
    <w:p w14:paraId="0F6A09ED" w14:textId="77777777">
      <w:pPr>
        <w:pStyle w:val="1"/>
        <w:ind w:right="200"/>
        <w:rPr>
          <w:rFonts w:ascii="Times New Roman" w:hAnsi="Times New Roman" w:cs="Times New Roman"/>
        </w:rPr>
      </w:pPr>
      <w:r>
        <w:rPr>
          <w:rFonts w:ascii="Times New Roman" w:hAnsi="Times New Roman" w:cs="Times New Roman"/>
        </w:rPr>
        <w:t>6. Reflection</w:t>
      </w:r>
    </w:p>
    <w:p w14:paraId="06ABD6DA" w14:textId="77777777">
      <w:pPr>
        <w:pStyle w:val="a0"/>
        <w:numPr>
          <w:ilvl w:val="0"/>
          <w:numId w:val="0"/>
        </w:numPr>
        <w:ind w:left="360"/>
        <w:jc w:val="center"/>
        <w:rPr>
          <w:rFonts w:ascii="Times New Roman" w:hAnsi="Times New Roman" w:cs="Times New Roman"/>
          <w:b/>
          <w:bCs/>
        </w:rPr>
      </w:pPr>
      <w:r>
        <w:rPr>
          <w:rFonts w:ascii="Times New Roman" w:hAnsi="Times New Roman" w:cs="Times New Roman"/>
          <w:b/>
          <w:bCs/>
        </w:rPr>
        <w:t>Data Preparation Lead</w:t>
      </w:r>
    </w:p>
    <w:p w14:paraId="518BB052" w14:textId="77777777">
      <w:pPr>
        <w:pStyle w:val="a0"/>
        <w:numPr>
          <w:ilvl w:val="0"/>
          <w:numId w:val="0"/>
        </w:numPr>
        <w:ind w:left="360"/>
        <w:rPr>
          <w:rFonts w:ascii="Times New Roman" w:hAnsi="Times New Roman" w:cs="Times New Roman"/>
        </w:rPr>
      </w:pPr>
      <w:r>
        <w:rPr>
          <w:rFonts w:ascii="Times New Roman" w:hAnsi="Times New Roman" w:cs="Times New Roman"/>
        </w:rPr>
        <w:t xml:space="preserve">What surprised me most was how unevenly the headlines were spread over time — 2008 had only a handful per day while 2023 routinely had over fifty — and that imbalance shaped almost every later regime decision the team made </w:t>
      </w:r>
      <w:r>
        <w:rPr>
          <w:rFonts w:ascii="Times New Roman" w:hAnsi="Times New Roman" w:cs="Times New Roman"/>
        </w:rPr>
        <w:lastRenderedPageBreak/>
        <w:t xml:space="preserve">together. The 974 duplicates I removed weren't random either; many were </w:t>
      </w:r>
      <w:proofErr w:type="gramStart"/>
      <w:r>
        <w:rPr>
          <w:rFonts w:ascii="Times New Roman" w:hAnsi="Times New Roman" w:cs="Times New Roman"/>
        </w:rPr>
        <w:t>near-duplicates</w:t>
      </w:r>
      <w:proofErr w:type="gramEnd"/>
      <w:r>
        <w:rPr>
          <w:rFonts w:ascii="Times New Roman" w:hAnsi="Times New Roman" w:cs="Times New Roman"/>
        </w:rPr>
        <w:t xml:space="preserve"> with subtle rewording, and our group calls were where we agreed how strict to be. Next time I would build a fuzzy-duplicate layer using sentence embeddings and document the FRED merge earlier. Every cleaning rule was reviewed by at least one teammate before it landed.</w:t>
      </w:r>
    </w:p>
    <w:p w14:paraId="7925D3AC" w14:textId="2CD063A6">
      <w:pPr>
        <w:pStyle w:val="a0"/>
        <w:numPr>
          <w:ilvl w:val="0"/>
          <w:numId w:val="0"/>
        </w:numPr>
        <w:ind w:left="360"/>
        <w:jc w:val="center"/>
        <w:rPr>
          <w:rFonts w:ascii="Times New Roman" w:hAnsi="Times New Roman" w:cs="Times New Roman"/>
          <w:b/>
          <w:bCs/>
        </w:rPr>
      </w:pPr>
      <w:r>
        <w:rPr>
          <w:rFonts w:ascii="Times New Roman" w:hAnsi="Times New Roman" w:cs="Times New Roman"/>
          <w:b/>
          <w:bCs/>
        </w:rPr>
        <w:t xml:space="preserve">NLP </w:t>
      </w:r>
      <w:proofErr w:type="gramStart"/>
      <w:r>
        <w:rPr>
          <w:rFonts w:ascii="Times New Roman" w:hAnsi="Times New Roman" w:cs="Times New Roman"/>
          <w:b/>
          <w:bCs/>
        </w:rPr>
        <w:t>Lead</w:t>
      </w:r>
      <w:proofErr w:type="gramEnd"/>
    </w:p>
    <w:p w14:paraId="0056AB95" w14:textId="334BFAFB">
      <w:pPr>
        <w:pStyle w:val="a0"/>
        <w:numPr>
          <w:ilvl w:val="0"/>
          <w:numId w:val="0"/>
        </w:numPr>
        <w:ind w:left="360"/>
        <w:rPr>
          <w:rFonts w:ascii="Times New Roman" w:hAnsi="Times New Roman" w:cs="Times New Roman"/>
          <w:lang w:eastAsia="zh-CN"/>
        </w:rPr>
      </w:pPr>
      <w:r>
        <w:rPr>
          <w:rFonts w:ascii="Times New Roman" w:hAnsi="Times New Roman" w:cs="Times New Roman"/>
          <w:lang w:eastAsia="zh-CN"/>
        </w:rPr>
        <w:t xml:space="preserve">The biggest surprise was how little </w:t>
      </w:r>
      <w:proofErr w:type="spellStart"/>
      <w:r>
        <w:rPr>
          <w:rFonts w:ascii="Times New Roman" w:hAnsi="Times New Roman" w:cs="Times New Roman"/>
          <w:lang w:eastAsia="zh-CN"/>
        </w:rPr>
        <w:t>FinBERT</w:t>
      </w:r>
      <w:proofErr w:type="spellEnd"/>
      <w:r>
        <w:rPr>
          <w:rFonts w:ascii="Times New Roman" w:hAnsi="Times New Roman" w:cs="Times New Roman"/>
          <w:lang w:eastAsia="zh-CN"/>
        </w:rPr>
        <w:t xml:space="preserve"> </w:t>
      </w:r>
      <w:proofErr w:type="gramStart"/>
      <w:r>
        <w:rPr>
          <w:rFonts w:ascii="Times New Roman" w:hAnsi="Times New Roman" w:cs="Times New Roman"/>
          <w:lang w:eastAsia="zh-CN"/>
        </w:rPr>
        <w:t>actually beat</w:t>
      </w:r>
      <w:proofErr w:type="gramEnd"/>
      <w:r>
        <w:rPr>
          <w:rFonts w:ascii="Times New Roman" w:hAnsi="Times New Roman" w:cs="Times New Roman"/>
          <w:lang w:eastAsia="zh-CN"/>
        </w:rPr>
        <w:t xml:space="preserve"> the dictionary baseline at the daily level. I assumed a finance-trained transformer would clearly win, but its correlation with next-day returns was just as small as VADER's. We debated this for hours and the team concluded the bottleneck was really the data — short, often off-topic headlines. Next time I would aggressively filter off-topic headlines, score at the headline level with confidence weights, and try fine-tuning rather than using </w:t>
      </w:r>
      <w:proofErr w:type="spellStart"/>
      <w:r>
        <w:rPr>
          <w:rFonts w:ascii="Times New Roman" w:hAnsi="Times New Roman" w:cs="Times New Roman"/>
          <w:lang w:eastAsia="zh-CN"/>
        </w:rPr>
        <w:t>FinBERT</w:t>
      </w:r>
      <w:proofErr w:type="spellEnd"/>
      <w:r>
        <w:rPr>
          <w:rFonts w:ascii="Times New Roman" w:hAnsi="Times New Roman" w:cs="Times New Roman"/>
          <w:lang w:eastAsia="zh-CN"/>
        </w:rPr>
        <w:t xml:space="preserve"> off-the-shelf. The five-way comparison was a group call.</w:t>
      </w:r>
    </w:p>
    <w:p w14:paraId="316892B4" w14:textId="77777777">
      <w:pPr>
        <w:pStyle w:val="a0"/>
        <w:numPr>
          <w:ilvl w:val="0"/>
          <w:numId w:val="0"/>
        </w:numPr>
        <w:ind w:left="360"/>
        <w:jc w:val="center"/>
        <w:rPr>
          <w:rFonts w:ascii="Times New Roman" w:hAnsi="Times New Roman" w:cs="Times New Roman"/>
          <w:b/>
          <w:bCs/>
        </w:rPr>
      </w:pPr>
      <w:r>
        <w:rPr>
          <w:rFonts w:ascii="Times New Roman" w:hAnsi="Times New Roman" w:cs="Times New Roman"/>
          <w:b/>
          <w:bCs/>
        </w:rPr>
        <w:t>Modeling Lead</w:t>
      </w:r>
    </w:p>
    <w:p w14:paraId="13D0D6B7" w14:textId="12F0C024">
      <w:pPr>
        <w:pStyle w:val="a0"/>
        <w:numPr>
          <w:ilvl w:val="0"/>
          <w:numId w:val="0"/>
        </w:numPr>
        <w:ind w:left="360"/>
        <w:rPr>
          <w:rFonts w:ascii="Times New Roman" w:hAnsi="Times New Roman" w:cs="Times New Roman"/>
          <w:lang w:eastAsia="zh-CN"/>
        </w:rPr>
      </w:pPr>
      <w:r>
        <w:rPr>
          <w:rFonts w:ascii="Times New Roman" w:hAnsi="Times New Roman" w:cs="Times New Roman"/>
        </w:rPr>
        <w:t xml:space="preserve">What surprised me most was how stubborn the 50% line turned out to be. Even after balanced logistic regression, calibrated probabilities, and a tuned </w:t>
      </w:r>
      <w:proofErr w:type="spellStart"/>
      <w:r>
        <w:rPr>
          <w:rFonts w:ascii="Times New Roman" w:hAnsi="Times New Roman" w:cs="Times New Roman"/>
        </w:rPr>
        <w:t>XGBoost</w:t>
      </w:r>
      <w:proofErr w:type="spellEnd"/>
      <w:r>
        <w:rPr>
          <w:rFonts w:ascii="Times New Roman" w:hAnsi="Times New Roman" w:cs="Times New Roman"/>
        </w:rPr>
        <w:t xml:space="preserve"> grid, the </w:t>
      </w:r>
      <w:proofErr w:type="gramStart"/>
      <w:r>
        <w:rPr>
          <w:rFonts w:ascii="Times New Roman" w:hAnsi="Times New Roman" w:cs="Times New Roman"/>
        </w:rPr>
        <w:t>best balanced</w:t>
      </w:r>
      <w:proofErr w:type="gramEnd"/>
      <w:r>
        <w:rPr>
          <w:rFonts w:ascii="Times New Roman" w:hAnsi="Times New Roman" w:cs="Times New Roman"/>
        </w:rPr>
        <w:t xml:space="preserve"> accuracy was only 51.4%. I rebuilt the pipeline twice with the team before I trusted the numbers weren't a leakage bug. Next time I would use a proper time-aware cross-validation scheme instead of one fixed split, since the 2020–2021 validation window was unusually noisy. Split boundaries and which metric to call primary were all team decisions; I just implemented what we agreed on.</w:t>
      </w:r>
    </w:p>
    <w:p w14:paraId="4DC9DD5B" w14:textId="77777777">
      <w:pPr>
        <w:pStyle w:val="a0"/>
        <w:numPr>
          <w:ilvl w:val="0"/>
          <w:numId w:val="0"/>
        </w:numPr>
        <w:ind w:left="360"/>
        <w:jc w:val="center"/>
        <w:rPr>
          <w:rFonts w:ascii="Times New Roman" w:hAnsi="Times New Roman" w:cs="Times New Roman"/>
          <w:b/>
          <w:bCs/>
        </w:rPr>
      </w:pPr>
      <w:r>
        <w:rPr>
          <w:rFonts w:ascii="Times New Roman" w:hAnsi="Times New Roman" w:cs="Times New Roman"/>
          <w:b/>
          <w:bCs/>
        </w:rPr>
        <w:t>Evaluation Lead</w:t>
      </w:r>
    </w:p>
    <w:p w14:paraId="543DD2B6" w14:textId="48348B0E">
      <w:pPr>
        <w:pStyle w:val="a0"/>
        <w:numPr>
          <w:ilvl w:val="0"/>
          <w:numId w:val="0"/>
        </w:numPr>
        <w:ind w:left="360"/>
        <w:rPr>
          <w:rFonts w:ascii="Times New Roman" w:hAnsi="Times New Roman" w:cs="Times New Roman"/>
          <w:lang w:eastAsia="zh-CN"/>
        </w:rPr>
      </w:pPr>
      <w:r>
        <w:rPr>
          <w:rFonts w:ascii="Times New Roman" w:hAnsi="Times New Roman" w:cs="Times New Roman"/>
        </w:rPr>
        <w:t xml:space="preserve">My biggest surprise was how the story shifted between classification and </w:t>
      </w:r>
      <w:proofErr w:type="spellStart"/>
      <w:r>
        <w:rPr>
          <w:rFonts w:ascii="Times New Roman" w:hAnsi="Times New Roman" w:cs="Times New Roman"/>
        </w:rPr>
        <w:t>backtesting</w:t>
      </w:r>
      <w:proofErr w:type="spellEnd"/>
      <w:r>
        <w:rPr>
          <w:rFonts w:ascii="Times New Roman" w:hAnsi="Times New Roman" w:cs="Times New Roman"/>
        </w:rPr>
        <w:t xml:space="preserve">. The direction models looked weak, yet </w:t>
      </w:r>
      <w:proofErr w:type="spellStart"/>
      <w:r>
        <w:rPr>
          <w:rFonts w:ascii="Times New Roman" w:hAnsi="Times New Roman" w:cs="Times New Roman"/>
        </w:rPr>
        <w:t>FinBERT</w:t>
      </w:r>
      <w:proofErr w:type="spellEnd"/>
      <w:r>
        <w:rPr>
          <w:rFonts w:ascii="Times New Roman" w:hAnsi="Times New Roman" w:cs="Times New Roman"/>
        </w:rPr>
        <w:t xml:space="preserve"> logistic produced a 13.1% test return versus 7.0% for buy-and-hold. I almost called it a clean win — the team rightly pushed back. Once I swept thresholds from 0.40 to 0.60 and split by regime, that edge turned out to be fragile and unstable. Next time I would use walk-forward threshold selection, a more realistic cost model, and bake the regime split into validation from day one. Calibrating my own enthusiasm against the team's skepticism was the most useful part.</w:t>
      </w:r>
    </w:p>
    <w:p w14:paraId="62C9641C" w14:textId="77777777">
      <w:pPr>
        <w:pStyle w:val="a0"/>
        <w:numPr>
          <w:ilvl w:val="0"/>
          <w:numId w:val="0"/>
        </w:numPr>
        <w:ind w:left="360"/>
        <w:jc w:val="center"/>
        <w:rPr>
          <w:rFonts w:ascii="Times New Roman" w:hAnsi="Times New Roman" w:cs="Times New Roman"/>
          <w:b/>
          <w:bCs/>
        </w:rPr>
      </w:pPr>
      <w:r>
        <w:rPr>
          <w:rFonts w:ascii="Times New Roman" w:hAnsi="Times New Roman" w:cs="Times New Roman"/>
          <w:b/>
          <w:bCs/>
        </w:rPr>
        <w:t>Writing and Presentation Lead</w:t>
      </w:r>
    </w:p>
    <w:p w14:paraId="631277C3" w14:textId="72483AB1">
      <w:pPr>
        <w:pStyle w:val="a0"/>
        <w:numPr>
          <w:ilvl w:val="0"/>
          <w:numId w:val="0"/>
        </w:numPr>
        <w:ind w:left="360"/>
        <w:rPr>
          <w:rFonts w:ascii="Times New Roman" w:hAnsi="Times New Roman" w:cs="Times New Roman"/>
          <w:lang w:eastAsia="zh-CN"/>
        </w:rPr>
      </w:pPr>
      <w:r>
        <w:rPr>
          <w:rFonts w:ascii="Times New Roman" w:hAnsi="Times New Roman" w:cs="Times New Roman"/>
        </w:rPr>
        <w:t xml:space="preserve">The hardest part was telling a "we did not find a strong signal" story without making it sound like a failed project. My first instinct was to lead with the best </w:t>
      </w:r>
      <w:proofErr w:type="spellStart"/>
      <w:r>
        <w:rPr>
          <w:rFonts w:ascii="Times New Roman" w:hAnsi="Times New Roman" w:cs="Times New Roman"/>
        </w:rPr>
        <w:t>backtest</w:t>
      </w:r>
      <w:proofErr w:type="spellEnd"/>
      <w:r>
        <w:rPr>
          <w:rFonts w:ascii="Times New Roman" w:hAnsi="Times New Roman" w:cs="Times New Roman"/>
        </w:rPr>
        <w:t xml:space="preserve"> number, but the team convinced me that being upfront about the weak correlations would make the report more credible. The figures had to be redrawn three times to stay in sync with the latest pipeline outputs. Next time I would lock figure captions earlier, set up a shared glossary, and rehearse the video together instead of recording solo. The narrative is genuinely a five-person product.</w:t>
      </w:r>
    </w:p>
    <w:p w14:paraId="47848067" w14:textId="77777777">
      <w:pPr>
        <w:pStyle w:val="1"/>
        <w:ind w:right="200"/>
        <w:rPr>
          <w:rFonts w:ascii="Times New Roman" w:hAnsi="Times New Roman" w:cs="Times New Roman"/>
        </w:rPr>
      </w:pPr>
      <w:r>
        <w:rPr>
          <w:rFonts w:ascii="Times New Roman" w:hAnsi="Times New Roman" w:cs="Times New Roman"/>
        </w:rPr>
        <w:t>References</w:t>
      </w:r>
    </w:p>
    <w:p w14:paraId="3A034B28" w14:textId="3C9F50BC">
      <w:pPr>
        <w:pStyle w:val="a0"/>
        <w:numPr>
          <w:ilvl w:val="0"/>
          <w:numId w:val="0"/>
        </w:numPr>
        <w:ind w:left="360" w:hanging="360"/>
      </w:pPr>
      <w:proofErr w:type="spellStart"/>
      <w:r>
        <w:t>Dyutidas</w:t>
      </w:r>
      <w:proofErr w:type="spellEnd"/>
      <w:r>
        <w:t xml:space="preserve"> Mahaptra. (2024). </w:t>
      </w:r>
      <w:r>
        <w:rPr>
          <w:rStyle w:val="af9"/>
        </w:rPr>
        <w:t>S&amp;P 500 with financial news headlines (2008–2024) [Dataset].</w:t>
      </w:r>
      <w:r>
        <w:t xml:space="preserve"> Kaggle. </w:t>
      </w:r>
      <w:r>
        <w:fldChar w:fldCharType="begin"/>
      </w:r>
      <w:r>
        <w:instrText>HYPERLINK "</w:instrText>
      </w:r>
      <w:r>
        <w:instrText>https://www.kaggle.com/datasets/dyutidasmahaptra/sp-500-with-financial-news-headlines-20082024</w:instrText>
      </w:r>
      <w:r>
        <w:instrText>"</w:instrText>
      </w:r>
      <w:r>
        <w:fldChar w:fldCharType="separate"/>
      </w:r>
      <w:r>
        <w:rPr>
          <w:rStyle w:val="affa"/>
        </w:rPr>
        <w:t>https://www.kaggle.com/datasets/dyutidasmahaptra/sp-500-with-financial-news-headlines-20082024</w:t>
      </w:r>
      <w:r>
        <w:fldChar w:fldCharType="end"/>
      </w:r>
    </w:p>
    <w:p w14:paraId="27A8EB32" w14:textId="1D9D2CEC">
      <w:pPr>
        <w:pStyle w:val="a0"/>
        <w:numPr>
          <w:ilvl w:val="0"/>
          <w:numId w:val="0"/>
        </w:numPr>
        <w:ind w:left="360" w:hanging="360"/>
      </w:pPr>
      <w:r>
        <w:t xml:space="preserve">Federal Reserve Bank of St. Louis. (n.d.). </w:t>
      </w:r>
      <w:r>
        <w:rPr>
          <w:rStyle w:val="af9"/>
        </w:rPr>
        <w:t>FRED macroeconomic series: VIXCLS, DGS10, DGS2, FEDFUNDS, CPIAUCSL, UNRATE, USREC.</w:t>
      </w:r>
      <w:r>
        <w:t xml:space="preserve"> Federal Reserve Economic Data. </w:t>
      </w:r>
      <w:hyperlink r:id="rId15" w:tgtFrame="_new" w:history="1">
        <w:r>
          <w:rPr>
            <w:rStyle w:val="affa"/>
          </w:rPr>
          <w:t>https://fred.stlouisfed.org</w:t>
        </w:r>
      </w:hyperlink>
    </w:p>
    <w:p w14:paraId="0DD9B04E" w14:textId="7FBA4007">
      <w:pPr>
        <w:pStyle w:val="a0"/>
        <w:numPr>
          <w:ilvl w:val="0"/>
          <w:numId w:val="0"/>
        </w:numPr>
        <w:ind w:left="360" w:hanging="360"/>
      </w:pPr>
      <w:r>
        <w:t xml:space="preserve">Hutto, C. J., &amp; Gilbert, E. (2014). VADER: A parsimonious rule-based model for sentiment analysis of social media text. </w:t>
      </w:r>
      <w:r>
        <w:rPr>
          <w:rStyle w:val="af9"/>
        </w:rPr>
        <w:t>Proceedings of the International AAAI Conference on Web and Social Media.</w:t>
      </w:r>
      <w:r>
        <w:t xml:space="preserve"> </w:t>
      </w:r>
      <w:hyperlink r:id="rId16" w:tgtFrame="_new" w:history="1">
        <w:r>
          <w:rPr>
            <w:rStyle w:val="affa"/>
          </w:rPr>
          <w:t>https://ojs.aaai.org/index.php/ICWSM/article/view/14550</w:t>
        </w:r>
      </w:hyperlink>
    </w:p>
    <w:p w14:paraId="55B0A4A0" w14:textId="1A26D865">
      <w:pPr>
        <w:pStyle w:val="a0"/>
        <w:numPr>
          <w:ilvl w:val="0"/>
          <w:numId w:val="0"/>
        </w:numPr>
        <w:ind w:left="360" w:hanging="360"/>
      </w:pPr>
      <w:r>
        <w:t xml:space="preserve">Araci, D. (2019). </w:t>
      </w:r>
      <w:proofErr w:type="spellStart"/>
      <w:r>
        <w:rPr>
          <w:rStyle w:val="af9"/>
        </w:rPr>
        <w:t>FinBERT</w:t>
      </w:r>
      <w:proofErr w:type="spellEnd"/>
      <w:r>
        <w:rPr>
          <w:rStyle w:val="af9"/>
        </w:rPr>
        <w:t>: Financial sentiment analysis with pre-trained language models</w:t>
      </w:r>
      <w:r>
        <w:t xml:space="preserve"> [</w:t>
      </w:r>
      <w:proofErr w:type="spellStart"/>
      <w:r>
        <w:t>arXiv</w:t>
      </w:r>
      <w:proofErr w:type="spellEnd"/>
      <w:r>
        <w:t xml:space="preserve"> preprint arXiv:1908.10063]. </w:t>
      </w:r>
      <w:hyperlink r:id="rId17" w:tgtFrame="_new" w:history="1">
        <w:r>
          <w:rPr>
            <w:rStyle w:val="affa"/>
          </w:rPr>
          <w:t>https://arxiv.org/abs/1908.10063</w:t>
        </w:r>
      </w:hyperlink>
    </w:p>
    <w:p w14:paraId="2411D330" w14:textId="6A39F513">
      <w:pPr>
        <w:pStyle w:val="a0"/>
        <w:numPr>
          <w:ilvl w:val="0"/>
          <w:numId w:val="0"/>
        </w:numPr>
        <w:ind w:left="360" w:hanging="360"/>
      </w:pPr>
      <w:proofErr w:type="spellStart"/>
      <w:r>
        <w:t>ProsusAI</w:t>
      </w:r>
      <w:proofErr w:type="spellEnd"/>
      <w:r>
        <w:t xml:space="preserve">. (2019). </w:t>
      </w:r>
      <w:proofErr w:type="spellStart"/>
      <w:r>
        <w:rPr>
          <w:rStyle w:val="af9"/>
        </w:rPr>
        <w:t>FinBERT</w:t>
      </w:r>
      <w:proofErr w:type="spellEnd"/>
      <w:r>
        <w:rPr>
          <w:rStyle w:val="af9"/>
        </w:rPr>
        <w:t xml:space="preserve"> model documentation</w:t>
      </w:r>
      <w:r>
        <w:t xml:space="preserve"> [Documentation]. </w:t>
      </w:r>
      <w:hyperlink r:id="rId18" w:tgtFrame="_new" w:history="1">
        <w:r>
          <w:rPr>
            <w:rStyle w:val="affa"/>
          </w:rPr>
          <w:t>https://huggingface.co/ProsusAI/finbert</w:t>
        </w:r>
      </w:hyperlink>
    </w:p>
    <w:p w14:paraId="61176C8A" w14:textId="22EDC354">
      <w:pPr>
        <w:pStyle w:val="a0"/>
        <w:numPr>
          <w:ilvl w:val="0"/>
          <w:numId w:val="0"/>
        </w:numPr>
        <w:ind w:left="360" w:hanging="360"/>
      </w:pPr>
      <w:r>
        <w:t xml:space="preserve">Pedregosa, F., </w:t>
      </w:r>
      <w:proofErr w:type="spellStart"/>
      <w:r>
        <w:t>Varoquaux</w:t>
      </w:r>
      <w:proofErr w:type="spellEnd"/>
      <w:r>
        <w:t xml:space="preserve">, G., </w:t>
      </w:r>
      <w:proofErr w:type="spellStart"/>
      <w:r>
        <w:t>Gramfort</w:t>
      </w:r>
      <w:proofErr w:type="spellEnd"/>
      <w:r>
        <w:t xml:space="preserve">, A., Michel, V., Thirion, B., Grisel, O., … Duchesnay, É. (2011). Scikit-learn: Machine learning in Python. </w:t>
      </w:r>
      <w:r>
        <w:rPr>
          <w:rStyle w:val="af9"/>
        </w:rPr>
        <w:t>Journal of Machine Learning Research, 12</w:t>
      </w:r>
      <w:r>
        <w:t xml:space="preserve">, 2825–2830. </w:t>
      </w:r>
      <w:hyperlink r:id="rId19" w:history="1">
        <w:r>
          <w:rPr>
            <w:rStyle w:val="affa"/>
          </w:rPr>
          <w:t>http://www.jmlr.org/papers/v12/pedregosa11a.html</w:t>
        </w:r>
      </w:hyperlink>
    </w:p>
    <w:p w14:paraId="01855B50" w14:textId="5E697BBB">
      <w:pPr>
        <w:pStyle w:val="a0"/>
        <w:numPr>
          <w:ilvl w:val="0"/>
          <w:numId w:val="0"/>
        </w:numPr>
        <w:ind w:left="360" w:hanging="360"/>
        <w:rPr>
          <w:rFonts w:ascii="Times New Roman" w:hAnsi="Times New Roman" w:cs="Times New Roman"/>
        </w:rPr>
      </w:pPr>
      <w:r>
        <w:t xml:space="preserve">Chen, T., &amp; </w:t>
      </w:r>
      <w:proofErr w:type="spellStart"/>
      <w:r>
        <w:t>Guestrin</w:t>
      </w:r>
      <w:proofErr w:type="spellEnd"/>
      <w:r>
        <w:t xml:space="preserve">, C. (2016). </w:t>
      </w:r>
      <w:proofErr w:type="spellStart"/>
      <w:r>
        <w:t>XGBoost</w:t>
      </w:r>
      <w:proofErr w:type="spellEnd"/>
      <w:r>
        <w:t xml:space="preserve">: A scalable tree boosting system. </w:t>
      </w:r>
      <w:r>
        <w:rPr>
          <w:rStyle w:val="af9"/>
        </w:rPr>
        <w:t>Proceedings of the 22nd ACM SIGKDD International Conference on Knowledge Discovery and Data Mining</w:t>
      </w:r>
      <w:r>
        <w:t xml:space="preserve"> (pp. 785–794). ACM. </w:t>
      </w:r>
      <w:hyperlink r:id="rId20" w:tgtFrame="_new" w:history="1">
        <w:r>
          <w:rPr>
            <w:rStyle w:val="affa"/>
          </w:rPr>
          <w:t>https://doi.org/10.1145/2939672.2939785</w:t>
        </w:r>
      </w:hyperlink>
    </w:p>
    <w:sectPr>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F0F38" w14:textId="77777777">
      <w:pPr>
        <w:spacing w:after="0" w:line="240" w:lineRule="auto"/>
      </w:pPr>
      <w:r>
        <w:separator/>
      </w:r>
    </w:p>
  </w:endnote>
  <w:endnote w:type="continuationSeparator" w:id="0">
    <w:p w14:paraId="0C544BF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D0519" w14:textId="77777777">
      <w:pPr>
        <w:spacing w:after="0" w:line="240" w:lineRule="auto"/>
      </w:pPr>
      <w:r>
        <w:separator/>
      </w:r>
    </w:p>
  </w:footnote>
  <w:footnote w:type="continuationSeparator" w:id="0">
    <w:p w14:paraId="070AFD5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47133056">
    <w:abstractNumId w:val="8"/>
  </w:num>
  <w:num w:numId="2" w16cid:durableId="1029912982">
    <w:abstractNumId w:val="6"/>
  </w:num>
  <w:num w:numId="3" w16cid:durableId="1586183355">
    <w:abstractNumId w:val="5"/>
  </w:num>
  <w:num w:numId="4" w16cid:durableId="1725061629">
    <w:abstractNumId w:val="4"/>
  </w:num>
  <w:num w:numId="5" w16cid:durableId="202250639">
    <w:abstractNumId w:val="7"/>
  </w:num>
  <w:num w:numId="6" w16cid:durableId="1127160713">
    <w:abstractNumId w:val="3"/>
  </w:num>
  <w:num w:numId="7" w16cid:durableId="1041444272">
    <w:abstractNumId w:val="2"/>
  </w:num>
  <w:num w:numId="8" w16cid:durableId="596139789">
    <w:abstractNumId w:val="1"/>
  </w:num>
  <w:num w:numId="9" w16cid:durableId="1621449928">
    <w:abstractNumId w:val="0"/>
  </w:num>
  <w:num w:numId="10" w16cid:durableId="10857625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7B4"/>
    <w:rsid w:val="0006063C"/>
    <w:rsid w:val="0015074B"/>
    <w:rsid w:val="00263601"/>
    <w:rsid w:val="0029639D"/>
    <w:rsid w:val="00326F90"/>
    <w:rsid w:val="00462A4D"/>
    <w:rsid w:val="00721B9C"/>
    <w:rsid w:val="007D2FD3"/>
    <w:rsid w:val="008D0819"/>
    <w:rsid w:val="009762E9"/>
    <w:rsid w:val="00A35533"/>
    <w:rsid w:val="00A95F96"/>
    <w:rsid w:val="00AA1D8D"/>
    <w:rsid w:val="00B47730"/>
    <w:rsid w:val="00BC7ED2"/>
    <w:rsid w:val="00BE3F55"/>
    <w:rsid w:val="00C43B21"/>
    <w:rsid w:val="00CB0664"/>
    <w:rsid w:val="00D20036"/>
    <w:rsid w:val="00D55988"/>
    <w:rsid w:val="00E044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6F2A6C"/>
  <w14:defaultImageDpi w14:val="300"/>
  <w15:docId w15:val="{20D24C23-CEA5-445A-B9DB-57C764FF8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sz w:val="20"/>
    </w:rPr>
  </w:style>
  <w:style w:type="paragraph" w:styleId="1">
    <w:name w:val="heading 1"/>
    <w:basedOn w:val="a1"/>
    <w:next w:val="a1"/>
    <w:link w:val="10"/>
    <w:uiPriority w:val="9"/>
    <w:qFormat/>
    <w:rsid w:val="00263601"/>
    <w:pPr>
      <w:keepNext/>
      <w:keepLines/>
      <w:spacing w:after="0"/>
      <w:ind w:leftChars="100" w:left="200" w:rightChars="100"/>
      <w:jc w:val="center"/>
      <w:outlineLvl w:val="0"/>
    </w:pPr>
    <w:rPr>
      <w:rFonts w:asciiTheme="majorHAnsi" w:eastAsia="Times New Roman" w:hAnsiTheme="majorHAnsi" w:cstheme="majorBidi"/>
      <w:b/>
      <w:bCs/>
      <w:color w:val="000000" w:themeColor="text1"/>
      <w:sz w:val="22"/>
      <w:szCs w:val="28"/>
    </w:rPr>
  </w:style>
  <w:style w:type="paragraph" w:styleId="21">
    <w:name w:val="heading 2"/>
    <w:basedOn w:val="a1"/>
    <w:next w:val="a1"/>
    <w:link w:val="22"/>
    <w:uiPriority w:val="9"/>
    <w:unhideWhenUsed/>
    <w:qFormat/>
    <w:rsid w:val="000557B4"/>
    <w:pPr>
      <w:keepNext/>
      <w:keepLines/>
      <w:spacing w:before="200" w:after="0"/>
      <w:outlineLvl w:val="1"/>
    </w:pPr>
    <w:rPr>
      <w:rFonts w:asciiTheme="majorHAnsi" w:eastAsia="Times New Roman" w:hAnsiTheme="majorHAnsi" w:cstheme="majorBidi"/>
      <w:b/>
      <w:bCs/>
      <w:color w:val="000000" w:themeColor="tex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263601"/>
    <w:rPr>
      <w:rFonts w:asciiTheme="majorHAnsi" w:eastAsia="Times New Roman" w:hAnsiTheme="majorHAnsi" w:cstheme="majorBidi"/>
      <w:b/>
      <w:bCs/>
      <w:color w:val="000000" w:themeColor="text1"/>
      <w:szCs w:val="28"/>
    </w:rPr>
  </w:style>
  <w:style w:type="character" w:customStyle="1" w:styleId="22">
    <w:name w:val="标题 2 字符"/>
    <w:basedOn w:val="a2"/>
    <w:link w:val="21"/>
    <w:uiPriority w:val="9"/>
    <w:rsid w:val="000557B4"/>
    <w:rPr>
      <w:rFonts w:asciiTheme="majorHAnsi" w:eastAsia="Times New Roman" w:hAnsiTheme="majorHAnsi" w:cstheme="majorBidi"/>
      <w:b/>
      <w:bCs/>
      <w:color w:val="000000" w:themeColor="text1"/>
      <w:sz w:val="20"/>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9762E9"/>
    <w:pPr>
      <w:spacing w:before="100" w:beforeAutospacing="1" w:after="100" w:afterAutospacing="1" w:line="240" w:lineRule="auto"/>
    </w:pPr>
    <w:rPr>
      <w:rFonts w:ascii="宋体" w:eastAsia="宋体" w:hAnsi="宋体" w:cs="宋体"/>
      <w:sz w:val="24"/>
      <w:szCs w:val="24"/>
      <w:lang w:eastAsia="zh-CN"/>
    </w:rPr>
  </w:style>
  <w:style w:type="character" w:styleId="affa">
    <w:name w:val="Hyperlink"/>
    <w:basedOn w:val="a2"/>
    <w:uiPriority w:val="99"/>
    <w:unhideWhenUsed/>
    <w:rsid w:val="00BC7ED2"/>
    <w:rPr>
      <w:color w:val="0000FF" w:themeColor="hyperlink"/>
      <w:u w:val="single"/>
    </w:rPr>
  </w:style>
  <w:style w:type="character" w:styleId="affb">
    <w:name w:val="Unresolved Mention"/>
    <w:basedOn w:val="a2"/>
    <w:uiPriority w:val="99"/>
    <w:semiHidden/>
    <w:unhideWhenUsed/>
    <w:rsid w:val="00BC7ED2"/>
    <w:rPr>
      <w:color w:val="605E5C"/>
      <w:shd w:val="clear" w:color="auto" w:fill="E1DFDD"/>
    </w:rPr>
  </w:style>
  <w:style w:type="character" w:styleId="affc">
    <w:name w:val="FollowedHyperlink"/>
    <w:basedOn w:val="a2"/>
    <w:uiPriority w:val="99"/>
    <w:semiHidden/>
    <w:unhideWhenUsed/>
    <w:rsid w:val="00BC7ED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huggingface.co/ProsusAI/finber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rxiv.org/abs/1908.10063" TargetMode="External"/><Relationship Id="rId2" Type="http://schemas.openxmlformats.org/officeDocument/2006/relationships/numbering" Target="numbering.xml"/><Relationship Id="rId16" Type="http://schemas.openxmlformats.org/officeDocument/2006/relationships/hyperlink" Target="https://ojs.aaai.org/index.php/ICWSM/article/view/14550" TargetMode="External"/><Relationship Id="rId20" Type="http://schemas.openxmlformats.org/officeDocument/2006/relationships/hyperlink" Target="https://doi.org/10.1145/2939672.293978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fred.stlouisfed.org" TargetMode="External"/><Relationship Id="rId10" Type="http://schemas.openxmlformats.org/officeDocument/2006/relationships/image" Target="media/image3.png"/><Relationship Id="rId19" Type="http://schemas.openxmlformats.org/officeDocument/2006/relationships/hyperlink" Target="http://www.jmlr.org/papers/v12/pedregosa11a.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Pages>
  <Words>2353</Words>
  <Characters>13273</Characters>
  <Application>Microsoft Office Word</Application>
  <DocSecurity>0</DocSecurity>
  <Lines>316</Lines>
  <Paragraphs>244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15382</CharactersWithSpaces>
  <SharedDoc>false</SharedDoc>
  <HyperlinkBase/>
  <HyperlinksChanged>false</HyperlinksChanged>
  <AppVersion>16.0000</AppVersion>
</Properties>
</file>

<file path=docProps/core.xml><?xml version="1.0" encoding="utf-8"?>
<ns0:coreProperties xmlns:dc="http://purl.org/dc/elements/1.1/" xmlns:ns0="http://schemas.openxmlformats.org/package/2006/metadata/core-properties" xmlns:ns2="http://purl.org/dc/terms/" xmlns:xsi="http://www.w3.org/2001/XMLSchema-instance">
  <dc:title/>
  <dc:subject/>
  <dc:creator/>
  <ns0:keywords/>
  <dc:description/>
  <ns0:lastModifiedBy/>
  <ns0:revision>8</ns0:revision>
  <ns2:created xsi:type="dcterms:W3CDTF">2026-05-08T11:17:00Z</ns2:created>
  <ns2:modified xsi:type="dcterms:W3CDTF">2026-05-08T12:07:00Z</ns2:modified>
  <ns0:category/>
</ns0:coreProperties>
</file>