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</w:pPr>
      <w:r>
        <w:rPr>
          <w:rFonts w:ascii="Times New Roman" w:hAnsi="Times New Roman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</w:rPr>
        <w:t>ítulo</w:t>
      </w:r>
    </w:p>
    <w:p>
      <w:pPr>
        <w:pStyle w:val="style23"/>
        <w:spacing w:line="200" w:lineRule="atLeast"/>
        <w:jc w:val="right"/>
      </w:pPr>
      <w:r>
        <w:rPr>
          <w:b/>
          <w:bCs/>
        </w:rPr>
        <w:t xml:space="preserve">HOLANDA, </w:t>
      </w:r>
      <w:r>
        <w:rPr>
          <w:b w:val="false"/>
          <w:bCs w:val="false"/>
        </w:rPr>
        <w:t>Adriano de Jesus</w:t>
      </w:r>
      <w:r>
        <w:rPr>
          <w:rStyle w:val="style16"/>
          <w:b w:val="false"/>
          <w:bCs w:val="false"/>
        </w:rPr>
        <w:footnoteReference w:id="2"/>
      </w:r>
    </w:p>
    <w:p>
      <w:pPr>
        <w:pStyle w:val="style23"/>
        <w:spacing w:line="200" w:lineRule="atLeast"/>
        <w:jc w:val="right"/>
      </w:pPr>
      <w:r>
        <w:rPr>
          <w:b/>
          <w:bCs/>
        </w:rPr>
        <w:tab/>
        <w:t xml:space="preserve">RUIZ, </w:t>
      </w:r>
      <w:r>
        <w:rPr>
          <w:b w:val="false"/>
          <w:bCs w:val="false"/>
        </w:rPr>
        <w:t>Evandro Eduardo Seron</w:t>
      </w:r>
    </w:p>
    <w:p>
      <w:pPr>
        <w:pStyle w:val="style23"/>
        <w:spacing w:line="200" w:lineRule="atLeast"/>
        <w:jc w:val="right"/>
      </w:pPr>
      <w:r>
        <w:rPr>
          <w:b/>
          <w:bCs/>
        </w:rPr>
        <w:t xml:space="preserve">CARNEIRO, </w:t>
      </w:r>
      <w:r>
        <w:rPr>
          <w:b w:val="false"/>
          <w:bCs w:val="false"/>
        </w:rPr>
        <w:t>Antônio Adilton</w:t>
      </w:r>
      <w:r>
        <w:rPr>
          <w:rStyle w:val="style16"/>
          <w:b w:val="false"/>
          <w:bCs w:val="false"/>
        </w:rPr>
        <w:footnoteReference w:id="3"/>
      </w:r>
    </w:p>
    <w:p>
      <w:pPr>
        <w:pStyle w:val="style23"/>
        <w:spacing w:line="200" w:lineRule="atLeast"/>
      </w:pPr>
      <w:r>
        <w:rPr>
          <w:b/>
          <w:bCs/>
        </w:rPr>
        <w:t>Resumo:</w:t>
      </w:r>
    </w:p>
    <w:p>
      <w:pPr>
        <w:pStyle w:val="style23"/>
      </w:pPr>
      <w:r>
        <w:rPr>
          <w:b/>
          <w:bCs/>
        </w:rPr>
      </w:r>
    </w:p>
    <w:p>
      <w:pPr>
        <w:pStyle w:val="style23"/>
      </w:pPr>
      <w:r>
        <w:rPr>
          <w:b/>
          <w:bCs/>
        </w:rPr>
        <w:t>Summary:</w:t>
      </w:r>
    </w:p>
    <w:p>
      <w:pPr>
        <w:pStyle w:val="style23"/>
      </w:pPr>
      <w:r>
        <w:rPr>
          <w:b/>
          <w:bCs/>
        </w:rPr>
      </w:r>
    </w:p>
    <w:p>
      <w:pPr>
        <w:pStyle w:val="style1"/>
        <w:numPr>
          <w:ilvl w:val="0"/>
          <w:numId w:val="1"/>
        </w:numPr>
      </w:pPr>
      <w:r>
        <w:rPr/>
        <w:t>I</w:t>
      </w:r>
      <w:r>
        <w:rPr/>
        <w:t>NTRODUÇÃO</w:t>
      </w:r>
    </w:p>
    <w:p>
      <w:pPr>
        <w:pStyle w:val="style0"/>
      </w:pPr>
      <w:r>
        <w:rPr/>
        <w:t>Mesmo com a disseminação dos processadores com arquitetura de 64 bits substituindo os de 32 bits, as demandas por maior capacidade de armazenamento e melhor eficiência no acesso aos dados armazenador vêm pressionando os fabricantes de processadores a adotarem soluções que se desviam da arquitetura normalmente empregada para sua construção.</w:t>
      </w:r>
    </w:p>
    <w:p>
      <w:pPr>
        <w:pStyle w:val="style0"/>
      </w:pPr>
      <w:r>
        <w:rPr/>
        <w:t>A principal modificação é a inclusão de registradores de 128 e 256 bits para a realização de vários cálculos em uma única vez, aumentando a performance dos programas que utilizam estes recursos.</w:t>
      </w:r>
    </w:p>
    <w:p>
      <w:pPr>
        <w:pStyle w:val="style0"/>
      </w:pPr>
      <w:r>
        <w:rPr/>
        <w:t>Estes recursos que começaram a ser manufaturados pela Intel</w:t>
      </w:r>
      <w:r>
        <w:rPr>
          <w:vertAlign w:val="superscript"/>
        </w:rPr>
        <w:t xml:space="preserve">® </w:t>
      </w:r>
      <w:r>
        <w:rPr>
          <w:position w:val="0"/>
          <w:sz w:val="24"/>
          <w:vertAlign w:val="baseline"/>
        </w:rPr>
        <w:t xml:space="preserve">permitem que múltiplos dados sejam manipulados por uma única instrução (SIMD – </w:t>
      </w:r>
      <w:r>
        <w:rPr>
          <w:i/>
          <w:iCs/>
          <w:position w:val="0"/>
          <w:sz w:val="24"/>
          <w:vertAlign w:val="baseline"/>
        </w:rPr>
        <w:t>Single Instruction Multiple Data</w:t>
      </w:r>
      <w:r>
        <w:rPr>
          <w:position w:val="0"/>
          <w:sz w:val="24"/>
          <w:vertAlign w:val="baseline"/>
        </w:rPr>
        <w:t xml:space="preserve">), e fazem parte da tecnologia de extensão multimídia (MMX – </w:t>
      </w:r>
      <w:r>
        <w:rPr>
          <w:i/>
          <w:iCs/>
          <w:position w:val="0"/>
          <w:sz w:val="24"/>
          <w:vertAlign w:val="baseline"/>
        </w:rPr>
        <w:t>Multimídia Extension</w:t>
      </w:r>
      <w:r>
        <w:rPr>
          <w:position w:val="0"/>
          <w:sz w:val="24"/>
          <w:vertAlign w:val="baseline"/>
        </w:rPr>
        <w:t>) introduzida a partir do Pentium II.</w:t>
      </w:r>
    </w:p>
    <w:p>
      <w:pPr>
        <w:pStyle w:val="style0"/>
      </w:pPr>
      <w:r>
        <w:rPr>
          <w:position w:val="0"/>
          <w:sz w:val="24"/>
          <w:vertAlign w:val="baseline"/>
        </w:rPr>
        <w:t>Uma extensão da tecnologia SIMD denominada SSE (</w:t>
      </w:r>
      <w:r>
        <w:rPr>
          <w:i/>
          <w:iCs/>
          <w:position w:val="0"/>
          <w:sz w:val="24"/>
          <w:vertAlign w:val="baseline"/>
        </w:rPr>
        <w:t>Streaming</w:t>
      </w:r>
      <w:r>
        <w:rPr>
          <w:position w:val="0"/>
          <w:sz w:val="24"/>
          <w:vertAlign w:val="baseline"/>
        </w:rPr>
        <w:t xml:space="preserve"> SIMD </w:t>
      </w:r>
      <w:r>
        <w:rPr>
          <w:i/>
          <w:iCs/>
          <w:position w:val="0"/>
          <w:sz w:val="24"/>
          <w:vertAlign w:val="baseline"/>
        </w:rPr>
        <w:t>Extension</w:t>
      </w:r>
      <w:r>
        <w:rPr>
          <w:position w:val="0"/>
          <w:sz w:val="24"/>
          <w:vertAlign w:val="baseline"/>
        </w:rPr>
        <w:t>) possui registradores de 128 bits para o armazenamento de múltiplos dados. A Figura XXX mostra como dados do tipo inteiro de diferentes tamanhos podem ser armazenados em um registrador SSE (BLUM, 2005).</w:t>
      </w:r>
    </w:p>
    <w:p>
      <w:pPr>
        <w:pStyle w:val="style1"/>
        <w:numPr>
          <w:ilvl w:val="0"/>
          <w:numId w:val="1"/>
        </w:numPr>
      </w:pPr>
      <w:r>
        <w:rPr>
          <w:position w:val="0"/>
          <w:sz w:val="28"/>
          <w:vertAlign w:val="baseline"/>
        </w:rPr>
        <w:t>O</w:t>
      </w:r>
      <w:r>
        <w:rPr>
          <w:position w:val="0"/>
          <w:sz w:val="28"/>
          <w:vertAlign w:val="baseline"/>
        </w:rPr>
        <w:t>BJETIVO</w:t>
      </w:r>
    </w:p>
    <w:p>
      <w:pPr>
        <w:pStyle w:val="style0"/>
      </w:pPr>
      <w:r>
        <w:rPr>
          <w:position w:val="0"/>
          <w:sz w:val="24"/>
          <w:vertAlign w:val="baseline"/>
        </w:rPr>
        <w:t>O objetivo deste trabalho é quantificar a diferença no tempo de execução de instruções que utilizam a compilação na linguagem C sem o uso das extensões SSE e com uso da extensão SSE com registradores de 128 bits e divididos em inteiros de 32 bits.</w:t>
      </w:r>
    </w:p>
    <w:p>
      <w:pPr>
        <w:pStyle w:val="style0"/>
        <w:jc w:val="center"/>
      </w:pPr>
      <w:r>
        <w:rPr/>
      </w:r>
    </w:p>
    <w:p>
      <w:pPr>
        <w:pStyle w:val="style1"/>
        <w:numPr>
          <w:ilvl w:val="0"/>
          <w:numId w:val="1"/>
        </w:numPr>
      </w:pPr>
      <w:r>
        <w:rPr/>
        <w:t>M</w:t>
      </w:r>
      <w:r>
        <w:rPr/>
        <w:t>ATERIAL E MÉTODOS</w:t>
      </w:r>
    </w:p>
    <w:p>
      <w:pPr>
        <w:pStyle w:val="style0"/>
      </w:pPr>
      <w:r>
        <w:rPr/>
        <w:t>O algoritmo escolhido para é utilizado para o cálculo de correlação cruzada entre duas séries de valores igual tamanho, sua fórmula original é mostrada na Equação XXX:</w:t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885825</wp:posOffset>
            </wp:positionH>
            <wp:positionV relativeFrom="paragraph">
              <wp:posOffset>0</wp:posOffset>
            </wp:positionV>
            <wp:extent cx="3987800" cy="124015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</w:pPr>
      <w:r>
        <w:rPr/>
        <w:t>R</w:t>
      </w:r>
      <w:r>
        <w:rPr/>
        <w:t>ESULTADOS</w:t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</w:pPr>
      <w:r>
        <w:rPr/>
        <w:t>D</w:t>
      </w:r>
      <w:r>
        <w:rPr/>
        <w:t>ISCUSSÃO</w:t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</w:pPr>
      <w:r>
        <w:rPr/>
        <w:t>C</w:t>
      </w:r>
      <w:r>
        <w:rPr/>
        <w:t>ONCLUSÃO</w:t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</w:pPr>
      <w:r>
        <w:rPr/>
        <w:t>R</w:t>
      </w:r>
      <w:r>
        <w:rPr/>
        <w:t>EFERÊNCIAS</w:t>
      </w:r>
    </w:p>
    <w:p>
      <w:pPr>
        <w:pStyle w:val="style29"/>
      </w:pPr>
      <w:r>
        <w:rPr/>
        <w:t xml:space="preserve">BLUM, Richard. </w:t>
      </w:r>
      <w:r>
        <w:rPr>
          <w:b/>
          <w:bCs/>
        </w:rPr>
        <w:t xml:space="preserve">Professional Assembly Language. </w:t>
      </w:r>
      <w:r>
        <w:rPr>
          <w:rStyle w:val="style20"/>
        </w:rPr>
        <w:t xml:space="preserve"> </w:t>
      </w:r>
      <w:r>
        <w:rPr>
          <w:rStyle w:val="style20"/>
          <w:b w:val="false"/>
          <w:bCs w:val="false"/>
        </w:rPr>
        <w:t>Editora</w:t>
      </w:r>
      <w:r>
        <w:rPr>
          <w:rStyle w:val="style20"/>
        </w:rPr>
        <w:t xml:space="preserve"> </w:t>
      </w:r>
      <w:r>
        <w:rPr/>
        <w:t>Wrox, 2005.</w:t>
      </w:r>
    </w:p>
    <w:p>
      <w:pPr>
        <w:pStyle w:val="style0"/>
      </w:pPr>
      <w:r>
        <w:rPr/>
      </w:r>
    </w:p>
    <w:sectPr>
      <w:footerReference r:id="rId3" w:type="default"/>
      <w:footnotePr>
        <w:numFmt w:val="decimal"/>
      </w:footnotePr>
      <w:type w:val="nextPage"/>
      <w:pgSz w:h="16838" w:w="11906"/>
      <w:pgMar w:bottom="1693" w:footer="1134" w:gutter="0" w:header="0" w:left="1701" w:right="1134" w:top="1701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7"/>
    </w:pPr>
    <w:r>
      <w:rPr/>
    </w:r>
  </w:p>
</w:ftr>
</file>

<file path=word/footnotes.xml><?xml version="1.0" encoding="utf-8"?>
<w:footnotes xmlns:r="http://schemas.openxmlformats.org/officeDocument/2006/relationships" xmlns:w="http://schemas.openxmlformats.org/wordprocessingml/2006/main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style28"/>
      </w:pPr>
      <w:r>
        <w:rPr/>
        <w:footnoteRef/>
        <w:tab/>
        <w:t>Departamento de Computação e Matemática, Faculdade de Filosofia Ciências e Letras de Ribeirão Preto (FFCLRP) /USP.</w:t>
      </w:r>
    </w:p>
  </w:footnote>
  <w:footnote w:id="3">
    <w:p>
      <w:pPr>
        <w:pStyle w:val="style28"/>
      </w:pPr>
      <w:r>
        <w:rPr/>
        <w:footnoteRef/>
        <w:tab/>
        <w:t>Departamento de Física, FFCLRP/USP.</w:t>
      </w:r>
    </w:p>
  </w:footnote>
</w:footnote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 w:val="false"/>
      <w:tabs>
        <w:tab w:leader="none" w:pos="709" w:val="left"/>
      </w:tabs>
      <w:suppressAutoHyphens w:val="true"/>
      <w:spacing w:line="360" w:lineRule="auto"/>
      <w:ind w:firstLine="850" w:left="0" w:right="0"/>
      <w:jc w:val="both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pt-BR"/>
    </w:rPr>
  </w:style>
  <w:style w:styleId="style1" w:type="paragraph">
    <w:name w:val="Título 1"/>
    <w:basedOn w:val="style22"/>
    <w:next w:val="style0"/>
    <w:pPr>
      <w:numPr>
        <w:ilvl w:val="0"/>
        <w:numId w:val="1"/>
      </w:numPr>
      <w:tabs>
        <w:tab w:leader="none" w:pos="0" w:val="left"/>
        <w:tab w:leader="none" w:pos="643" w:val="left"/>
      </w:tabs>
      <w:outlineLvl w:val="0"/>
    </w:pPr>
    <w:rPr>
      <w:rFonts w:ascii="Times New Roman" w:hAnsi="Times New Roman"/>
      <w:b/>
      <w:bCs/>
      <w:sz w:val="28"/>
      <w:szCs w:val="32"/>
    </w:rPr>
  </w:style>
  <w:style w:styleId="style3" w:type="paragraph">
    <w:name w:val="Título 3"/>
    <w:basedOn w:val="style22"/>
    <w:next w:val="style23"/>
    <w:pPr>
      <w:outlineLvl w:val="2"/>
    </w:pPr>
    <w:rPr>
      <w:rFonts w:ascii="Times New Roman" w:cs="Lohit Hindi" w:eastAsia="Droid Sans Fallback" w:hAnsi="Times New Roman"/>
      <w:b/>
      <w:bCs/>
      <w:sz w:val="28"/>
      <w:szCs w:val="28"/>
    </w:rPr>
  </w:style>
  <w:style w:styleId="style15" w:type="character">
    <w:name w:val="Caracteres de nota de rodapé"/>
    <w:next w:val="style15"/>
    <w:rPr/>
  </w:style>
  <w:style w:styleId="style16" w:type="character">
    <w:name w:val="Âncora de nota de rodapé"/>
    <w:next w:val="style16"/>
    <w:rPr>
      <w:vertAlign w:val="superscript"/>
    </w:rPr>
  </w:style>
  <w:style w:styleId="style17" w:type="character">
    <w:name w:val="Âncora de nota de fim"/>
    <w:next w:val="style17"/>
    <w:rPr>
      <w:vertAlign w:val="superscript"/>
    </w:rPr>
  </w:style>
  <w:style w:styleId="style18" w:type="character">
    <w:name w:val="Caracteres de nota de fim"/>
    <w:next w:val="style18"/>
    <w:rPr/>
  </w:style>
  <w:style w:styleId="style19" w:type="character">
    <w:name w:val="Marcas"/>
    <w:next w:val="style19"/>
    <w:rPr>
      <w:rFonts w:ascii="OpenSymbol" w:cs="OpenSymbol" w:eastAsia="OpenSymbol" w:hAnsi="OpenSymbol"/>
    </w:rPr>
  </w:style>
  <w:style w:styleId="style20" w:type="character">
    <w:name w:val="Ênfase forte"/>
    <w:next w:val="style20"/>
    <w:rPr>
      <w:b/>
      <w:bCs/>
    </w:rPr>
  </w:style>
  <w:style w:styleId="style21" w:type="character">
    <w:name w:val="Link da Internet"/>
    <w:next w:val="style21"/>
    <w:rPr>
      <w:color w:val="000080"/>
      <w:u w:val="single"/>
      <w:lang w:bidi="pt-BR" w:eastAsia="pt-BR" w:val="pt-BR"/>
    </w:rPr>
  </w:style>
  <w:style w:styleId="style22" w:type="paragraph">
    <w:name w:val="Título"/>
    <w:basedOn w:val="style0"/>
    <w:next w:val="style23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23" w:type="paragraph">
    <w:name w:val="Corpo de texto"/>
    <w:basedOn w:val="style0"/>
    <w:next w:val="style23"/>
    <w:pPr>
      <w:spacing w:after="120" w:before="0"/>
    </w:pPr>
    <w:rPr/>
  </w:style>
  <w:style w:styleId="style24" w:type="paragraph">
    <w:name w:val="Lista"/>
    <w:basedOn w:val="style23"/>
    <w:next w:val="style24"/>
    <w:pPr/>
    <w:rPr>
      <w:rFonts w:cs="Lohit Hindi"/>
    </w:rPr>
  </w:style>
  <w:style w:styleId="style25" w:type="paragraph">
    <w:name w:val="Legenda"/>
    <w:basedOn w:val="style0"/>
    <w:next w:val="style2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6" w:type="paragraph">
    <w:name w:val="Índice"/>
    <w:basedOn w:val="style0"/>
    <w:next w:val="style26"/>
    <w:pPr>
      <w:suppressLineNumbers/>
    </w:pPr>
    <w:rPr>
      <w:rFonts w:cs="Lohit Hindi"/>
    </w:rPr>
  </w:style>
  <w:style w:styleId="style27" w:type="paragraph">
    <w:name w:val="Rodapé"/>
    <w:basedOn w:val="style0"/>
    <w:next w:val="style27"/>
    <w:pPr>
      <w:suppressLineNumbers/>
      <w:tabs>
        <w:tab w:leader="none" w:pos="4535" w:val="center"/>
        <w:tab w:leader="none" w:pos="9071" w:val="right"/>
      </w:tabs>
    </w:pPr>
    <w:rPr/>
  </w:style>
  <w:style w:styleId="style28" w:type="paragraph">
    <w:name w:val="Nota de rodapé"/>
    <w:basedOn w:val="style0"/>
    <w:next w:val="style28"/>
    <w:pPr>
      <w:suppressLineNumbers/>
      <w:ind w:hanging="339" w:left="339" w:right="0"/>
    </w:pPr>
    <w:rPr>
      <w:sz w:val="20"/>
      <w:szCs w:val="20"/>
    </w:rPr>
  </w:style>
  <w:style w:styleId="style29" w:type="paragraph">
    <w:name w:val="Referências"/>
    <w:basedOn w:val="style0"/>
    <w:next w:val="style29"/>
    <w:pPr>
      <w:spacing w:line="200" w:lineRule="atLeast"/>
      <w:ind w:hanging="0" w:left="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2013-03-06T11:46:01.00Z</dcterms:created>
  <cp:revision>0</cp:revision>
</cp:coreProperties>
</file>