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MT3000 中文定制固件</w:t>
      </w:r>
    </w:p>
    <w:p>
      <w:pPr>
        <w:pStyle w:val="Subtitle"/>
      </w:pPr>
      <w:r>
        <w:t>产品功能手册</w:t>
      </w:r>
    </w:p>
    <w:p>
      <w:r>
        <w:rPr>
          <w:b w:val="0"/>
        </w:rPr>
        <w:t>适用于 GL-MT3000 的纯 OpenWrt 定制版本。按本手册完成接线、首次配置与功能设置，再根据首页和实际访问结果检查网络。</w:t>
      </w:r>
    </w:p>
    <w:p>
      <w:r>
        <w:rPr>
          <w:b w:val="0"/>
          <w:sz w:val="18"/>
        </w:rPr>
        <w:t>手册版本 1.0    固件基础 OpenWrt 25.12.6    更新日期 2026年10月26日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 descr="MT3000 真实路由器首页，显示联网、时间、服务、IPv6、开关和资源状态。示例数值随设备变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路由器首页上半部分示例</w:t>
      </w:r>
    </w:p>
    <w:p>
      <w:r>
        <w:rPr>
          <w:b/>
        </w:rPr>
        <w:t>全新安装时 Wi-Fi 默认关闭。请先用网线连接 LAN 口，打开 192.168.8.1 设置。</w:t>
      </w:r>
    </w:p>
    <w:p>
      <w:r>
        <w:rPr>
          <w:b w:val="0"/>
          <w:sz w:val="18"/>
        </w:rPr>
        <w:t>这是第三方定制系统，使用中文网页后台管理；不保留原厂 GL.iNet App 和 GoodCloud 管理服务。固件不包含私人账号、订阅、节点或线路。</w:t>
      </w:r>
    </w:p>
    <w:p>
      <w:pPr>
        <w:spacing w:after="100"/>
      </w:pPr>
      <w:hyperlink r:id="rId11">
        <w:r>
          <w:rPr>
            <w:color w:val="1F5964"/>
            <w:sz w:val="20"/>
          </w:rPr>
          <w:t>打开路由器首页</w:t>
        </w:r>
      </w:hyperlink>
    </w:p>
    <w:p>
      <w:pPr>
        <w:spacing w:after="100"/>
      </w:pPr>
      <w:hyperlink r:id="rId12">
        <w:r>
          <w:rPr>
            <w:color w:val="1F5964"/>
            <w:sz w:val="20"/>
          </w:rPr>
          <w:t>打开首次配置向导</w:t>
        </w:r>
      </w:hyperlink>
    </w:p>
    <w:p>
      <w:r>
        <w:br w:type="page"/>
      </w:r>
    </w:p>
    <w:p>
      <w:bookmarkStart w:id="2" w:name="page2"/>
      <w:pPr>
        <w:pStyle w:val="Heading1"/>
      </w:pPr>
      <w:r>
        <w:t>2 快速开始与功能导航</w:t>
      </w:r>
      <w:bookmarkEnd w:id="2"/>
    </w:p>
    <w:p>
      <w:pPr>
        <w:pStyle w:val="Heading2"/>
      </w:pPr>
      <w:r>
        <w:t>接好三种连接</w:t>
      </w:r>
    </w:p>
    <w:p>
      <w:r>
        <w:rPr>
          <w:b w:val="0"/>
        </w:rPr>
        <w:t>USB-C 接稳定电源；电脑网线接 LAN；上级路由器或宽带入口接 WAN。USB-C 是供电口，不能把它当作电脑管理网口。手机 USB 共享使用路由器 USB-A 口。</w:t>
      </w:r>
    </w:p>
    <w:p>
      <w:pPr>
        <w:pStyle w:val="Heading2"/>
      </w:pPr>
      <w:r>
        <w:t>完成基础联网</w:t>
      </w:r>
    </w:p>
    <w:p>
      <w:r>
        <w:rPr>
          <w:b w:val="0"/>
        </w:rPr>
        <w:t>1. 电脑以太网设为自动获取地址，打开 http://192.168.8.1，以 root 用户登录。</w:t>
      </w:r>
    </w:p>
    <w:p>
      <w:r>
        <w:rPr>
          <w:b w:val="0"/>
        </w:rPr>
        <w:t>2. 在“系统 → 首次配置向导”设置管理员密码、实际地区、时区、无线和上网方式。已有密码可留空保留。</w:t>
      </w:r>
    </w:p>
    <w:p>
      <w:r>
        <w:rPr>
          <w:b w:val="0"/>
        </w:rPr>
        <w:t>3. 在“状态 → 路由器首页”检查地址、时间和 DNS，再测试普通网站。</w:t>
      </w:r>
    </w:p>
    <w:p>
      <w:r>
        <w:rPr>
          <w:b w:val="0"/>
        </w:rPr>
        <w:t>4. 基础上网正常后，再配置需要的 OpenClash、AdGuard Home 或其他连接组件。</w:t>
      </w:r>
    </w:p>
    <w:p>
      <w:pPr>
        <w:pStyle w:val="Heading2"/>
      </w:pPr>
      <w:r>
        <w:t>按需要查找功能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3384"/>
        <w:gridCol w:w="5688"/>
        <w:gridCol w:w="1008"/>
      </w:tblGrid>
      <w:tr>
        <w:trPr>
          <w:cantSplit/>
          <w:tblHeader/>
        </w:trPr>
        <w:tc>
          <w:tcPr>
            <w:tcW w:type="dxa" w:w="3384"/>
            <w:vAlign w:val="center"/>
            <w:shd w:fill="304351"/>
          </w:tcPr>
          <w:p>
            <w:pPr>
              <w:spacing w:before="40" w:after="40" w:line="280" w:lineRule="exact"/>
            </w:pPr>
            <w:r>
              <w:rPr>
                <w:b/>
                <w:color w:val="FFFFFF"/>
                <w:sz w:val="20"/>
              </w:rPr>
              <w:t>要完成的任务</w:t>
            </w:r>
          </w:p>
        </w:tc>
        <w:tc>
          <w:tcPr>
            <w:tcW w:type="dxa" w:w="5688"/>
            <w:vAlign w:val="center"/>
            <w:shd w:fill="304351"/>
          </w:tcPr>
          <w:p>
            <w:pPr>
              <w:spacing w:before="40" w:after="40" w:line="280" w:lineRule="exact"/>
            </w:pPr>
            <w:r>
              <w:rPr>
                <w:b/>
                <w:color w:val="FFFFFF"/>
                <w:sz w:val="20"/>
              </w:rPr>
              <w:t>后台入口</w:t>
            </w:r>
          </w:p>
        </w:tc>
        <w:tc>
          <w:tcPr>
            <w:tcW w:type="dxa" w:w="1008"/>
            <w:vAlign w:val="center"/>
            <w:shd w:fill="304351"/>
          </w:tcPr>
          <w:p>
            <w:pPr>
              <w:spacing w:before="40" w:after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页码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首次设置与修改基础配置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系统 → 首次配置向导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40" w:after="4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无线名称 密码 地区</w:t>
            </w:r>
          </w:p>
        </w:tc>
        <w:tc>
          <w:tcPr>
            <w:tcW w:type="dxa" w:w="5688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网络 → 无线／无线地区切换</w:t>
            </w:r>
          </w:p>
        </w:tc>
        <w:tc>
          <w:tcPr>
            <w:tcW w:type="dxa" w:w="1008"/>
            <w:vAlign w:val="center"/>
            <w:shd w:fill="F3F5F6"/>
          </w:tcPr>
          <w:p>
            <w:pPr>
              <w:spacing w:before="40" w:after="4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国内直连与订阅分流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服务 → OpenClash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40" w:after="4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广告 DNS 过滤与故障策略</w:t>
            </w:r>
          </w:p>
        </w:tc>
        <w:tc>
          <w:tcPr>
            <w:tcW w:type="dxa" w:w="5688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服务 → AdGuard Home；配置向导</w:t>
            </w:r>
          </w:p>
        </w:tc>
        <w:tc>
          <w:tcPr>
            <w:tcW w:type="dxa" w:w="1008"/>
            <w:vAlign w:val="center"/>
            <w:shd w:fill="F3F5F6"/>
          </w:tcPr>
          <w:p>
            <w:pPr>
              <w:spacing w:before="40" w:after="4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IPv6 选择与检查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首次配置向导；路由器首页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40" w:after="4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酒店 Wi-Fi 与手机 USB 上网</w:t>
            </w:r>
          </w:p>
        </w:tc>
        <w:tc>
          <w:tcPr>
            <w:tcW w:type="dxa" w:w="5688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服务 → Travelmate；网络 → 接口</w:t>
            </w:r>
          </w:p>
        </w:tc>
        <w:tc>
          <w:tcPr>
            <w:tcW w:type="dxa" w:w="1008"/>
            <w:vAlign w:val="center"/>
            <w:shd w:fill="F3F5F6"/>
          </w:tcPr>
          <w:p>
            <w:pPr>
              <w:spacing w:before="40" w:after="4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侧面开关 其他连接 主题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首页／网络接口／VPN／系统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40" w:after="4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日常排查 安装 恢复 版本</w:t>
            </w:r>
          </w:p>
        </w:tc>
        <w:tc>
          <w:tcPr>
            <w:tcW w:type="dxa" w:w="5688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本手册后续章节</w:t>
            </w:r>
          </w:p>
        </w:tc>
        <w:tc>
          <w:tcPr>
            <w:tcW w:type="dxa" w:w="1008"/>
            <w:vAlign w:val="center"/>
            <w:shd w:fill="F3F5F6"/>
          </w:tcPr>
          <w:p>
            <w:pPr>
              <w:spacing w:before="40" w:after="4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10至12</w:t>
            </w:r>
          </w:p>
        </w:tc>
      </w:tr>
    </w:tbl>
    <w:p>
      <w:pPr>
        <w:spacing w:line="20" w:lineRule="exact" w:after="100"/>
      </w:pPr>
    </w:p>
    <w:p>
      <w:r>
        <w:rPr>
          <w:b w:val="0"/>
          <w:sz w:val="18"/>
        </w:rPr>
        <w:t>首页每 15 秒刷新本机状态。“检查网络”才会主动测试本地 DNS、指定域名和 HTTPS 连接。进程运行不代表节点可用；单个测试目标失败也不等于所有网络都中断。</w:t>
      </w:r>
    </w:p>
    <w:p>
      <w:r>
        <w:br w:type="page"/>
      </w:r>
    </w:p>
    <w:p>
      <w:bookmarkStart w:id="3" w:name="page3"/>
      <w:pPr>
        <w:pStyle w:val="Heading1"/>
      </w:pPr>
      <w:r>
        <w:t>3 首次配置向导</w:t>
      </w:r>
      <w:bookmarkEnd w:id="3"/>
    </w:p>
    <w:p>
      <w:r>
        <w:rPr>
          <w:b w:val="0"/>
        </w:rPr>
        <w:t>入口为“系统 → 首次配置向导”。建议保持 LAN 网线连接。打开向导不会修改配置，点击应用后才提交所选设置。</w:t>
      </w:r>
    </w:p>
    <w:p>
      <w:pPr>
        <w:pStyle w:val="Heading2"/>
      </w:pPr>
      <w:r>
        <w:t>1 设置管理员密码</w:t>
      </w:r>
    </w:p>
    <w:p>
      <w:r>
        <w:rPr>
          <w:b w:val="0"/>
        </w:rPr>
        <w:t>已设置密码时，两项留空可保留。首次设置或更换密码时，输入两次一致的新密码，长度为 10至128 个字符，不含换行。管理员密码只用于管理后台，不等于 Wi-Fi 密码。</w:t>
      </w:r>
    </w:p>
    <w:p>
      <w:pPr>
        <w:pStyle w:val="Heading2"/>
      </w:pPr>
      <w:r>
        <w:t>2 选择实际地区与时区</w:t>
      </w:r>
    </w:p>
    <w:p>
      <w:r>
        <w:rPr>
          <w:b w:val="0"/>
        </w:rPr>
        <w:t>地区使用所有无线频段共同支持的列表。中国大陆使用可选“中国大陆（CN）”和“北京时间（Asia/Shanghai）”；其他所在地按实际情况选择。当前全新镜像预设为 AU 和 Australia/Sydney，不能把默认值当作所在地。</w:t>
      </w:r>
    </w:p>
    <w:p>
      <w:pPr>
        <w:pStyle w:val="Heading2"/>
      </w:pPr>
      <w:r>
        <w:t>3 设置主无线网络</w:t>
      </w:r>
    </w:p>
    <w:p>
      <w:r>
        <w:rPr>
          <w:b w:val="0"/>
        </w:rPr>
        <w:t>需要启用或更新 Wi-Fi 时，勾选设置主无线，填写名称和 8至63 字节密码。向导为两个频段设置同名、同密码的 WPA2 主网络。无线名称最多 32 字节；中文通常占多个字节。不勾选则保留原名称、密码及启用状态，访客网络也保持原设置。</w:t>
      </w:r>
    </w:p>
    <w:p>
      <w:pPr>
        <w:pStyle w:val="Heading2"/>
      </w:pPr>
      <w:r>
        <w:t>4 选择上网方式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1944"/>
        <w:gridCol w:w="3744"/>
        <w:gridCol w:w="4392"/>
      </w:tblGrid>
      <w:tr>
        <w:trPr>
          <w:cantSplit/>
          <w:tblHeader/>
        </w:trPr>
        <w:tc>
          <w:tcPr>
            <w:tcW w:type="dxa" w:w="1944"/>
            <w:vAlign w:val="center"/>
            <w:shd w:fill="304351"/>
          </w:tcPr>
          <w:p>
            <w:pPr>
              <w:spacing w:before="40" w:after="40" w:line="280" w:lineRule="exact"/>
            </w:pPr>
            <w:r>
              <w:rPr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3744"/>
            <w:vAlign w:val="center"/>
            <w:shd w:fill="304351"/>
          </w:tcPr>
          <w:p>
            <w:pPr>
              <w:spacing w:before="40" w:after="40" w:line="280" w:lineRule="exact"/>
            </w:pPr>
            <w:r>
              <w:rPr>
                <w:b/>
                <w:color w:val="FFFFFF"/>
                <w:sz w:val="20"/>
              </w:rPr>
              <w:t>适用情况</w:t>
            </w:r>
          </w:p>
        </w:tc>
        <w:tc>
          <w:tcPr>
            <w:tcW w:type="dxa" w:w="4392"/>
            <w:vAlign w:val="center"/>
            <w:shd w:fill="304351"/>
          </w:tcPr>
          <w:p>
            <w:pPr>
              <w:spacing w:before="40" w:after="40" w:line="280" w:lineRule="exact"/>
            </w:pPr>
            <w:r>
              <w:rPr>
                <w:b/>
                <w:color w:val="FFFFFF"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保留当前设置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现有上网正常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不改 WAN 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自动获取地址</w:t>
            </w:r>
          </w:p>
        </w:tc>
        <w:tc>
          <w:tcPr>
            <w:tcW w:type="dxa" w:w="3744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连接上级路由器</w:t>
            </w:r>
          </w:p>
        </w:tc>
        <w:tc>
          <w:tcPr>
            <w:tcW w:type="dxa" w:w="4392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通常无需账号密码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PPPoE 宽带拨号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宽带需要拨号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运营商提供的账号和密码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静态 IPv4</w:t>
            </w:r>
          </w:p>
        </w:tc>
        <w:tc>
          <w:tcPr>
            <w:tcW w:type="dxa" w:w="3744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上游要求固定地址</w:t>
            </w:r>
          </w:p>
        </w:tc>
        <w:tc>
          <w:tcPr>
            <w:tcW w:type="dxa" w:w="4392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地址及前缀 网关 DNS</w:t>
            </w:r>
          </w:p>
        </w:tc>
      </w:tr>
    </w:tbl>
    <w:p>
      <w:pPr>
        <w:spacing w:line="20" w:lineRule="exact" w:after="100"/>
      </w:pPr>
    </w:p>
    <w:p>
      <w:pPr>
        <w:pStyle w:val="Heading2"/>
      </w:pPr>
      <w:r>
        <w:t>5 选择 IPv6 和 DNS 故障策略</w:t>
      </w:r>
    </w:p>
    <w:p>
      <w:r>
        <w:rPr>
          <w:b w:val="0"/>
        </w:rPr>
        <w:t>不确定时先保留 IPv6 现状，再查看首页提示。AdGuard 故障策略只针对已启用的可选串联，不会自动启用过滤。两项的适用范围见第 6、7 页。</w:t>
      </w:r>
    </w:p>
    <w:p>
      <w:pPr>
        <w:pStyle w:val="Heading2"/>
      </w:pPr>
      <w:r>
        <w:t>6 核对摘要并应用</w:t>
      </w:r>
    </w:p>
    <w:p>
      <w:r>
        <w:rPr>
          <w:b w:val="0"/>
        </w:rPr>
        <w:t>先处理后台已有的待应用设置，再核对确认窗口。应用可能短暂断网；按页面提示重新连接并确认。管理连接无法恢复时，LuCI 会尝试回退网络设置。</w:t>
      </w:r>
    </w:p>
    <w:p>
      <w:r>
        <w:rPr>
          <w:b/>
        </w:rPr>
        <w:t>管理员密码修改会立即生效，不随网络回退。若修改过密码，请使用新密码重新登录。</w:t>
      </w:r>
    </w:p>
    <w:p>
      <w:r>
        <w:br w:type="page"/>
      </w:r>
    </w:p>
    <w:p>
      <w:bookmarkStart w:id="4" w:name="page4"/>
      <w:pPr>
        <w:pStyle w:val="Heading1"/>
      </w:pPr>
      <w:r>
        <w:t>4 无线网络与地区切换</w:t>
      </w:r>
      <w:bookmarkEnd w:id="4"/>
    </w:p>
    <w:p>
      <w:pPr>
        <w:pStyle w:val="Heading2"/>
      </w:pPr>
      <w:r>
        <w:t>设置名称 密码和频段</w:t>
      </w:r>
    </w:p>
    <w:p>
      <w:r>
        <w:rPr>
          <w:b w:val="0"/>
        </w:rPr>
        <w:t>在“网络 → 无线”编辑主无线网络，设置名称、密码和加密方式，再保存应用。全新安装需要自行启用 Wi-Fi。向导采用 WPA2；完整 wpad 已预装，WPA3 混合及漫游辅助可在高级页面按需设置，但客户端兼容性仍需实测。</w:t>
      </w:r>
    </w:p>
    <w:p>
      <w:pPr>
        <w:pStyle w:val="Heading2"/>
      </w:pPr>
      <w:r>
        <w:t>一次设置所有无线频段的地区</w:t>
      </w:r>
    </w:p>
    <w:p>
      <w:r>
        <w:rPr>
          <w:b w:val="0"/>
        </w:rPr>
        <w:t>在“网络 → 无线地区切换”选择地区，再点击“应用到所有无线频段”。完整列表为 247 项中文名称（编码）；实际可用列表以驱动返回为准。快捷按钮只有以下九项。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880"/>
        <w:gridCol w:w="1656"/>
        <w:gridCol w:w="2880"/>
        <w:gridCol w:w="2664"/>
      </w:tblGrid>
      <w:tr>
        <w:trPr>
          <w:cantSplit/>
          <w:tblHeader/>
        </w:trPr>
        <w:tc>
          <w:tcPr>
            <w:tcW w:type="dxa" w:w="2880"/>
            <w:vAlign w:val="center"/>
            <w:shd w:fill="304351"/>
          </w:tcPr>
          <w:p>
            <w:pPr>
              <w:spacing w:before="40" w:after="40" w:line="290" w:lineRule="exact"/>
            </w:pPr>
            <w:r>
              <w:rPr>
                <w:b/>
                <w:color w:val="FFFFFF"/>
                <w:sz w:val="21"/>
              </w:rPr>
              <w:t>快捷地区</w:t>
            </w:r>
          </w:p>
        </w:tc>
        <w:tc>
          <w:tcPr>
            <w:tcW w:type="dxa" w:w="1656"/>
            <w:vAlign w:val="center"/>
            <w:shd w:fill="304351"/>
          </w:tcPr>
          <w:p>
            <w:pPr>
              <w:spacing w:before="40" w:after="40" w:line="290" w:lineRule="exact"/>
            </w:pPr>
            <w:r>
              <w:rPr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880"/>
            <w:vAlign w:val="center"/>
            <w:shd w:fill="304351"/>
          </w:tcPr>
          <w:p>
            <w:pPr>
              <w:spacing w:before="40" w:after="40" w:line="290" w:lineRule="exact"/>
            </w:pPr>
            <w:r>
              <w:rPr>
                <w:b/>
                <w:color w:val="FFFFFF"/>
                <w:sz w:val="21"/>
              </w:rPr>
              <w:t>快捷地区</w:t>
            </w:r>
          </w:p>
        </w:tc>
        <w:tc>
          <w:tcPr>
            <w:tcW w:type="dxa" w:w="2664"/>
            <w:vAlign w:val="center"/>
            <w:shd w:fill="304351"/>
          </w:tcPr>
          <w:p>
            <w:pPr>
              <w:spacing w:before="40" w:after="40" w:line="290" w:lineRule="exact"/>
            </w:pPr>
            <w:r>
              <w:rPr>
                <w:b/>
                <w:color w:val="FFFFFF"/>
                <w:sz w:val="21"/>
              </w:rPr>
              <w:t>编码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中国大陆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CN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香港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HK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日本</w:t>
            </w:r>
          </w:p>
        </w:tc>
        <w:tc>
          <w:tcPr>
            <w:tcW w:type="dxa" w:w="1656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JP</w:t>
            </w:r>
          </w:p>
        </w:tc>
        <w:tc>
          <w:tcPr>
            <w:tcW w:type="dxa" w:w="2880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韩国</w:t>
            </w:r>
          </w:p>
        </w:tc>
        <w:tc>
          <w:tcPr>
            <w:tcW w:type="dxa" w:w="2664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KR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泰国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TH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新加坡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SG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澳大利亚</w:t>
            </w:r>
          </w:p>
        </w:tc>
        <w:tc>
          <w:tcPr>
            <w:tcW w:type="dxa" w:w="1656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AU</w:t>
            </w:r>
          </w:p>
        </w:tc>
        <w:tc>
          <w:tcPr>
            <w:tcW w:type="dxa" w:w="2880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美国</w:t>
            </w:r>
          </w:p>
        </w:tc>
        <w:tc>
          <w:tcPr>
            <w:tcW w:type="dxa" w:w="2664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US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加拿大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CA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</w:r>
          </w:p>
        </w:tc>
      </w:tr>
    </w:tbl>
    <w:p>
      <w:pPr>
        <w:spacing w:line="20" w:lineRule="exact" w:after="100"/>
      </w:pPr>
    </w:p>
    <w:p>
      <w:r>
        <w:rPr>
          <w:b w:val="0"/>
        </w:rPr>
        <w:t>地区代码决定允许使用的无线信道和功率范围，不会改变后台语言，也不是代理节点所在地设置。实际能力仍受硬件、驱动与所在地要求约束。</w:t>
      </w:r>
    </w:p>
    <w:p>
      <w:pPr>
        <w:pStyle w:val="Heading2"/>
      </w:pPr>
      <w:r>
        <w:t>自动信道与连接检查</w:t>
      </w:r>
    </w:p>
    <w:p>
      <w:r>
        <w:rPr>
          <w:b w:val="0"/>
        </w:rPr>
        <w:t>地区页面默认勾选恢复常用非 DFS 自动信道。若取消，则保留手工信道；请确认它在所选地区可用。SSID、密码、频宽和无线启用状态保持原设置。当前镜像默认 5 GHz 使用 80 MHz，日常无需因换地区反复调整频宽。</w:t>
      </w:r>
    </w:p>
    <w:p>
      <w:r>
        <w:rPr>
          <w:b w:val="0"/>
        </w:rPr>
        <w:t>地区切换可能中断 Wi-Fi。通过有线设置后，仍要用手机或电脑分别测试无线连接；网线一直正常，并不能证明每个无线终端都已恢复。</w:t>
      </w:r>
    </w:p>
    <w:p>
      <w:pPr>
        <w:pStyle w:val="Heading2"/>
      </w:pPr>
      <w:r>
        <w:t>遇到不可选择或无法重连</w:t>
      </w:r>
    </w:p>
    <w:p>
      <w:pPr>
        <w:pStyle w:val="ListBullet"/>
        <w:spacing w:after="100"/>
      </w:pPr>
      <w:r>
        <w:t>确认使用有修改权限的管理员账号，并先应用或放弃已有的待应用设置。</w:t>
      </w:r>
    </w:p>
    <w:p>
      <w:pPr>
        <w:pStyle w:val="ListBullet"/>
        <w:spacing w:after="100"/>
      </w:pPr>
      <w:r>
        <w:t>刷新页面后再试。使用当前版本页面，避免旧浏览器缓存影响控件。</w:t>
      </w:r>
    </w:p>
    <w:p>
      <w:pPr>
        <w:pStyle w:val="ListBullet"/>
        <w:spacing w:after="100"/>
      </w:pPr>
      <w:r>
        <w:t>无线断开时先等待页面连接检查与回退；仍无法连接，再通过 LAN 网线进入后台检查。</w:t>
      </w:r>
    </w:p>
    <w:p>
      <w:r>
        <w:br w:type="page"/>
      </w:r>
    </w:p>
    <w:p>
      <w:bookmarkStart w:id="5" w:name="page5"/>
      <w:pPr>
        <w:pStyle w:val="Heading1"/>
      </w:pPr>
      <w:r>
        <w:t>5 OpenClash 与国内网站直连</w:t>
      </w:r>
      <w:bookmarkEnd w:id="5"/>
    </w:p>
    <w:p>
      <w:r>
        <w:rPr>
          <w:b w:val="0"/>
        </w:rPr>
        <w:t>OpenClash 管理 Mihomo 核心、订阅配置和分流策略。固件已预装这些组件，但全新镜像默认关闭，需要自行提供适用的配置或订阅。</w:t>
      </w:r>
    </w:p>
    <w:p>
      <w:pPr>
        <w:pStyle w:val="Heading2"/>
      </w:pPr>
      <w:r>
        <w:t>按顺序完成启用</w:t>
      </w:r>
    </w:p>
    <w:p>
      <w:r>
        <w:rPr>
          <w:b w:val="0"/>
        </w:rPr>
        <w:t>1. 先确认路由器普通上网、域名解析和系统时间正常。</w:t>
      </w:r>
    </w:p>
    <w:p>
      <w:r>
        <w:rPr>
          <w:b w:val="0"/>
        </w:rPr>
        <w:t>2. 在“服务 → OpenClash”的订阅或配置管理中添加自己的配置，更新并选择使用。订阅地址可能含访问凭据，不要公开分享。</w:t>
      </w:r>
    </w:p>
    <w:p>
      <w:r>
        <w:rPr>
          <w:b w:val="0"/>
        </w:rPr>
        <w:t>3. 使用规则模式，检查策略组和所选节点；需要代理的策略组应选择可用节点，直连组保持 DIRECT。</w:t>
      </w:r>
    </w:p>
    <w:p>
      <w:r>
        <w:rPr>
          <w:b w:val="0"/>
        </w:rPr>
        <w:t>4. 将侧面开关置于开启位置，检查核心和日志，再分别访问国内网站与需要代理的服务。</w:t>
      </w:r>
    </w:p>
    <w:p>
      <w:pPr>
        <w:pStyle w:val="Heading2"/>
      </w:pPr>
      <w:r>
        <w:t>国内网站应当直接连接</w:t>
      </w:r>
    </w:p>
    <w:p>
      <w:r>
        <w:rPr>
          <w:b w:val="0"/>
        </w:rPr>
        <w:t>国内网站不走代理时，使用“规则模式”，让订阅中的国内直连规则生效，并按需保持“绕过中国大陆 IP”开启。流量交给 OpenClash 判断后，命中 DIRECT 仍由本地宽带直接访问，不经过代理节点。不要用全局代理模式代替国内外分流。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1944"/>
        <w:gridCol w:w="3888"/>
        <w:gridCol w:w="4248"/>
      </w:tblGrid>
      <w:tr>
        <w:trPr>
          <w:cantSplit/>
          <w:tblHeader/>
        </w:trPr>
        <w:tc>
          <w:tcPr>
            <w:tcW w:type="dxa" w:w="1944"/>
            <w:vAlign w:val="center"/>
            <w:shd w:fill="304351"/>
          </w:tcPr>
          <w:p>
            <w:pPr>
              <w:spacing w:before="40" w:after="40" w:line="280" w:lineRule="exact"/>
            </w:pPr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3888"/>
            <w:vAlign w:val="center"/>
            <w:shd w:fill="304351"/>
          </w:tcPr>
          <w:p>
            <w:pPr>
              <w:spacing w:before="40" w:after="40" w:line="280" w:lineRule="exact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4248"/>
            <w:vAlign w:val="center"/>
            <w:shd w:fill="304351"/>
          </w:tcPr>
          <w:p>
            <w:pPr>
              <w:spacing w:before="40" w:after="40" w:line="280" w:lineRule="exact"/>
            </w:pPr>
            <w:r>
              <w:rPr>
                <w:b/>
                <w:color w:val="FFFFFF"/>
                <w:sz w:val="20"/>
              </w:rPr>
              <w:t>与国内直连的关系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规则 Rule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按配置中的规则选择路径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适合国内直连和按需代理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全局 Global</w:t>
            </w:r>
          </w:p>
        </w:tc>
        <w:tc>
          <w:tcPr>
            <w:tcW w:type="dxa" w:w="3888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进入内核的流量使用统一策略</w:t>
            </w:r>
          </w:p>
        </w:tc>
        <w:tc>
          <w:tcPr>
            <w:tcW w:type="dxa" w:w="4248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不能依赖规则实现国内外分流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直连 Direct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进入内核的流量直接连接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不会按规则使用代理节点</w:t>
            </w:r>
          </w:p>
        </w:tc>
      </w:tr>
    </w:tbl>
    <w:p>
      <w:pPr>
        <w:spacing w:line="20" w:lineRule="exact" w:after="100"/>
      </w:pPr>
    </w:p>
    <w:p>
      <w:pPr>
        <w:pStyle w:val="Heading2"/>
      </w:pPr>
      <w:r>
        <w:t>订阅规则和额外规则怎样配合</w:t>
      </w:r>
    </w:p>
    <w:p>
      <w:r>
        <w:rPr>
          <w:b w:val="0"/>
        </w:rPr>
        <w:t>订阅附带的规则由核心按顺序执行，靠前的匹配项通常优先。自定义规则、第三方规则或覆写可能插入、替换原有内容；建议一套主规则配合少量例外，不要为了“更全”叠加多套大名单。规则数量随订阅变化。</w:t>
      </w:r>
    </w:p>
    <w:p>
      <w:r>
        <w:rPr>
          <w:b w:val="0"/>
        </w:rPr>
        <w:t>“绕过中国大陆 IP”在防火墙层工作，部分访问真实大陆 IP 的连接可提前直连。当前使用 Fake-IP 时，常规域名访问通常仍会进入核心；不能把它理解成所有国内网站都绕过核心。</w:t>
      </w:r>
    </w:p>
    <w:p>
      <w:r>
        <w:rPr>
          <w:b w:val="0"/>
        </w:rPr>
        <w:t>网站走错路径时，在控制面板的连接记录里查看命中的规则和策略组，再添加针对该网站的小范围例外；不要先改整套规则。</w:t>
      </w:r>
    </w:p>
    <w:p>
      <w:r>
        <w:br w:type="page"/>
      </w:r>
    </w:p>
    <w:p>
      <w:bookmarkStart w:id="6" w:name="page6"/>
      <w:pPr>
        <w:pStyle w:val="Heading1"/>
      </w:pPr>
      <w:r>
        <w:t>6 DNS 过滤与故障恢复</w:t>
      </w:r>
      <w:bookmarkEnd w:id="6"/>
    </w:p>
    <w:p>
      <w:r>
        <w:rPr>
          <w:b w:val="0"/>
        </w:rPr>
        <w:t>DNS 负责把域名转换为地址。AdGuard Home 用于 DNS 层过滤；它已预装但默认关闭。路由器上的 AdGuard Home 不需要购买 AdGuard App 的会员。</w:t>
      </w:r>
    </w:p>
    <w:p>
      <w:pPr>
        <w:pStyle w:val="Heading2"/>
      </w:pPr>
      <w:r>
        <w:t>可选串联的工作路径</w:t>
      </w:r>
    </w:p>
    <w:p>
      <w:r>
        <w:rPr>
          <w:b w:val="0"/>
        </w:rPr>
        <w:t>设备的 DNS 请求 → 路由器 DNS → AdGuard Home → OpenClash DNS。OpenClash DNS 不可用时，现有配置还可尝试 Cloudflare 公共 DoH 上游；其可达性取决于当前网络。</w:t>
      </w:r>
    </w:p>
    <w:p>
      <w:pPr>
        <w:pStyle w:val="Heading2"/>
      </w:pPr>
      <w:r>
        <w:t>首次设置 AdGuard Home</w:t>
      </w:r>
    </w:p>
    <w:p>
      <w:r>
        <w:rPr>
          <w:b w:val="0"/>
        </w:rPr>
        <w:t>1. 在服务页面临时启动 AdGuard Home，访问 http://192.168.8.1:3000 完成向导，自行设置管理账号和密码。</w:t>
      </w:r>
    </w:p>
    <w:p>
      <w:r>
        <w:rPr>
          <w:b w:val="0"/>
        </w:rPr>
        <w:t>2. 管理网页使用 LAN 地址 192.168.8.1:3000，DNS 监听设为 127.0.0.1:3053，避免与路由器的 53 端口冲突。不要新增 WAN 管理放行。</w:t>
      </w:r>
    </w:p>
    <w:p>
      <w:r>
        <w:rPr>
          <w:b w:val="0"/>
        </w:rPr>
        <w:t>3. 完成后先停止 AdGuard Home 并关闭其自身开机启动。需要本项目串联时，再通过 SSH 执行下方 on 命令。脚本会启用所需服务，未完成账号设置会拒绝接入。</w:t>
      </w:r>
    </w:p>
    <w:p>
      <w:r>
        <w:rPr>
          <w:b w:val="0"/>
          <w:sz w:val="18"/>
        </w:rPr>
        <w:t>电脑终端先用 ssh root@192.168.8.1 登录；LAN 地址改过请替换。按设备已配置的密钥或管理员密码登录，密码输入不回显是正常的。</w:t>
      </w:r>
    </w:p>
    <w:p>
      <w:pPr>
        <w:spacing w:after="100"/>
      </w:pPr>
      <w:r>
        <w:rPr>
          <w:b w:val="0"/>
        </w:rPr>
      </w:r>
      <w:r>
        <w:rPr>
          <w:rFonts w:ascii="Courier New" w:hAnsi="Courier New"/>
          <w:sz w:val="18"/>
        </w:rPr>
        <w:t>adguard-chain on       # 启用可选串联</w:t>
      </w:r>
    </w:p>
    <w:p>
      <w:pPr>
        <w:spacing w:after="100"/>
      </w:pPr>
      <w:r>
        <w:rPr>
          <w:b w:val="0"/>
        </w:rPr>
      </w:r>
      <w:r>
        <w:rPr>
          <w:rFonts w:ascii="Courier New" w:hAnsi="Courier New"/>
          <w:sz w:val="18"/>
        </w:rPr>
        <w:t>adguard-chain status   # 查看串联状态</w:t>
      </w:r>
    </w:p>
    <w:p>
      <w:pPr>
        <w:spacing w:after="100"/>
      </w:pPr>
      <w:r>
        <w:rPr>
          <w:b w:val="0"/>
        </w:rPr>
      </w:r>
      <w:r>
        <w:rPr>
          <w:rFonts w:ascii="Courier New" w:hAnsi="Courier New"/>
          <w:sz w:val="18"/>
        </w:rPr>
        <w:t>adguard-chain off      # 恢复启用前的设置</w:t>
      </w:r>
    </w:p>
    <w:p>
      <w:pPr>
        <w:pStyle w:val="Heading2"/>
      </w:pPr>
      <w:r>
        <w:t>选择服务故障时的处理方式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448"/>
        <w:gridCol w:w="4032"/>
        <w:gridCol w:w="3600"/>
      </w:tblGrid>
      <w:tr>
        <w:trPr>
          <w:cantSplit/>
          <w:tblHeader/>
        </w:trPr>
        <w:tc>
          <w:tcPr>
            <w:tcW w:type="dxa" w:w="2448"/>
            <w:vAlign w:val="center"/>
            <w:shd w:fill="304351"/>
          </w:tcPr>
          <w:p>
            <w:pPr>
              <w:spacing w:before="40" w:after="40" w:line="280" w:lineRule="exact"/>
            </w:pPr>
            <w:r>
              <w:rPr>
                <w:b/>
                <w:color w:val="FFFFFF"/>
                <w:sz w:val="20"/>
              </w:rPr>
              <w:t>向导中的策略</w:t>
            </w:r>
          </w:p>
        </w:tc>
        <w:tc>
          <w:tcPr>
            <w:tcW w:type="dxa" w:w="4032"/>
            <w:vAlign w:val="center"/>
            <w:shd w:fill="304351"/>
          </w:tcPr>
          <w:p>
            <w:pPr>
              <w:spacing w:before="40" w:after="40" w:line="280" w:lineRule="exact"/>
            </w:pPr>
            <w:r>
              <w:rPr>
                <w:b/>
                <w:color w:val="FFFFFF"/>
                <w:sz w:val="20"/>
              </w:rPr>
              <w:t>重启后仍失败时</w:t>
            </w:r>
          </w:p>
        </w:tc>
        <w:tc>
          <w:tcPr>
            <w:tcW w:type="dxa" w:w="3600"/>
            <w:vAlign w:val="center"/>
            <w:shd w:fill="304351"/>
          </w:tcPr>
          <w:p>
            <w:pPr>
              <w:spacing w:before="40" w:after="40" w:line="280" w:lineRule="exact"/>
            </w:pPr>
            <w:r>
              <w:rPr>
                <w:b/>
                <w:color w:val="FFFFFF"/>
                <w:sz w:val="20"/>
              </w:rPr>
              <w:t>适用考虑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保留串联并阻断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保留 DNS 串联，不自动绕开过滤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优先保持现有解析路径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恢复启用前的 DNS</w:t>
            </w:r>
          </w:p>
        </w:tc>
        <w:tc>
          <w:tcPr>
            <w:tcW w:type="dxa" w:w="4032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关闭串联并恢复保存的原设置</w:t>
            </w:r>
          </w:p>
        </w:tc>
        <w:tc>
          <w:tcPr>
            <w:tcW w:type="dxa" w:w="3600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接受过滤和解析出口变化</w:t>
            </w:r>
          </w:p>
        </w:tc>
      </w:tr>
    </w:tbl>
    <w:p>
      <w:pPr>
        <w:spacing w:line="20" w:lineRule="exact" w:after="100"/>
      </w:pPr>
    </w:p>
    <w:p>
      <w:r>
        <w:rPr>
          <w:b w:val="0"/>
        </w:rPr>
        <w:t>守护在开机等待约 90 秒后开始检查。仅在串联已启用时，每约 30 秒检测一次，连续三次失败先尝试重启；重启有冷却时间。正在编辑相关设置或等待网络应用确认时，会暂停恢复。</w:t>
      </w:r>
    </w:p>
    <w:p>
      <w:r>
        <w:rPr>
          <w:b w:val="0"/>
        </w:rPr>
        <w:t>该功能监测 AdGuard 本地服务，不把外网上游故障直接当成进程故障。恢复原 DNS 不保证外网一定恢复；恢复后也不会自行重新开启串联。</w:t>
      </w:r>
    </w:p>
    <w:p>
      <w:r>
        <w:rPr>
          <w:b w:val="0"/>
          <w:sz w:val="18"/>
        </w:rPr>
        <w:t>浏览器自带 DoH 可能绕过路由器过滤。“保留串联”不等于阻断所有流量，也不会取消 OpenClash 上游故障时现有的公共 DoH fallback。off 会恢复原 AGH 配置，需保留的新改动应先备份。</w:t>
      </w:r>
    </w:p>
    <w:p>
      <w:r>
        <w:br w:type="page"/>
      </w:r>
    </w:p>
    <w:p>
      <w:bookmarkStart w:id="7" w:name="page7"/>
      <w:pPr>
        <w:pStyle w:val="Heading1"/>
      </w:pPr>
      <w:r>
        <w:t>7 IPv6 模式选择与检查</w:t>
      </w:r>
      <w:bookmarkEnd w:id="7"/>
    </w:p>
    <w:p>
      <w:r>
        <w:rPr>
          <w:b w:val="0"/>
        </w:rPr>
        <w:t>IPv6 是另一种联网地址体系。上游提供公网 IPv6 后，设备可能同时具备 IPv4 和 IPv6 路径；只检查 IPv4 分流，不能证明 IPv6 的行为也一致。</w:t>
      </w:r>
    </w:p>
    <w:p>
      <w:pPr>
        <w:pStyle w:val="Heading2"/>
      </w:pPr>
      <w:r>
        <w:t>在首次配置向导中选择模式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088"/>
        <w:gridCol w:w="4104"/>
        <w:gridCol w:w="3888"/>
      </w:tblGrid>
      <w:tr>
        <w:trPr>
          <w:cantSplit/>
          <w:tblHeader/>
        </w:trPr>
        <w:tc>
          <w:tcPr>
            <w:tcW w:type="dxa" w:w="2088"/>
            <w:vAlign w:val="center"/>
            <w:shd w:fill="304351"/>
          </w:tcPr>
          <w:p>
            <w:pPr>
              <w:spacing w:before="40" w:after="40" w:line="290" w:lineRule="exact"/>
            </w:pPr>
            <w:r>
              <w:rPr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4104"/>
            <w:vAlign w:val="center"/>
            <w:shd w:fill="304351"/>
          </w:tcPr>
          <w:p>
            <w:pPr>
              <w:spacing w:before="40" w:after="40" w:line="290" w:lineRule="exact"/>
            </w:pPr>
            <w:r>
              <w:rPr>
                <w:b/>
                <w:color w:val="FFFFFF"/>
                <w:sz w:val="21"/>
              </w:rPr>
              <w:t>本固件会做什么</w:t>
            </w:r>
          </w:p>
        </w:tc>
        <w:tc>
          <w:tcPr>
            <w:tcW w:type="dxa" w:w="3888"/>
            <w:vAlign w:val="center"/>
            <w:shd w:fill="304351"/>
          </w:tcPr>
          <w:p>
            <w:pPr>
              <w:spacing w:before="40" w:after="40" w:line="290" w:lineRule="exact"/>
            </w:pPr>
            <w:r>
              <w:rPr>
                <w:b/>
                <w:color w:val="FFFFFF"/>
                <w:sz w:val="21"/>
              </w:rPr>
              <w:t>使用时注意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保留现有设置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保持现有 IPv6 配置，仅由首页检查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适合已有自定义配置；提示仍需自行判断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局域网仅 IPv4</w:t>
            </w:r>
          </w:p>
        </w:tc>
        <w:tc>
          <w:tcPr>
            <w:tcW w:type="dxa" w:w="4104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关闭标准 LAN 的 IPv6 通告与前缀分配，阻止 LAN 向其他区域转发 IPv6；关闭核心 IPv6 选项</w:t>
            </w:r>
          </w:p>
        </w:tc>
        <w:tc>
          <w:tcPr>
            <w:tcW w:type="dxa" w:w="3888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不需要 IPv6 时可用；LAN 内部和路由器内核 IPv6 不会全部关闭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原生 IPv6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恢复常规 IPv6 接入和 LAN 分配，不启用 OpenClash IPv6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允许 IPv6 直接连接，不能据此承诺按代理规则处理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OpenClash IPv6</w:t>
            </w:r>
          </w:p>
        </w:tc>
        <w:tc>
          <w:tcPr>
            <w:tcW w:type="dxa" w:w="4104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恢复常规 IPv6 接入，并同时设置核心 IPv6 与 IPv6 DNS 选项</w:t>
            </w:r>
          </w:p>
        </w:tc>
        <w:tc>
          <w:tcPr>
            <w:tcW w:type="dxa" w:w="3888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需要上游、订阅和规则配合；停止核心后仍可能直连</w:t>
            </w:r>
          </w:p>
        </w:tc>
      </w:tr>
    </w:tbl>
    <w:p>
      <w:pPr>
        <w:spacing w:line="20" w:lineRule="exact" w:after="100"/>
      </w:pPr>
    </w:p>
    <w:p>
      <w:pPr>
        <w:pStyle w:val="Heading2"/>
      </w:pPr>
      <w:r>
        <w:t>读懂首页的提示</w:t>
      </w:r>
    </w:p>
    <w:p>
      <w:pPr>
        <w:pStyle w:val="ListBullet"/>
        <w:spacing w:after="100"/>
      </w:pPr>
      <w:r>
        <w:t>“尚未检测到完整公网 IPv6 路径”表示当前没有同时发现可用公网地址或前缀及默认路由，不等于硬件不支持。</w:t>
      </w:r>
    </w:p>
    <w:p>
      <w:pPr>
        <w:pStyle w:val="ListBullet"/>
        <w:spacing w:after="100"/>
      </w:pPr>
      <w:r>
        <w:t>“LAN 提供 IPv6，但未启用 OpenClash IPv6”提示两侧设置不一致。请明确选择仅 IPv4，或确认允许原生 IPv6。</w:t>
      </w:r>
    </w:p>
    <w:p>
      <w:pPr>
        <w:pStyle w:val="ListBullet"/>
        <w:spacing w:after="100"/>
      </w:pPr>
      <w:r>
        <w:t>“核心未运行，IPv6 可能直连”说明已选择代理 IPv6，但实际核心停止；需要结合当前公网路径检查。</w:t>
      </w:r>
    </w:p>
    <w:p>
      <w:pPr>
        <w:pStyle w:val="Heading2"/>
      </w:pPr>
      <w:r>
        <w:t>设置后怎样验收</w:t>
      </w:r>
    </w:p>
    <w:p>
      <w:r>
        <w:rPr>
          <w:b w:val="0"/>
        </w:rPr>
        <w:t>先用实际终端检查 IPv4 和 IPv6 是否可用，再在 OpenClash 连接记录中确认相应流量的规则与出口。没有公网 IPv6 的网络，无法完成公网双栈验收。</w:t>
      </w:r>
    </w:p>
    <w:p>
      <w:r>
        <w:rPr>
          <w:b w:val="0"/>
          <w:sz w:val="18"/>
        </w:rPr>
        <w:t>这些预设针对本机标准 LAN 和 WAN。多 LAN、自定义 IPv6 前缀、VLAN 或特殊多 WAN 需要在原生网络页面单独规划。</w:t>
      </w:r>
    </w:p>
    <w:p>
      <w:r>
        <w:br w:type="page"/>
      </w:r>
    </w:p>
    <w:p>
      <w:bookmarkStart w:id="8" w:name="page8"/>
      <w:pPr>
        <w:pStyle w:val="Heading1"/>
      </w:pPr>
      <w:r>
        <w:t>8 旅行网络与手机 USB 上网</w:t>
      </w:r>
      <w:bookmarkEnd w:id="8"/>
    </w:p>
    <w:p>
      <w:pPr>
        <w:pStyle w:val="Heading2"/>
      </w:pPr>
      <w:r>
        <w:t>使用酒店或外部 Wi-Fi 作为上游</w:t>
      </w:r>
    </w:p>
    <w:p>
      <w:r>
        <w:rPr>
          <w:b w:val="0"/>
        </w:rPr>
        <w:t>Travelmate 负责连接外部 Wi-Fi，OpenClash 负责后续分流，两者用途不同。Travelmate 预装但默认未启用，酒店认证网络的兼容性需要现场检查。</w:t>
      </w:r>
    </w:p>
    <w:p>
      <w:r>
        <w:rPr>
          <w:b w:val="0"/>
        </w:rPr>
        <w:t>1. 打开“服务 → Travelmate”，首次运行接口向导，创建上游接口，再启用服务。</w:t>
      </w:r>
    </w:p>
    <w:p>
      <w:r>
        <w:rPr>
          <w:b w:val="0"/>
        </w:rPr>
        <w:t>2. 在无线站点页面扫描上游 Wi-Fi，选择网络并输入密码。可添加多个站点，按设置顺序尝试连接。</w:t>
      </w:r>
    </w:p>
    <w:p>
      <w:r>
        <w:rPr>
          <w:b w:val="0"/>
        </w:rPr>
        <w:t>3. 遇到酒店网页认证时，用连接 MT3000 的手机或电脑打开普通 HTTP 网页，完成酒店登录后再测试外网。</w:t>
      </w:r>
    </w:p>
    <w:p>
      <w:r>
        <w:rPr>
          <w:b w:val="0"/>
        </w:rPr>
        <w:t>4. 回到首页检查地址与 DNS。无线中继会占用无线资源，本机 AP 可能跟随上游信道，速度和体验随现场网络变化。</w:t>
      </w:r>
    </w:p>
    <w:p>
      <w:pPr>
        <w:pStyle w:val="Heading2"/>
      </w:pPr>
      <w:r>
        <w:t>用手机流量给路由器上网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1584"/>
        <w:gridCol w:w="6696"/>
        <w:gridCol w:w="1800"/>
      </w:tblGrid>
      <w:tr>
        <w:trPr>
          <w:cantSplit/>
          <w:tblHeader/>
        </w:trPr>
        <w:tc>
          <w:tcPr>
            <w:tcW w:type="dxa" w:w="1584"/>
            <w:vAlign w:val="center"/>
            <w:shd w:fill="304351"/>
          </w:tcPr>
          <w:p>
            <w:pPr>
              <w:spacing w:before="40" w:after="40" w:line="290" w:lineRule="exact"/>
            </w:pPr>
            <w:r>
              <w:rPr>
                <w:b/>
                <w:color w:val="FFFFFF"/>
                <w:sz w:val="21"/>
              </w:rPr>
              <w:t>手机</w:t>
            </w:r>
          </w:p>
        </w:tc>
        <w:tc>
          <w:tcPr>
            <w:tcW w:type="dxa" w:w="6696"/>
            <w:vAlign w:val="center"/>
            <w:shd w:fill="304351"/>
          </w:tcPr>
          <w:p>
            <w:pPr>
              <w:spacing w:before="40" w:after="40" w:line="290" w:lineRule="exact"/>
            </w:pPr>
            <w:r>
              <w:rPr>
                <w:b/>
                <w:color w:val="FFFFFF"/>
                <w:sz w:val="21"/>
              </w:rPr>
              <w:t>连接与操作</w:t>
            </w:r>
          </w:p>
        </w:tc>
        <w:tc>
          <w:tcPr>
            <w:tcW w:type="dxa" w:w="1800"/>
            <w:vAlign w:val="center"/>
            <w:shd w:fill="304351"/>
          </w:tcPr>
          <w:p>
            <w:pPr>
              <w:spacing w:before="40" w:after="40" w:line="290" w:lineRule="exact"/>
            </w:pPr>
            <w:r>
              <w:rPr>
                <w:b/>
                <w:color w:val="FFFFFF"/>
                <w:sz w:val="21"/>
              </w:rPr>
              <w:t>接口名称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Android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数据线接 USB-A，在手机开启 USB 网络共享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usbwan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iPhone</w:t>
            </w:r>
          </w:p>
        </w:tc>
        <w:tc>
          <w:tcPr>
            <w:tcW w:type="dxa" w:w="6696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数据线接 USB-A，开启个人热点，解锁并确认信任或配对</w:t>
            </w:r>
          </w:p>
        </w:tc>
        <w:tc>
          <w:tcPr>
            <w:tcW w:type="dxa" w:w="1800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iphonewan</w:t>
            </w:r>
          </w:p>
        </w:tc>
      </w:tr>
    </w:tbl>
    <w:p>
      <w:pPr>
        <w:spacing w:line="20" w:lineRule="exact" w:after="100"/>
      </w:pPr>
    </w:p>
    <w:p>
      <w:r>
        <w:rPr>
          <w:b w:val="0"/>
        </w:rPr>
        <w:t>USB-C 继续供电；充电专用线可能不能传输数据。在“网络 → 接口”查看手机上游是否取得地址，未接手机时显示设备不存在是正常情况。已集成相关驱动与自动接口逻辑，具体手机配对和联网仍需实测。</w:t>
      </w:r>
    </w:p>
    <w:p>
      <w:pPr>
        <w:pStyle w:val="Heading2"/>
      </w:pPr>
      <w:r>
        <w:t>有线 WAN 与手机怎样配合</w:t>
      </w:r>
    </w:p>
    <w:p>
      <w:r>
        <w:rPr>
          <w:b w:val="0"/>
        </w:rPr>
        <w:t>默认有线 WAN 的路由优先级更高。手机接口已有地址，不代表有线断网时一定自动接管；此版本没有完整的互联网故障探测切换服务。有线仍保留默认路由但无法上网时，可先停用或拔掉故障上游，再测试手机连接。</w:t>
      </w:r>
    </w:p>
    <w:p>
      <w:pPr>
        <w:pStyle w:val="Heading2"/>
      </w:pPr>
      <w:r>
        <w:t>上游网段冲突</w:t>
      </w:r>
    </w:p>
    <w:p>
      <w:r>
        <w:rPr>
          <w:b w:val="0"/>
        </w:rPr>
        <w:t>本机默认 LAN 为 192.168.8.0/24。若酒店或上级路由器也使用相同网段，应在“网络 → 接口”把本机 LAN 改为不冲突的网段，并记下新管理地址。修改 LAN 前先关闭已启用的 AdGuard 串联，改好后再重新接入。</w:t>
      </w:r>
    </w:p>
    <w:p>
      <w:r>
        <w:br w:type="page"/>
      </w:r>
    </w:p>
    <w:p>
      <w:bookmarkStart w:id="9" w:name="page9"/>
      <w:pPr>
        <w:pStyle w:val="Heading1"/>
      </w:pPr>
      <w:r>
        <w:t>9 实体开关与其他功能</w:t>
      </w:r>
      <w:bookmarkEnd w:id="9"/>
    </w:p>
    <w:p>
      <w:pPr>
        <w:pStyle w:val="Heading2"/>
      </w:pPr>
      <w:r>
        <w:t>侧面开关控制 OpenClash</w:t>
      </w:r>
    </w:p>
    <w:p>
      <w:r>
        <w:rPr>
          <w:b w:val="0"/>
        </w:rPr>
        <w:t>开机和每次拨动时，系统按实体开关的实际位置同步 OpenClash。开关方向请以首页显示的“开启位置”或“关闭位置”为准。网页临时开启而开关仍关闭时，下次开机或拨动可能再次关闭核心。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shd w:fill="304351"/>
          </w:tcPr>
          <w:p>
            <w:pPr>
              <w:spacing w:before="40" w:after="40" w:line="290" w:lineRule="exact"/>
            </w:pPr>
            <w:r>
              <w:rPr>
                <w:b/>
                <w:color w:val="FFFFFF"/>
                <w:sz w:val="21"/>
              </w:rPr>
              <w:t>指示灯</w:t>
            </w:r>
          </w:p>
        </w:tc>
        <w:tc>
          <w:tcPr>
            <w:tcW w:type="dxa" w:w="7704"/>
            <w:vAlign w:val="center"/>
            <w:shd w:fill="304351"/>
          </w:tcPr>
          <w:p>
            <w:pPr>
              <w:spacing w:before="40" w:after="40" w:line="290" w:lineRule="exact"/>
            </w:pPr>
            <w:r>
              <w:rPr>
                <w:b/>
                <w:color w:val="FFFFFF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白灯快闪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正在尝试启动 OpenClash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白灯常亮</w:t>
            </w:r>
          </w:p>
        </w:tc>
        <w:tc>
          <w:tcPr>
            <w:tcW w:type="dxa" w:w="7704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OpenClash 运行状态提示，不代表节点一定可用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蓝灯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OpenClash 已关闭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白灯慢闪后转蓝</w:t>
            </w:r>
          </w:p>
        </w:tc>
        <w:tc>
          <w:tcPr>
            <w:tcW w:type="dxa" w:w="7704"/>
            <w:vAlign w:val="center"/>
            <w:shd w:fill="F3F5F6"/>
          </w:tcPr>
          <w:p>
            <w:pPr>
              <w:spacing w:before="40" w:after="40" w:line="290" w:lineRule="exact"/>
            </w:pPr>
            <w:r>
              <w:rPr>
                <w:b w:val="0"/>
                <w:color w:val="000000"/>
                <w:sz w:val="21"/>
              </w:rPr>
              <w:t>启动未成功，请检查配置与日志</w:t>
            </w:r>
          </w:p>
        </w:tc>
      </w:tr>
    </w:tbl>
    <w:p>
      <w:pPr>
        <w:spacing w:line="20" w:lineRule="exact" w:after="100"/>
      </w:pPr>
    </w:p>
    <w:p>
      <w:pPr>
        <w:pStyle w:val="Heading2"/>
      </w:pPr>
      <w:r>
        <w:t>WireGuard</w:t>
      </w:r>
    </w:p>
    <w:p>
      <w:r>
        <w:rPr>
          <w:b w:val="0"/>
        </w:rPr>
        <w:t>已预装 WireGuard 工具和 LuCI 协议组件。在“网络 → 接口”添加或编辑 WireGuard 接口，使用自己取得的地址、密钥与对端参数。还需按用途配置路由、防火墙和 DNS；只创建接口不代表远程网络已连通。不要把私钥、二维码或配置截图公开。</w:t>
      </w:r>
    </w:p>
    <w:p>
      <w:pPr>
        <w:pStyle w:val="Heading2"/>
      </w:pPr>
      <w:r>
        <w:t>OpenVPN</w:t>
      </w:r>
    </w:p>
    <w:p>
      <w:r>
        <w:rPr>
          <w:b w:val="0"/>
        </w:rPr>
        <w:t>已预装 OpenVPN 与管理组件，入口为“VPN → OpenVPN”，可导入适用配置。配置所需的证书、账号等由用户自行准备。导入后检查连接日志与目标网络可达性，必要时按服务端要求配置防火墙和路由。WireGuard、OpenVPN 的完整连接场景仍需各自验收。</w:t>
      </w:r>
    </w:p>
    <w:p>
      <w:pPr>
        <w:pStyle w:val="Heading2"/>
      </w:pPr>
      <w:r>
        <w:t>主题和手机管理</w:t>
      </w:r>
    </w:p>
    <w:p>
      <w:r>
        <w:rPr>
          <w:b w:val="0"/>
        </w:rPr>
        <w:t>默认使用 Argon，保留 Bootstrap 作为备用。可在“系统 → 系统”的语言和界面设置中选择主题。手机浏览器可打开 LuCI；这不等于保留原厂 GL.iNet App。第三方手机 App 的兼容性应按其版本单独确认。</w:t>
      </w:r>
    </w:p>
    <w:p>
      <w:pPr>
        <w:pStyle w:val="Heading2"/>
      </w:pPr>
      <w:r>
        <w:t>启动项按需要启用</w:t>
      </w:r>
    </w:p>
    <w:p>
      <w:r>
        <w:rPr>
          <w:b w:val="0"/>
        </w:rPr>
        <w:t>OpenClash、AdGuard Home 等可选服务未配置时保持关闭。不要因为启动页显示“已禁用”就全部开启；首页展示进程状态，启用开机启动与服务当前运行是两回事。</w:t>
      </w:r>
    </w:p>
    <w:p>
      <w:r>
        <w:br w:type="page"/>
      </w:r>
    </w:p>
    <w:p>
      <w:bookmarkStart w:id="10" w:name="page10"/>
      <w:pPr>
        <w:pStyle w:val="Heading1"/>
      </w:pPr>
      <w:r>
        <w:t>10 常见问题排查</w:t>
      </w:r>
      <w:bookmarkEnd w:id="10"/>
    </w:p>
    <w:p>
      <w:r>
        <w:rPr>
          <w:b w:val="0"/>
        </w:rPr>
        <w:t>先查看首页，再一次只处理一个问题。涉及账号、订阅或密钥的日志和截图，分享前先遮盖敏感内容。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1872"/>
        <w:gridCol w:w="3240"/>
        <w:gridCol w:w="4968"/>
      </w:tblGrid>
      <w:tr>
        <w:trPr>
          <w:cantSplit/>
          <w:tblHeader/>
        </w:trPr>
        <w:tc>
          <w:tcPr>
            <w:tcW w:type="dxa" w:w="1872"/>
            <w:vAlign w:val="center"/>
            <w:shd w:fill="304351"/>
          </w:tcPr>
          <w:p>
            <w:pPr>
              <w:spacing w:before="40" w:after="40" w:line="280" w:lineRule="exact"/>
            </w:pPr>
            <w:r>
              <w:rPr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3240"/>
            <w:vAlign w:val="center"/>
            <w:shd w:fill="304351"/>
          </w:tcPr>
          <w:p>
            <w:pPr>
              <w:spacing w:before="40" w:after="40" w:line="280" w:lineRule="exact"/>
            </w:pPr>
            <w:r>
              <w:rPr>
                <w:b/>
                <w:color w:val="FFFFFF"/>
                <w:sz w:val="20"/>
              </w:rPr>
              <w:t>先检查什么</w:t>
            </w:r>
          </w:p>
        </w:tc>
        <w:tc>
          <w:tcPr>
            <w:tcW w:type="dxa" w:w="4968"/>
            <w:vAlign w:val="center"/>
            <w:shd w:fill="304351"/>
          </w:tcPr>
          <w:p>
            <w:pPr>
              <w:spacing w:before="40" w:after="40" w:line="280" w:lineRule="exact"/>
            </w:pPr>
            <w:r>
              <w:rPr>
                <w:b/>
                <w:color w:val="FFFFFF"/>
                <w:sz w:val="20"/>
              </w:rPr>
              <w:t>下一步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打不开管理页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电脑是否接 LAN；以太网是否自动获取地址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用默认 192.168.8.1 或已修改的 LAN 地址；检查其他网络是否有同地址设备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刷完找不到 Wi-Fi</w:t>
            </w:r>
          </w:p>
        </w:tc>
        <w:tc>
          <w:tcPr>
            <w:tcW w:type="dxa" w:w="3240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全新安装默认关闭无线</w:t>
            </w:r>
          </w:p>
        </w:tc>
        <w:tc>
          <w:tcPr>
            <w:tcW w:type="dxa" w:w="4968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先用网线进入向导，设置名称和密码并启用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地区选项不可操作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登录权限 浏览器缓存 待应用设置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用管理员登录，处理待应用编辑后刷新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OpenClash 启用但核心未运行</w:t>
            </w:r>
          </w:p>
        </w:tc>
        <w:tc>
          <w:tcPr>
            <w:tcW w:type="dxa" w:w="3240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是否选用了有效配置；时间和 DNS 是否正常</w:t>
            </w:r>
          </w:p>
        </w:tc>
        <w:tc>
          <w:tcPr>
            <w:tcW w:type="dxa" w:w="4968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查看启动日志，检查所选配置与节点；不要反复连续重启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重启后代理关闭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实体开关是否在关闭位置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需要使用时将开关置于开启位置，再检查核心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国内网站走了代理</w:t>
            </w:r>
          </w:p>
        </w:tc>
        <w:tc>
          <w:tcPr>
            <w:tcW w:type="dxa" w:w="3240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是否误用全局模式；命中什么规则</w:t>
            </w:r>
          </w:p>
        </w:tc>
        <w:tc>
          <w:tcPr>
            <w:tcW w:type="dxa" w:w="4968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改用规则模式，核对国内 DIRECT 规则与绕过大陆 IP 设置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有地址却打不开网页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首页的 DNS 和 HTTPS 测试结果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区分解析失败、目标不可达与节点故障；只失败一个目标时不要判定全网中断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AdGuard 开启后无法解析</w:t>
            </w:r>
          </w:p>
        </w:tc>
        <w:tc>
          <w:tcPr>
            <w:tcW w:type="dxa" w:w="3240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串联状态 故障策略 待应用设置</w:t>
            </w:r>
          </w:p>
        </w:tc>
        <w:tc>
          <w:tcPr>
            <w:tcW w:type="dxa" w:w="4968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等待守护或自行执行 off 恢复原设置；不要删除恢复目录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提示 IPv6 可能异常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LAN 是否提供 IPv6；核心是否接管 IPv6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在向导明确选择模式，再用实际终端验证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手机 USB 不出现接口</w:t>
            </w:r>
          </w:p>
        </w:tc>
        <w:tc>
          <w:tcPr>
            <w:tcW w:type="dxa" w:w="3240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是否用数据线；是否接 USB-A；手机是否开启共享</w:t>
            </w:r>
          </w:p>
        </w:tc>
        <w:tc>
          <w:tcPr>
            <w:tcW w:type="dxa" w:w="4968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iPhone 确认信任和配对；重新插线，再看网络接口</w:t>
            </w:r>
          </w:p>
        </w:tc>
      </w:tr>
    </w:tbl>
    <w:p>
      <w:pPr>
        <w:spacing w:line="20" w:lineRule="exact" w:after="100"/>
      </w:pPr>
    </w:p>
    <w:p>
      <w:pPr>
        <w:pStyle w:val="Heading2"/>
      </w:pPr>
      <w:r>
        <w:t>时间错误时</w:t>
      </w:r>
    </w:p>
    <w:p>
      <w:r>
        <w:rPr>
          <w:b w:val="0"/>
        </w:rPr>
        <w:t>首页可以和当前浏览器设备的时钟比较。确认电脑或手机时间准确后，再点击校准。NTP 进程运行不代表一定授时成功；校准后仍应保持可用的网络时间同步。</w:t>
      </w:r>
    </w:p>
    <w:p>
      <w:r>
        <w:rPr>
          <w:b w:val="0"/>
          <w:sz w:val="18"/>
        </w:rPr>
        <w:t>页面异常或缓存问题通常不需要恢复出厂设置。恢复出厂会清除用户配置，并回到本定制固件的初始设置，不会自动变回 GL.iNet 原厂系统。</w:t>
      </w:r>
    </w:p>
    <w:p>
      <w:r>
        <w:br w:type="page"/>
      </w:r>
    </w:p>
    <w:p>
      <w:bookmarkStart w:id="11" w:name="page11"/>
      <w:pPr>
        <w:pStyle w:val="Heading1"/>
      </w:pPr>
      <w:r>
        <w:t>11 安装升级与恢复</w:t>
      </w:r>
      <w:bookmarkEnd w:id="11"/>
    </w:p>
    <w:p>
      <w:pPr>
        <w:pStyle w:val="Heading2"/>
      </w:pPr>
      <w:r>
        <w:t>安装前准备</w:t>
      </w:r>
    </w:p>
    <w:p>
      <w:r>
        <w:rPr>
          <w:b w:val="0"/>
        </w:rPr>
        <w:t>仅使用匹配硬件版本的 GL-MT3000 镜像。国行或海外销售标签不能代替型号、分区和硬件修订核对。准备电脑、LAN 网线、稳定电源和自己的配置备份；先阅读本型号官方设备与恢复说明。</w:t>
      </w:r>
    </w:p>
    <w:p>
      <w:pPr>
        <w:pStyle w:val="Heading2"/>
      </w:pPr>
      <w:r>
        <w:t>从原厂系统迁移</w:t>
      </w:r>
    </w:p>
    <w:p>
      <w:r>
        <w:rPr>
          <w:b w:val="0"/>
        </w:rPr>
        <w:t>1. 按设备说明确认当前系统支持的升级入口。已有 LuCI 时，可在“系统 → 备份／升级”上传匹配的 sysupgrade 镜像。</w:t>
      </w:r>
    </w:p>
    <w:p>
      <w:r>
        <w:rPr>
          <w:b w:val="0"/>
        </w:rPr>
        <w:t>2. 必须取消“保留设置”。原厂网络、无线和附加服务配置不能直接沿用到纯 OpenWrt；原厂备份只供匹配的原厂系统恢复使用。</w:t>
      </w:r>
    </w:p>
    <w:p>
      <w:r>
        <w:rPr>
          <w:b w:val="0"/>
        </w:rPr>
        <w:t>3. 让系统检查镜像。提示型号不匹配、文件被拒绝或需要强制刷写时，停止并重新核对，不绕过检查。</w:t>
      </w:r>
    </w:p>
    <w:p>
      <w:r>
        <w:rPr>
          <w:b w:val="0"/>
        </w:rPr>
        <w:t>4. 升级期间保持供电和网线，等待写入与重启完成。之后用 LAN 登录，按首次向导设置。</w:t>
      </w:r>
    </w:p>
    <w:p>
      <w:pPr>
        <w:pStyle w:val="Heading2"/>
      </w:pPr>
      <w:r>
        <w:t>从兼容的本定制版本升级</w:t>
      </w:r>
    </w:p>
    <w:p>
      <w:r>
        <w:rPr>
          <w:b w:val="0"/>
        </w:rPr>
        <w:t>先备份并核对新版本说明。同系列 OpenWrt 升级通常可保留兼容配置；跨大版本或明确要求重置时，按对应说明处理。保留配置后，LAN 地址、无线和时区等仍是原值，不一定回到全新默认值。</w:t>
      </w:r>
    </w:p>
    <w:p>
      <w:pPr>
        <w:pStyle w:val="Heading2"/>
      </w:pPr>
      <w:r>
        <w:t>无法正常启动时使用官方恢复流程</w:t>
      </w:r>
    </w:p>
    <w:p>
      <w:r>
        <w:rPr>
          <w:b w:val="0"/>
        </w:rPr>
        <w:t>仅在故障需要时使用 GL.iNet 官方 U-Boot 恢复说明。不要把普通 sysupgrade 文件、厂商常规升级包和 U-Boot 恢复镜像混用。</w:t>
      </w:r>
    </w:p>
    <w:p>
      <w:r>
        <w:rPr>
          <w:b w:val="0"/>
        </w:rPr>
        <w:t>1. 电脑只通过网线连接路由器 LAN，按官方 MT3000 的按键和指示灯步骤进入恢复模式。</w:t>
      </w:r>
    </w:p>
    <w:p>
      <w:r>
        <w:rPr>
          <w:b w:val="0"/>
        </w:rPr>
        <w:t>2. 电脑以太网设为 192.168.1.2，掩码 255.255.255.0，访问 http://192.168.1.1。</w:t>
      </w:r>
    </w:p>
    <w:p>
      <w:r>
        <w:rPr>
          <w:b w:val="0"/>
        </w:rPr>
        <w:t>3. 使用厂商为 MT3000 指定的 U-Boot 恢复镜像，按页面和官方说明完成写入，不中断供电。</w:t>
      </w:r>
    </w:p>
    <w:p>
      <w:r>
        <w:rPr>
          <w:b w:val="0"/>
        </w:rPr>
        <w:t>4. 完成后将电脑恢复为自动获取地址，再按所恢复系统的说明登录。恢复通常会清除配置。</w:t>
      </w:r>
    </w:p>
    <w:p>
      <w:pPr>
        <w:spacing w:after="100"/>
      </w:pPr>
      <w:hyperlink r:id="rId13">
        <w:r>
          <w:rPr>
            <w:color w:val="1F5964"/>
            <w:sz w:val="20"/>
          </w:rPr>
          <w:t>GL.iNet 官方 U-Boot 恢复说明</w:t>
        </w:r>
      </w:hyperlink>
    </w:p>
    <w:p>
      <w:r>
        <w:rPr>
          <w:b w:val="0"/>
          <w:sz w:val="18"/>
        </w:rPr>
        <w:t>正常管理地址默认为 192.168.8.1；U-Boot 恢复页为 192.168.1.1。两者不是同一个管理页面。不要改写 bootloader 或 Factory 分区。</w:t>
      </w:r>
    </w:p>
    <w:p>
      <w:r>
        <w:br w:type="page"/>
      </w:r>
    </w:p>
    <w:p>
      <w:bookmarkStart w:id="12" w:name="page12"/>
      <w:pPr>
        <w:pStyle w:val="Heading1"/>
      </w:pPr>
      <w:r>
        <w:t>12 版本信息与验证范围</w:t>
      </w:r>
      <w:bookmarkEnd w:id="1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vAlign w:val="center"/>
            <w:shd w:fill="304351"/>
          </w:tcPr>
          <w:p>
            <w:pPr>
              <w:spacing w:before="40" w:after="40" w:line="280" w:lineRule="exact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7632"/>
            <w:vAlign w:val="center"/>
            <w:shd w:fill="304351"/>
          </w:tcPr>
          <w:p>
            <w:pPr>
              <w:spacing w:before="40" w:after="40" w:line="280" w:lineRule="exact"/>
            </w:pPr>
            <w:r>
              <w:rPr>
                <w:b/>
                <w:color w:val="FFFFFF"/>
                <w:sz w:val="20"/>
              </w:rPr>
              <w:t>本手册对应版本或内容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OpenWrt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25.12.6  mediatek/filogic  GL-MT3000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OpenClash 与 Mihomo</w:t>
            </w:r>
          </w:p>
        </w:tc>
        <w:tc>
          <w:tcPr>
            <w:tcW w:type="dxa" w:w="7632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0.48.002 与 1.19.33 ARM64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AdGuard Home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0.107.79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Argon</w:t>
            </w:r>
          </w:p>
        </w:tc>
        <w:tc>
          <w:tcPr>
            <w:tcW w:type="dxa" w:w="7632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3.1.0，另保留 Bootstrap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无线地区模块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1.0.2，247 项中文地区，9 个快捷按钮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首页与向导</w:t>
            </w:r>
          </w:p>
        </w:tc>
        <w:tc>
          <w:tcPr>
            <w:tcW w:type="dxa" w:w="7632"/>
            <w:vAlign w:val="center"/>
            <w:shd w:fill="F3F5F6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首页 1.0.0；向导页面 1.0.1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镜像规模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before="40" w:after="40" w:line="280" w:lineRule="exact"/>
            </w:pPr>
            <w:r>
              <w:rPr>
                <w:b w:val="0"/>
                <w:color w:val="000000"/>
                <w:sz w:val="20"/>
              </w:rPr>
              <w:t>260 个包；51,261,782 字节</w:t>
            </w:r>
          </w:p>
        </w:tc>
      </w:tr>
    </w:tbl>
    <w:p>
      <w:pPr>
        <w:spacing w:line="20" w:lineRule="exact" w:after="100"/>
      </w:pPr>
    </w:p>
    <w:p>
      <w:pPr>
        <w:pStyle w:val="Heading2"/>
      </w:pPr>
      <w:r>
        <w:t>对应固件与完整性校验</w:t>
      </w:r>
    </w:p>
    <w:p>
      <w:pPr>
        <w:spacing w:after="100"/>
      </w:pPr>
      <w:r>
        <w:rPr>
          <w:b w:val="0"/>
        </w:rPr>
      </w:r>
      <w:r>
        <w:rPr>
          <w:rFonts w:ascii="Courier New" w:hAnsi="Courier New"/>
          <w:sz w:val="16"/>
        </w:rPr>
        <w:t>openwrt-25.12.6-zh-openclash-mediatek-filogic-glinet_gl-mt3000-squashfs-sysupgrade.bin</w:t>
      </w:r>
    </w:p>
    <w:p>
      <w:r>
        <w:rPr>
          <w:b w:val="0"/>
          <w:sz w:val="18"/>
        </w:rPr>
        <w:t>SHA256</w:t>
      </w:r>
    </w:p>
    <w:p>
      <w:pPr>
        <w:spacing w:after="100"/>
      </w:pPr>
      <w:r>
        <w:rPr>
          <w:b w:val="0"/>
        </w:rPr>
      </w:r>
      <w:r>
        <w:rPr>
          <w:rFonts w:ascii="Courier New" w:hAnsi="Courier New"/>
          <w:sz w:val="18"/>
        </w:rPr>
        <w:t>7bded5ff1548ee6b3d76bd2c56b582c2073bbf050073d2691a8413ff7b5b321b</w:t>
      </w:r>
    </w:p>
    <w:p>
      <w:r>
        <w:rPr>
          <w:b w:val="0"/>
          <w:sz w:val="18"/>
        </w:rPr>
        <w:t>校验值只对应上述镜像。更新版本时以随包的新校验信息为准；校验一致不能代替型号核对。</w:t>
      </w:r>
    </w:p>
    <w:p>
      <w:pPr>
        <w:pStyle w:val="Heading2"/>
      </w:pPr>
      <w:r>
        <w:t>已经验证与仍需验收的部分</w:t>
      </w:r>
    </w:p>
    <w:p>
      <w:r>
        <w:rPr>
          <w:b w:val="0"/>
        </w:rPr>
        <w:t>已有单台 MT3000 安装与基础双频、网页、实体开关、OpenClash 基础运行记录；新增首页、向导控件及手动网络检查已在实机验证，原配置保持。完整镜像通过构建与文件校验。</w:t>
      </w:r>
    </w:p>
    <w:p>
      <w:r>
        <w:rPr>
          <w:b w:val="0"/>
          <w:sz w:val="18"/>
        </w:rPr>
        <w:t>DNS 恢复已通过隔离故障模拟和真实 AdGuard 本地探针测试。实际用户网络的 AdGuard 串联故障、公网 IPv6、向导网络回退、USB 手机、酒店认证、WPA3 客户端等仍需对应环境验收。最新完整镜像尚未再次整包刷入；不能将这些记录视为所有功能、所有地区或所有硬件批次的保证。</w:t>
      </w:r>
    </w:p>
    <w:p>
      <w:pPr>
        <w:pStyle w:val="Heading2"/>
      </w:pPr>
      <w:r>
        <w:t>项目与参考资料</w:t>
      </w:r>
    </w:p>
    <w:p>
      <w:pPr>
        <w:spacing w:after="100"/>
      </w:pPr>
      <w:hyperlink r:id="rId14">
        <w:r>
          <w:rPr>
            <w:color w:val="1F5964"/>
            <w:sz w:val="18"/>
          </w:rPr>
          <w:t>OpenWrt MT3000 设备资料</w:t>
        </w:r>
      </w:hyperlink>
    </w:p>
    <w:p>
      <w:pPr>
        <w:spacing w:after="100"/>
      </w:pPr>
      <w:hyperlink r:id="rId15">
        <w:r>
          <w:rPr>
            <w:color w:val="1F5964"/>
            <w:sz w:val="18"/>
          </w:rPr>
          <w:t>OpenClash 项目与版本</w:t>
        </w:r>
      </w:hyperlink>
    </w:p>
    <w:p>
      <w:pPr>
        <w:spacing w:after="100"/>
      </w:pPr>
      <w:hyperlink r:id="rId16">
        <w:r>
          <w:rPr>
            <w:color w:val="1F5964"/>
            <w:sz w:val="18"/>
          </w:rPr>
          <w:t>Mihomo 路由规则说明</w:t>
        </w:r>
      </w:hyperlink>
    </w:p>
    <w:p>
      <w:pPr>
        <w:spacing w:after="100"/>
      </w:pPr>
      <w:hyperlink r:id="rId17">
        <w:r>
          <w:rPr>
            <w:color w:val="1F5964"/>
            <w:sz w:val="18"/>
          </w:rPr>
          <w:t>AdGuard Home 项目</w:t>
        </w:r>
      </w:hyperlink>
    </w:p>
    <w:p>
      <w:r>
        <w:rPr>
          <w:b w:val="0"/>
          <w:sz w:val="18"/>
        </w:rPr>
        <w:t>组件按各自许可证提供，相关许可与源码材料另随软件交付。本手册不替代许可证。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MT3000 产品功能手册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0" w:lineRule="exact" w:after="120"/>
    </w:pPr>
    <w:rPr>
      <w:rFonts w:ascii="Arial" w:hAnsi="Arial" w:eastAsia="Noto Sans CJK SC"/>
      <w:color w:val="000000"/>
      <w:sz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80" w:line="540" w:lineRule="exact"/>
      <w:outlineLvl w:val="0"/>
    </w:pPr>
    <w:rPr>
      <w:rFonts w:ascii="Arial" w:hAnsi="Arial" w:eastAsia="Noto Sans CJK SC"/>
      <w:b/>
      <w:bCs/>
      <w:color w:val="000000"/>
      <w:sz w:val="38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50" w:lineRule="exact"/>
      <w:outlineLvl w:val="1"/>
    </w:pPr>
    <w:rPr>
      <w:rFonts w:ascii="Arial" w:hAnsi="Arial" w:eastAsia="Noto Sans CJK SC"/>
      <w:b/>
      <w:bCs/>
      <w:color w:val="000000"/>
      <w:sz w:val="25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Noto Sans CJK SC"/>
      <w:b/>
      <w:bCs/>
      <w:color w:val="000000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680" w:lineRule="exact" w:before="0"/>
      <w:contextualSpacing/>
    </w:pPr>
    <w:rPr>
      <w:rFonts w:ascii="Arial" w:hAnsi="Arial" w:eastAsia="Noto Sans CJK SC"/>
      <w:b/>
      <w:color w:val="000000"/>
      <w:spacing w:val="5"/>
      <w:kern w:val="28"/>
      <w:sz w:val="52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460" w:lineRule="exact"/>
    </w:pPr>
    <w:rPr>
      <w:rFonts w:ascii="Arial" w:hAnsi="Arial" w:eastAsia="Noto Sans CJK SC"/>
      <w:b w:val="0"/>
      <w:i/>
      <w:iCs/>
      <w:color w:val="000000"/>
      <w:spacing w:val="15"/>
      <w:sz w:val="36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color w:val="000000"/>
      <w:lang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color w:val="000000"/>
      <w:lang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/>
    </w:pPr>
    <w:rPr>
      <w:rFonts w:ascii="Arial" w:hAnsi="Arial" w:eastAsia="Noto Sans CJK SC"/>
      <w:b/>
      <w:bCs/>
      <w:i w:val="0"/>
      <w:color w:val="000000"/>
      <w:sz w:val="18"/>
      <w:szCs w:val="18"/>
      <w:lang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://192.168.8.1/cgi-bin/luci/admin/status/mt3000" TargetMode="External"/><Relationship Id="rId12" Type="http://schemas.openxmlformats.org/officeDocument/2006/relationships/hyperlink" Target="http://192.168.8.1/cgi-bin/luci/admin/system/mt3000-setup" TargetMode="External"/><Relationship Id="rId13" Type="http://schemas.openxmlformats.org/officeDocument/2006/relationships/hyperlink" Target="https://docs.gl-inet.com/router/en/4/faq/debrick/" TargetMode="External"/><Relationship Id="rId14" Type="http://schemas.openxmlformats.org/officeDocument/2006/relationships/hyperlink" Target="https://openwrt.org/toh/gl.inet/gl-mt3000" TargetMode="External"/><Relationship Id="rId15" Type="http://schemas.openxmlformats.org/officeDocument/2006/relationships/hyperlink" Target="https://github.com/vernesong/OpenClash/releases/tag/v0.48.002" TargetMode="External"/><Relationship Id="rId16" Type="http://schemas.openxmlformats.org/officeDocument/2006/relationships/hyperlink" Target="https://wiki.metacubex.one/config/rules/" TargetMode="External"/><Relationship Id="rId17" Type="http://schemas.openxmlformats.org/officeDocument/2006/relationships/hyperlink" Target="https://github.com/AdguardTeam/AdGuard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MT3000 中文定制固件 产品功能手册</dc:title>
  <dc:subject>首次配置 功能使用 国内网站直连 故障排查</dc:subject>
  <dc:creator/>
  <cp:keywords/>
  <dc:description/>
  <cp:lastModifiedBy/>
  <cp:revision>1</cp:revision>
  <dcterms:created xsi:type="dcterms:W3CDTF">2026-10-26T00:00:00Z</dcterms:created>
  <dcterms:modified xsi:type="dcterms:W3CDTF">2026-10-26T00:00:00Z</dcterms:modified>
  <cp:category/>
</cp:coreProperties>
</file>