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FF590">
      <w:pPr>
        <w:pStyle w:val="12"/>
      </w:pPr>
      <w:r>
        <w:rPr>
          <w:rFonts w:hint="eastAsia"/>
        </w:rPr>
        <w:t>中国研究生操作系统开源创新大赛</w:t>
      </w:r>
    </w:p>
    <w:p w14:paraId="1B5BF116">
      <w:pPr>
        <w:pStyle w:val="12"/>
        <w:ind w:firstLine="480"/>
      </w:pPr>
      <w:r>
        <w:rPr>
          <w:rFonts w:hint="eastAsia"/>
        </w:rPr>
        <w:t>项目说明书</w:t>
      </w:r>
    </w:p>
    <w:p w14:paraId="409E1F7F">
      <w:pPr>
        <w:pStyle w:val="13"/>
        <w:ind w:firstLine="480"/>
      </w:pPr>
    </w:p>
    <w:tbl>
      <w:tblPr>
        <w:tblStyle w:val="9"/>
        <w:tblW w:w="0" w:type="auto"/>
        <w:jc w:val="center"/>
        <w:tblLayout w:type="fixed"/>
        <w:tblCellMar>
          <w:top w:w="0" w:type="dxa"/>
          <w:left w:w="108" w:type="dxa"/>
          <w:bottom w:w="0" w:type="dxa"/>
          <w:right w:w="108" w:type="dxa"/>
        </w:tblCellMar>
      </w:tblPr>
      <w:tblGrid>
        <w:gridCol w:w="2439"/>
        <w:gridCol w:w="3949"/>
      </w:tblGrid>
      <w:tr w14:paraId="7D038452">
        <w:trPr>
          <w:jc w:val="center"/>
        </w:trPr>
        <w:tc>
          <w:tcPr>
            <w:tcW w:w="2439" w:type="dxa"/>
          </w:tcPr>
          <w:p w14:paraId="32F966C1">
            <w:pPr>
              <w:ind w:firstLine="0"/>
              <w:rPr>
                <w:rFonts w:ascii="宋体" w:hAnsi="宋体" w:cs="宋体"/>
                <w:b/>
                <w:bCs/>
                <w:sz w:val="32"/>
                <w:szCs w:val="32"/>
                <w:lang w:val="zh-CN"/>
              </w:rPr>
            </w:pPr>
            <w:r>
              <w:rPr>
                <w:rFonts w:hint="eastAsia" w:ascii="宋体" w:hAnsi="宋体" w:cs="宋体"/>
                <w:b/>
                <w:bCs/>
                <w:sz w:val="32"/>
                <w:szCs w:val="32"/>
                <w:lang w:val="en-US" w:eastAsia="zh-CN"/>
              </w:rPr>
              <w:t>作 品 名 称</w:t>
            </w:r>
            <w:r>
              <w:rPr>
                <w:rFonts w:hint="eastAsia" w:ascii="宋体" w:hAnsi="宋体" w:cs="宋体"/>
                <w:b/>
                <w:bCs/>
                <w:sz w:val="32"/>
                <w:szCs w:val="32"/>
                <w:lang w:val="zh-CN"/>
              </w:rPr>
              <w:t>：</w:t>
            </w:r>
          </w:p>
        </w:tc>
        <w:tc>
          <w:tcPr>
            <w:tcW w:w="3949" w:type="dxa"/>
            <w:tcBorders>
              <w:bottom w:val="single" w:color="auto" w:sz="4" w:space="0"/>
            </w:tcBorders>
            <w:vAlign w:val="bottom"/>
          </w:tcPr>
          <w:p w14:paraId="1B512310">
            <w:pPr>
              <w:ind w:firstLine="628"/>
              <w:rPr>
                <w:rFonts w:hint="default" w:ascii="宋体" w:hAnsi="宋体" w:eastAsia="宋体" w:cs="宋体"/>
                <w:b/>
                <w:bCs/>
                <w:sz w:val="32"/>
                <w:szCs w:val="32"/>
                <w:lang w:val="en-US" w:eastAsia="zh-CN"/>
              </w:rPr>
            </w:pPr>
            <w:r>
              <w:rPr>
                <w:rFonts w:hint="eastAsia" w:ascii="宋体" w:hAnsi="宋体" w:cs="宋体"/>
                <w:b/>
                <w:bCs/>
                <w:sz w:val="32"/>
                <w:szCs w:val="32"/>
                <w:lang w:val="zh-CN"/>
              </w:rPr>
              <w:t xml:space="preserve"> </w:t>
            </w:r>
            <w:r>
              <w:rPr>
                <w:rFonts w:ascii="宋体" w:hAnsi="宋体" w:cs="宋体"/>
                <w:b/>
                <w:bCs/>
                <w:sz w:val="32"/>
                <w:szCs w:val="32"/>
                <w:lang w:val="zh-CN"/>
              </w:rPr>
              <w:t xml:space="preserve"> </w:t>
            </w:r>
            <w:r>
              <w:rPr>
                <w:rFonts w:hint="eastAsia" w:ascii="宋体" w:hAnsi="宋体" w:cs="宋体"/>
                <w:b/>
                <w:bCs/>
                <w:sz w:val="32"/>
                <w:szCs w:val="32"/>
                <w:lang w:val="zh-CN"/>
              </w:rPr>
              <w:t>VectorLease</w:t>
            </w:r>
          </w:p>
        </w:tc>
      </w:tr>
      <w:tr w14:paraId="7C2A04B7">
        <w:tblPrEx>
          <w:tblCellMar>
            <w:top w:w="0" w:type="dxa"/>
            <w:left w:w="108" w:type="dxa"/>
            <w:bottom w:w="0" w:type="dxa"/>
            <w:right w:w="108" w:type="dxa"/>
          </w:tblCellMar>
        </w:tblPrEx>
        <w:trPr>
          <w:jc w:val="center"/>
        </w:trPr>
        <w:tc>
          <w:tcPr>
            <w:tcW w:w="2439" w:type="dxa"/>
          </w:tcPr>
          <w:p w14:paraId="6F807C55">
            <w:pPr>
              <w:ind w:firstLine="0"/>
              <w:rPr>
                <w:rFonts w:ascii="宋体" w:hAnsi="宋体" w:cs="宋体"/>
                <w:b/>
                <w:bCs/>
                <w:sz w:val="32"/>
                <w:szCs w:val="32"/>
                <w:lang w:val="zh-CN"/>
              </w:rPr>
            </w:pPr>
            <w:r>
              <w:rPr>
                <w:rFonts w:hint="eastAsia" w:ascii="宋体" w:hAnsi="宋体" w:cs="宋体"/>
                <w:b/>
                <w:bCs/>
                <w:sz w:val="32"/>
                <w:szCs w:val="32"/>
                <w:lang w:val="zh-CN"/>
              </w:rPr>
              <w:t>参 赛 队 伍：</w:t>
            </w:r>
          </w:p>
        </w:tc>
        <w:tc>
          <w:tcPr>
            <w:tcW w:w="3949" w:type="dxa"/>
            <w:tcBorders>
              <w:top w:val="single" w:color="auto" w:sz="4" w:space="0"/>
              <w:bottom w:val="single" w:color="auto" w:sz="4" w:space="0"/>
            </w:tcBorders>
            <w:vAlign w:val="bottom"/>
          </w:tcPr>
          <w:p w14:paraId="5E658261">
            <w:pPr>
              <w:ind w:firstLine="628"/>
              <w:rPr>
                <w:rFonts w:ascii="宋体" w:hAnsi="宋体" w:cs="宋体"/>
                <w:b/>
                <w:bCs/>
                <w:sz w:val="32"/>
                <w:szCs w:val="32"/>
                <w:lang w:val="zh-CN"/>
              </w:rPr>
            </w:pPr>
            <w:r>
              <w:rPr>
                <w:rFonts w:hint="eastAsia" w:ascii="宋体" w:hAnsi="宋体" w:cs="宋体"/>
                <w:b/>
                <w:bCs/>
                <w:sz w:val="32"/>
                <w:szCs w:val="32"/>
                <w:lang w:val="zh-CN"/>
              </w:rPr>
              <w:t xml:space="preserve"> </w:t>
            </w:r>
            <w:r>
              <w:rPr>
                <w:rFonts w:ascii="宋体" w:hAnsi="宋体" w:cs="宋体"/>
                <w:b/>
                <w:bCs/>
                <w:sz w:val="32"/>
                <w:szCs w:val="32"/>
                <w:lang w:val="zh-CN"/>
              </w:rPr>
              <w:t xml:space="preserve"> </w:t>
            </w:r>
            <w:r>
              <w:rPr>
                <w:rFonts w:hint="eastAsia" w:ascii="宋体" w:hAnsi="宋体" w:cs="宋体"/>
                <w:b/>
                <w:bCs/>
                <w:sz w:val="32"/>
                <w:szCs w:val="32"/>
                <w:lang w:val="zh-CN"/>
              </w:rPr>
              <w:t>锐s刻五代</w:t>
            </w:r>
          </w:p>
        </w:tc>
      </w:tr>
      <w:tr w14:paraId="2866AAB0">
        <w:tblPrEx>
          <w:tblCellMar>
            <w:top w:w="0" w:type="dxa"/>
            <w:left w:w="108" w:type="dxa"/>
            <w:bottom w:w="0" w:type="dxa"/>
            <w:right w:w="108" w:type="dxa"/>
          </w:tblCellMar>
        </w:tblPrEx>
        <w:trPr>
          <w:jc w:val="center"/>
        </w:trPr>
        <w:tc>
          <w:tcPr>
            <w:tcW w:w="2439" w:type="dxa"/>
          </w:tcPr>
          <w:p w14:paraId="5540558C">
            <w:pPr>
              <w:ind w:firstLine="0"/>
              <w:rPr>
                <w:rFonts w:ascii="宋体" w:hAnsi="宋体" w:cs="宋体"/>
                <w:b/>
                <w:bCs/>
                <w:sz w:val="32"/>
                <w:szCs w:val="32"/>
                <w:lang w:val="zh-CN"/>
              </w:rPr>
            </w:pPr>
            <w:r>
              <w:rPr>
                <w:rFonts w:hint="eastAsia" w:ascii="宋体" w:hAnsi="宋体" w:cs="宋体"/>
                <w:b/>
                <w:bCs/>
                <w:sz w:val="32"/>
                <w:szCs w:val="32"/>
                <w:lang w:val="zh-CN"/>
              </w:rPr>
              <w:t>完 成 日 期：</w:t>
            </w:r>
          </w:p>
        </w:tc>
        <w:tc>
          <w:tcPr>
            <w:tcW w:w="3949" w:type="dxa"/>
            <w:tcBorders>
              <w:top w:val="single" w:color="auto" w:sz="4" w:space="0"/>
              <w:bottom w:val="single" w:color="auto" w:sz="4" w:space="0"/>
            </w:tcBorders>
            <w:vAlign w:val="bottom"/>
          </w:tcPr>
          <w:p w14:paraId="5CD24A1F">
            <w:pPr>
              <w:ind w:firstLine="964"/>
              <w:rPr>
                <w:rFonts w:ascii="宋体" w:hAnsi="宋体" w:cs="宋体"/>
                <w:b/>
                <w:bCs/>
                <w:sz w:val="32"/>
                <w:szCs w:val="32"/>
                <w:lang w:val="zh-CN"/>
              </w:rPr>
            </w:pPr>
            <w:r>
              <w:rPr>
                <w:rFonts w:hint="eastAsia" w:ascii="宋体" w:hAnsi="宋体" w:cs="宋体"/>
                <w:b/>
                <w:bCs/>
                <w:sz w:val="32"/>
                <w:szCs w:val="32"/>
                <w:lang w:val="zh-CN"/>
              </w:rPr>
              <w:t>20</w:t>
            </w:r>
            <w:r>
              <w:rPr>
                <w:rFonts w:hint="eastAsia" w:ascii="宋体" w:hAnsi="宋体" w:cs="宋体"/>
                <w:b/>
                <w:bCs/>
                <w:sz w:val="32"/>
                <w:szCs w:val="32"/>
              </w:rPr>
              <w:t>2</w:t>
            </w:r>
            <w:r>
              <w:rPr>
                <w:rFonts w:hint="eastAsia" w:ascii="宋体" w:hAnsi="宋体" w:cs="宋体"/>
                <w:b/>
                <w:bCs/>
                <w:sz w:val="32"/>
                <w:szCs w:val="32"/>
                <w:lang w:val="en-US" w:eastAsia="zh-CN"/>
              </w:rPr>
              <w:t>6</w:t>
            </w:r>
            <w:r>
              <w:rPr>
                <w:rFonts w:hint="eastAsia" w:ascii="宋体" w:hAnsi="宋体" w:cs="宋体"/>
                <w:b/>
                <w:bCs/>
                <w:sz w:val="32"/>
                <w:szCs w:val="32"/>
                <w:lang w:val="zh-CN"/>
              </w:rPr>
              <w:t>年</w:t>
            </w:r>
            <w:r>
              <w:rPr>
                <w:rFonts w:hint="eastAsia" w:ascii="宋体" w:hAnsi="宋体" w:cs="宋体"/>
                <w:b/>
                <w:bCs/>
                <w:sz w:val="32"/>
                <w:szCs w:val="32"/>
                <w:lang w:val="en-US" w:eastAsia="zh-CN"/>
              </w:rPr>
              <w:t>7</w:t>
            </w:r>
            <w:r>
              <w:rPr>
                <w:rFonts w:hint="eastAsia" w:ascii="宋体" w:hAnsi="宋体" w:cs="宋体"/>
                <w:b/>
                <w:bCs/>
                <w:sz w:val="32"/>
                <w:szCs w:val="32"/>
                <w:lang w:val="zh-CN"/>
              </w:rPr>
              <w:t>月</w:t>
            </w:r>
          </w:p>
        </w:tc>
      </w:tr>
    </w:tbl>
    <w:p w14:paraId="3D5CD5F2">
      <w:pPr>
        <w:ind w:firstLine="0"/>
        <w:rPr>
          <w:rFonts w:hint="eastAsia" w:asciiTheme="majorEastAsia" w:hAnsiTheme="majorEastAsia" w:eastAsiaTheme="majorEastAsia" w:cstheme="majorEastAsia"/>
          <w:i/>
          <w:iCs/>
          <w:sz w:val="24"/>
          <w:szCs w:val="24"/>
        </w:rPr>
      </w:pPr>
    </w:p>
    <w:p w14:paraId="33B416F3">
      <w:pPr>
        <w:ind w:firstLine="0"/>
        <w:rPr>
          <w:rFonts w:hint="eastAsia" w:asciiTheme="majorEastAsia" w:hAnsiTheme="majorEastAsia" w:eastAsiaTheme="majorEastAsia" w:cstheme="majorEastAsia"/>
          <w:i/>
          <w:iCs/>
          <w:sz w:val="24"/>
          <w:szCs w:val="24"/>
        </w:rPr>
      </w:pPr>
    </w:p>
    <w:p w14:paraId="787DDCB4">
      <w:pPr>
        <w:ind w:firstLine="0"/>
        <w:rPr>
          <w:i/>
          <w:iCs/>
        </w:rPr>
      </w:pPr>
    </w:p>
    <w:p w14:paraId="09D7D356">
      <w:pPr>
        <w:ind w:firstLine="0"/>
        <w:rPr>
          <w:i/>
          <w:iCs/>
        </w:rPr>
      </w:pPr>
    </w:p>
    <w:p w14:paraId="060A024C">
      <w:pPr>
        <w:ind w:firstLine="0"/>
        <w:rPr>
          <w:i/>
          <w:iCs/>
        </w:rPr>
      </w:pPr>
    </w:p>
    <w:p w14:paraId="45280A84">
      <w:pPr>
        <w:pStyle w:val="14"/>
        <w:spacing w:before="120" w:after="120"/>
      </w:pPr>
      <w:bookmarkStart w:id="0" w:name="_Toc10106"/>
      <w:r>
        <w:rPr>
          <w:rFonts w:hint="eastAsia"/>
        </w:rPr>
        <w:t>目 录</w:t>
      </w:r>
      <w:bookmarkEnd w:id="0"/>
    </w:p>
    <w:p w14:paraId="543D425D">
      <w:pPr>
        <w:rPr>
          <w:rFonts w:hint="eastAsia" w:ascii="宋体" w:hAnsi="宋体"/>
          <w:szCs w:val="20"/>
        </w:rPr>
      </w:pPr>
    </w:p>
    <w:sdt>
      <w:sdtPr>
        <w:rPr>
          <w:rFonts w:ascii="宋体" w:hAnsi="宋体" w:eastAsia="宋体" w:cstheme="minorBidi"/>
          <w:kern w:val="2"/>
          <w:sz w:val="21"/>
          <w:szCs w:val="24"/>
          <w:lang w:val="en-US" w:eastAsia="zh-CN" w:bidi="ar-SA"/>
        </w:rPr>
        <w:id w:val="147472821"/>
        <w15:color w:val="DBDBDB"/>
        <w:docPartObj>
          <w:docPartGallery w:val="Table of Contents"/>
          <w:docPartUnique/>
        </w:docPartObj>
      </w:sdtPr>
      <w:sdtEndPr>
        <w:rPr>
          <w:rFonts w:hint="eastAsia" w:ascii="宋体" w:hAnsi="宋体" w:eastAsiaTheme="minorEastAsia" w:cstheme="minorBidi"/>
          <w:kern w:val="2"/>
          <w:sz w:val="21"/>
          <w:szCs w:val="20"/>
          <w:lang w:val="en-US" w:eastAsia="zh-CN" w:bidi="ar-SA"/>
        </w:rPr>
      </w:sdtEndPr>
      <w:sdtContent>
        <w:p w14:paraId="0F68F10C">
          <w:pPr>
            <w:spacing w:before="0" w:beforeLines="0" w:after="0" w:afterLines="0" w:line="240" w:lineRule="auto"/>
            <w:ind w:left="0" w:leftChars="0" w:right="0" w:rightChars="0" w:firstLine="0" w:firstLineChars="0"/>
            <w:jc w:val="center"/>
          </w:pPr>
        </w:p>
        <w:p w14:paraId="08331D84">
          <w:pPr>
            <w:pStyle w:val="7"/>
            <w:tabs>
              <w:tab w:val="right" w:leader="dot" w:pos="9404"/>
            </w:tabs>
          </w:pPr>
          <w:r>
            <w:rPr>
              <w:rFonts w:hint="eastAsia" w:ascii="宋体" w:hAnsi="宋体"/>
              <w:szCs w:val="20"/>
            </w:rPr>
            <w:fldChar w:fldCharType="begin"/>
          </w:r>
          <w:r>
            <w:rPr>
              <w:rFonts w:hint="eastAsia" w:ascii="宋体" w:hAnsi="宋体"/>
              <w:szCs w:val="20"/>
            </w:rPr>
            <w:instrText xml:space="preserve">TOC \o "1-2" \h \u </w:instrText>
          </w:r>
          <w:r>
            <w:rPr>
              <w:rFonts w:hint="eastAsia" w:ascii="宋体" w:hAnsi="宋体"/>
              <w:szCs w:val="20"/>
            </w:rPr>
            <w:fldChar w:fldCharType="separate"/>
          </w:r>
          <w:r>
            <w:rPr>
              <w:rFonts w:hint="eastAsia" w:ascii="宋体" w:hAnsi="宋体"/>
              <w:szCs w:val="20"/>
            </w:rPr>
            <w:fldChar w:fldCharType="begin"/>
          </w:r>
          <w:r>
            <w:rPr>
              <w:rFonts w:hint="eastAsia" w:ascii="宋体" w:hAnsi="宋体"/>
              <w:szCs w:val="20"/>
            </w:rPr>
            <w:instrText xml:space="preserve"> HYPERLINK \l _Toc10106 </w:instrText>
          </w:r>
          <w:r>
            <w:rPr>
              <w:rFonts w:hint="eastAsia" w:ascii="宋体" w:hAnsi="宋体"/>
              <w:szCs w:val="20"/>
            </w:rPr>
            <w:fldChar w:fldCharType="separate"/>
          </w:r>
          <w:r>
            <w:rPr>
              <w:rFonts w:hint="eastAsia"/>
            </w:rPr>
            <w:t>目 录</w:t>
          </w:r>
          <w:r>
            <w:tab/>
          </w:r>
          <w:r>
            <w:fldChar w:fldCharType="begin"/>
          </w:r>
          <w:r>
            <w:instrText xml:space="preserve"> PAGEREF _Toc10106 \h </w:instrText>
          </w:r>
          <w:r>
            <w:fldChar w:fldCharType="separate"/>
          </w:r>
          <w:r>
            <w:t>2</w:t>
          </w:r>
          <w:r>
            <w:fldChar w:fldCharType="end"/>
          </w:r>
          <w:r>
            <w:rPr>
              <w:rFonts w:hint="eastAsia" w:ascii="宋体" w:hAnsi="宋体"/>
              <w:szCs w:val="20"/>
            </w:rPr>
            <w:fldChar w:fldCharType="end"/>
          </w:r>
        </w:p>
        <w:p w14:paraId="6D1BC5BE">
          <w:pPr>
            <w:pStyle w:val="7"/>
            <w:tabs>
              <w:tab w:val="right" w:leader="dot" w:pos="9404"/>
            </w:tabs>
          </w:pPr>
          <w:r>
            <w:rPr>
              <w:rFonts w:hint="eastAsia" w:ascii="宋体" w:hAnsi="宋体"/>
              <w:szCs w:val="20"/>
            </w:rPr>
            <w:fldChar w:fldCharType="begin"/>
          </w:r>
          <w:r>
            <w:rPr>
              <w:rFonts w:hint="eastAsia" w:ascii="宋体" w:hAnsi="宋体"/>
              <w:szCs w:val="20"/>
            </w:rPr>
            <w:instrText xml:space="preserve"> HYPERLINK \l _Toc661 </w:instrText>
          </w:r>
          <w:r>
            <w:rPr>
              <w:rFonts w:hint="eastAsia" w:ascii="宋体" w:hAnsi="宋体"/>
              <w:szCs w:val="20"/>
            </w:rPr>
            <w:fldChar w:fldCharType="separate"/>
          </w:r>
          <w:r>
            <w:rPr>
              <w:rFonts w:hint="eastAsia"/>
            </w:rPr>
            <w:t>第 1 章 绪 论</w:t>
          </w:r>
          <w:r>
            <w:tab/>
          </w:r>
          <w:r>
            <w:fldChar w:fldCharType="begin"/>
          </w:r>
          <w:r>
            <w:instrText xml:space="preserve"> PAGEREF _Toc661 \h </w:instrText>
          </w:r>
          <w:r>
            <w:fldChar w:fldCharType="separate"/>
          </w:r>
          <w:r>
            <w:t>3</w:t>
          </w:r>
          <w:r>
            <w:fldChar w:fldCharType="end"/>
          </w:r>
          <w:r>
            <w:rPr>
              <w:rFonts w:hint="eastAsia" w:ascii="宋体" w:hAnsi="宋体"/>
              <w:szCs w:val="20"/>
            </w:rPr>
            <w:fldChar w:fldCharType="end"/>
          </w:r>
        </w:p>
        <w:p w14:paraId="7967BB4E">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_Toc25314 </w:instrText>
          </w:r>
          <w:r>
            <w:rPr>
              <w:rFonts w:hint="eastAsia" w:ascii="宋体" w:hAnsi="宋体"/>
              <w:szCs w:val="20"/>
            </w:rPr>
            <w:fldChar w:fldCharType="separate"/>
          </w:r>
          <w:r>
            <w:rPr>
              <w:rFonts w:hint="eastAsia" w:ascii="黑体" w:hAnsi="黑体" w:eastAsia="黑体" w:cs="黑体"/>
              <w:bCs/>
              <w:szCs w:val="28"/>
            </w:rPr>
            <w:t>1.1  目的与意义</w:t>
          </w:r>
          <w:r>
            <w:tab/>
          </w:r>
          <w:r>
            <w:fldChar w:fldCharType="begin"/>
          </w:r>
          <w:r>
            <w:instrText xml:space="preserve"> PAGEREF _Toc25314 \h </w:instrText>
          </w:r>
          <w:r>
            <w:fldChar w:fldCharType="separate"/>
          </w:r>
          <w:r>
            <w:t>3</w:t>
          </w:r>
          <w:r>
            <w:fldChar w:fldCharType="end"/>
          </w:r>
          <w:r>
            <w:rPr>
              <w:rFonts w:hint="eastAsia" w:ascii="宋体" w:hAnsi="宋体"/>
              <w:szCs w:val="20"/>
            </w:rPr>
            <w:fldChar w:fldCharType="end"/>
          </w:r>
        </w:p>
        <w:p w14:paraId="7B6EFA5B">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_Toc31947 </w:instrText>
          </w:r>
          <w:r>
            <w:rPr>
              <w:rFonts w:hint="eastAsia" w:ascii="宋体" w:hAnsi="宋体"/>
              <w:szCs w:val="20"/>
            </w:rPr>
            <w:fldChar w:fldCharType="separate"/>
          </w:r>
          <w:r>
            <w:rPr>
              <w:rFonts w:hint="eastAsia" w:ascii="黑体" w:hAnsi="黑体" w:eastAsia="黑体" w:cs="黑体"/>
              <w:bCs/>
              <w:szCs w:val="28"/>
            </w:rPr>
            <w:t>1.2  项目背景</w:t>
          </w:r>
          <w:r>
            <w:tab/>
          </w:r>
          <w:r>
            <w:fldChar w:fldCharType="begin"/>
          </w:r>
          <w:r>
            <w:instrText xml:space="preserve"> PAGEREF _Toc31947 \h </w:instrText>
          </w:r>
          <w:r>
            <w:fldChar w:fldCharType="separate"/>
          </w:r>
          <w:r>
            <w:t>3</w:t>
          </w:r>
          <w:r>
            <w:fldChar w:fldCharType="end"/>
          </w:r>
          <w:r>
            <w:rPr>
              <w:rFonts w:hint="eastAsia" w:ascii="宋体" w:hAnsi="宋体"/>
              <w:szCs w:val="20"/>
            </w:rPr>
            <w:fldChar w:fldCharType="end"/>
          </w:r>
        </w:p>
        <w:p w14:paraId="68C4E1FD">
          <w:pPr>
            <w:pStyle w:val="7"/>
            <w:tabs>
              <w:tab w:val="right" w:leader="dot" w:pos="9404"/>
            </w:tabs>
          </w:pPr>
          <w:r>
            <w:rPr>
              <w:rFonts w:hint="eastAsia" w:ascii="宋体" w:hAnsi="宋体"/>
              <w:szCs w:val="20"/>
            </w:rPr>
            <w:fldChar w:fldCharType="begin"/>
          </w:r>
          <w:r>
            <w:rPr>
              <w:rFonts w:hint="eastAsia" w:ascii="宋体" w:hAnsi="宋体"/>
              <w:szCs w:val="20"/>
            </w:rPr>
            <w:instrText xml:space="preserve"> HYPERLINK \l _Toc3987 </w:instrText>
          </w:r>
          <w:r>
            <w:rPr>
              <w:rFonts w:hint="eastAsia" w:ascii="宋体" w:hAnsi="宋体"/>
              <w:szCs w:val="20"/>
            </w:rPr>
            <w:fldChar w:fldCharType="separate"/>
          </w:r>
          <w:r>
            <w:rPr>
              <w:rFonts w:hint="eastAsia"/>
            </w:rPr>
            <w:t>第 2 章 技 术 理 论</w:t>
          </w:r>
          <w:r>
            <w:tab/>
          </w:r>
          <w:r>
            <w:fldChar w:fldCharType="begin"/>
          </w:r>
          <w:r>
            <w:instrText xml:space="preserve"> PAGEREF _Toc3987 \h </w:instrText>
          </w:r>
          <w:r>
            <w:fldChar w:fldCharType="separate"/>
          </w:r>
          <w:r>
            <w:t>4</w:t>
          </w:r>
          <w:r>
            <w:fldChar w:fldCharType="end"/>
          </w:r>
          <w:r>
            <w:rPr>
              <w:rFonts w:hint="eastAsia" w:ascii="宋体" w:hAnsi="宋体"/>
              <w:szCs w:val="20"/>
            </w:rPr>
            <w:fldChar w:fldCharType="end"/>
          </w:r>
        </w:p>
        <w:p w14:paraId="6C8B5772">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_Toc17124 </w:instrText>
          </w:r>
          <w:r>
            <w:rPr>
              <w:rFonts w:hint="eastAsia" w:ascii="宋体" w:hAnsi="宋体"/>
              <w:szCs w:val="20"/>
            </w:rPr>
            <w:fldChar w:fldCharType="separate"/>
          </w:r>
          <w:r>
            <w:rPr>
              <w:rFonts w:hint="eastAsia" w:ascii="黑体" w:hAnsi="黑体" w:eastAsia="黑体" w:cs="黑体"/>
              <w:bCs/>
              <w:szCs w:val="28"/>
            </w:rPr>
            <w:t>2.1  设计思想</w:t>
          </w:r>
          <w:r>
            <w:tab/>
          </w:r>
          <w:r>
            <w:fldChar w:fldCharType="begin"/>
          </w:r>
          <w:r>
            <w:instrText xml:space="preserve"> PAGEREF _Toc17124 \h </w:instrText>
          </w:r>
          <w:r>
            <w:fldChar w:fldCharType="separate"/>
          </w:r>
          <w:r>
            <w:t>4</w:t>
          </w:r>
          <w:r>
            <w:fldChar w:fldCharType="end"/>
          </w:r>
          <w:r>
            <w:rPr>
              <w:rFonts w:hint="eastAsia" w:ascii="宋体" w:hAnsi="宋体"/>
              <w:szCs w:val="20"/>
            </w:rPr>
            <w:fldChar w:fldCharType="end"/>
          </w:r>
        </w:p>
        <w:p w14:paraId="4E5C250B">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_Toc32352 </w:instrText>
          </w:r>
          <w:r>
            <w:rPr>
              <w:rFonts w:hint="eastAsia" w:ascii="宋体" w:hAnsi="宋体"/>
              <w:szCs w:val="20"/>
            </w:rPr>
            <w:fldChar w:fldCharType="separate"/>
          </w:r>
          <w:r>
            <w:rPr>
              <w:rFonts w:hint="eastAsia" w:ascii="黑体" w:hAnsi="黑体" w:eastAsia="黑体" w:cs="黑体"/>
              <w:bCs/>
              <w:szCs w:val="28"/>
            </w:rPr>
            <w:t>2.2  技术路线</w:t>
          </w:r>
          <w:r>
            <w:tab/>
          </w:r>
          <w:r>
            <w:fldChar w:fldCharType="begin"/>
          </w:r>
          <w:r>
            <w:instrText xml:space="preserve"> PAGEREF _Toc32352 \h </w:instrText>
          </w:r>
          <w:r>
            <w:fldChar w:fldCharType="separate"/>
          </w:r>
          <w:r>
            <w:t>6</w:t>
          </w:r>
          <w:r>
            <w:fldChar w:fldCharType="end"/>
          </w:r>
          <w:r>
            <w:rPr>
              <w:rFonts w:hint="eastAsia" w:ascii="宋体" w:hAnsi="宋体"/>
              <w:szCs w:val="20"/>
            </w:rPr>
            <w:fldChar w:fldCharType="end"/>
          </w:r>
        </w:p>
        <w:p w14:paraId="15FBB046">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_Toc16979 </w:instrText>
          </w:r>
          <w:r>
            <w:rPr>
              <w:rFonts w:hint="eastAsia" w:ascii="宋体" w:hAnsi="宋体"/>
              <w:szCs w:val="20"/>
            </w:rPr>
            <w:fldChar w:fldCharType="separate"/>
          </w:r>
          <w:r>
            <w:rPr>
              <w:rFonts w:hint="eastAsia" w:ascii="黑体" w:hAnsi="黑体" w:eastAsia="黑体" w:cs="黑体"/>
              <w:bCs/>
              <w:szCs w:val="28"/>
            </w:rPr>
            <w:t>2.3  代码原创说明</w:t>
          </w:r>
          <w:r>
            <w:tab/>
          </w:r>
          <w:r>
            <w:fldChar w:fldCharType="begin"/>
          </w:r>
          <w:r>
            <w:instrText xml:space="preserve"> PAGEREF _Toc16979 \h </w:instrText>
          </w:r>
          <w:r>
            <w:fldChar w:fldCharType="separate"/>
          </w:r>
          <w:r>
            <w:t>6</w:t>
          </w:r>
          <w:r>
            <w:fldChar w:fldCharType="end"/>
          </w:r>
          <w:r>
            <w:rPr>
              <w:rFonts w:hint="eastAsia" w:ascii="宋体" w:hAnsi="宋体"/>
              <w:szCs w:val="20"/>
            </w:rPr>
            <w:fldChar w:fldCharType="end"/>
          </w:r>
        </w:p>
        <w:p w14:paraId="6704EE18">
          <w:pPr>
            <w:pStyle w:val="7"/>
            <w:tabs>
              <w:tab w:val="right" w:leader="dot" w:pos="9404"/>
            </w:tabs>
          </w:pPr>
          <w:r>
            <w:rPr>
              <w:rFonts w:hint="eastAsia" w:ascii="宋体" w:hAnsi="宋体"/>
              <w:szCs w:val="20"/>
            </w:rPr>
            <w:fldChar w:fldCharType="begin"/>
          </w:r>
          <w:r>
            <w:rPr>
              <w:rFonts w:hint="eastAsia" w:ascii="宋体" w:hAnsi="宋体"/>
              <w:szCs w:val="20"/>
            </w:rPr>
            <w:instrText xml:space="preserve"> HYPERLINK \l _Toc28470 </w:instrText>
          </w:r>
          <w:r>
            <w:rPr>
              <w:rFonts w:hint="eastAsia" w:ascii="宋体" w:hAnsi="宋体"/>
              <w:szCs w:val="20"/>
            </w:rPr>
            <w:fldChar w:fldCharType="separate"/>
          </w:r>
          <w:r>
            <w:rPr>
              <w:rFonts w:hint="eastAsia"/>
            </w:rPr>
            <w:t>第 3 章 项目介绍</w:t>
          </w:r>
          <w:r>
            <w:tab/>
          </w:r>
          <w:r>
            <w:fldChar w:fldCharType="begin"/>
          </w:r>
          <w:r>
            <w:instrText xml:space="preserve"> PAGEREF _Toc28470 \h </w:instrText>
          </w:r>
          <w:r>
            <w:fldChar w:fldCharType="separate"/>
          </w:r>
          <w:r>
            <w:t>7</w:t>
          </w:r>
          <w:r>
            <w:fldChar w:fldCharType="end"/>
          </w:r>
          <w:r>
            <w:rPr>
              <w:rFonts w:hint="eastAsia" w:ascii="宋体" w:hAnsi="宋体"/>
              <w:szCs w:val="20"/>
            </w:rPr>
            <w:fldChar w:fldCharType="end"/>
          </w:r>
        </w:p>
        <w:p w14:paraId="6FA24326">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_Toc10886 </w:instrText>
          </w:r>
          <w:r>
            <w:rPr>
              <w:rFonts w:hint="eastAsia" w:ascii="宋体" w:hAnsi="宋体"/>
              <w:szCs w:val="20"/>
            </w:rPr>
            <w:fldChar w:fldCharType="separate"/>
          </w:r>
          <w:r>
            <w:rPr>
              <w:rFonts w:hint="eastAsia" w:ascii="黑体" w:hAnsi="黑体" w:eastAsia="黑体" w:cs="黑体"/>
              <w:bCs/>
              <w:szCs w:val="28"/>
            </w:rPr>
            <w:t>3.1  功能介绍</w:t>
          </w:r>
          <w:r>
            <w:tab/>
          </w:r>
          <w:r>
            <w:fldChar w:fldCharType="begin"/>
          </w:r>
          <w:r>
            <w:instrText xml:space="preserve"> PAGEREF _Toc10886 \h </w:instrText>
          </w:r>
          <w:r>
            <w:fldChar w:fldCharType="separate"/>
          </w:r>
          <w:r>
            <w:t>7</w:t>
          </w:r>
          <w:r>
            <w:fldChar w:fldCharType="end"/>
          </w:r>
          <w:r>
            <w:rPr>
              <w:rFonts w:hint="eastAsia" w:ascii="宋体" w:hAnsi="宋体"/>
              <w:szCs w:val="20"/>
            </w:rPr>
            <w:fldChar w:fldCharType="end"/>
          </w:r>
        </w:p>
        <w:p w14:paraId="49E7883E">
          <w:pPr>
            <w:pStyle w:val="7"/>
            <w:tabs>
              <w:tab w:val="right" w:leader="dot" w:pos="9404"/>
            </w:tabs>
          </w:pPr>
          <w:r>
            <w:rPr>
              <w:rFonts w:hint="eastAsia" w:ascii="宋体" w:hAnsi="宋体"/>
              <w:szCs w:val="20"/>
            </w:rPr>
            <w:fldChar w:fldCharType="begin"/>
          </w:r>
          <w:r>
            <w:rPr>
              <w:rFonts w:hint="eastAsia" w:ascii="宋体" w:hAnsi="宋体"/>
              <w:szCs w:val="20"/>
            </w:rPr>
            <w:instrText xml:space="preserve"> HYPERLINK \l _Toc28188 </w:instrText>
          </w:r>
          <w:r>
            <w:rPr>
              <w:rFonts w:hint="eastAsia" w:ascii="宋体" w:hAnsi="宋体"/>
              <w:szCs w:val="20"/>
            </w:rPr>
            <w:fldChar w:fldCharType="separate"/>
          </w:r>
          <w:r>
            <w:rPr>
              <w:rFonts w:hint="eastAsia"/>
            </w:rPr>
            <w:t>第 4 章 实验测试</w:t>
          </w:r>
          <w:r>
            <w:tab/>
          </w:r>
          <w:r>
            <w:fldChar w:fldCharType="begin"/>
          </w:r>
          <w:r>
            <w:instrText xml:space="preserve"> PAGEREF _Toc28188 \h </w:instrText>
          </w:r>
          <w:r>
            <w:fldChar w:fldCharType="separate"/>
          </w:r>
          <w:r>
            <w:t>11</w:t>
          </w:r>
          <w:r>
            <w:fldChar w:fldCharType="end"/>
          </w:r>
          <w:r>
            <w:rPr>
              <w:rFonts w:hint="eastAsia" w:ascii="宋体" w:hAnsi="宋体"/>
              <w:szCs w:val="20"/>
            </w:rPr>
            <w:fldChar w:fldCharType="end"/>
          </w:r>
        </w:p>
        <w:p w14:paraId="56649B18">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_Toc20595 </w:instrText>
          </w:r>
          <w:r>
            <w:rPr>
              <w:rFonts w:hint="eastAsia" w:ascii="宋体" w:hAnsi="宋体"/>
              <w:szCs w:val="20"/>
            </w:rPr>
            <w:fldChar w:fldCharType="separate"/>
          </w:r>
          <w:r>
            <w:rPr>
              <w:rFonts w:hint="eastAsia" w:ascii="黑体" w:hAnsi="黑体" w:eastAsia="黑体" w:cs="黑体"/>
              <w:bCs/>
              <w:szCs w:val="28"/>
            </w:rPr>
            <w:t>4.1  测试说明</w:t>
          </w:r>
          <w:r>
            <w:tab/>
          </w:r>
          <w:r>
            <w:fldChar w:fldCharType="begin"/>
          </w:r>
          <w:r>
            <w:instrText xml:space="preserve"> PAGEREF _Toc20595 \h </w:instrText>
          </w:r>
          <w:r>
            <w:fldChar w:fldCharType="separate"/>
          </w:r>
          <w:r>
            <w:t>11</w:t>
          </w:r>
          <w:r>
            <w:fldChar w:fldCharType="end"/>
          </w:r>
          <w:r>
            <w:rPr>
              <w:rFonts w:hint="eastAsia" w:ascii="宋体" w:hAnsi="宋体"/>
              <w:szCs w:val="20"/>
            </w:rPr>
            <w:fldChar w:fldCharType="end"/>
          </w:r>
        </w:p>
        <w:p w14:paraId="55FCA9DF">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_Toc14612 </w:instrText>
          </w:r>
          <w:r>
            <w:rPr>
              <w:rFonts w:hint="eastAsia" w:ascii="宋体" w:hAnsi="宋体"/>
              <w:szCs w:val="20"/>
            </w:rPr>
            <w:fldChar w:fldCharType="separate"/>
          </w:r>
          <w:r>
            <w:rPr>
              <w:rFonts w:hint="eastAsia" w:ascii="黑体" w:hAnsi="黑体" w:eastAsia="黑体" w:cs="黑体"/>
              <w:bCs/>
              <w:szCs w:val="28"/>
            </w:rPr>
            <w:t>4.2  测试结果</w:t>
          </w:r>
          <w:r>
            <w:tab/>
          </w:r>
          <w:r>
            <w:fldChar w:fldCharType="begin"/>
          </w:r>
          <w:r>
            <w:instrText xml:space="preserve"> PAGEREF _Toc14612 \h </w:instrText>
          </w:r>
          <w:r>
            <w:fldChar w:fldCharType="separate"/>
          </w:r>
          <w:r>
            <w:t>13</w:t>
          </w:r>
          <w:r>
            <w:fldChar w:fldCharType="end"/>
          </w:r>
          <w:r>
            <w:rPr>
              <w:rFonts w:hint="eastAsia" w:ascii="宋体" w:hAnsi="宋体"/>
              <w:szCs w:val="20"/>
            </w:rPr>
            <w:fldChar w:fldCharType="end"/>
          </w:r>
        </w:p>
        <w:p w14:paraId="769BAB69">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_Toc19314 </w:instrText>
          </w:r>
          <w:r>
            <w:rPr>
              <w:rFonts w:hint="eastAsia" w:ascii="宋体" w:hAnsi="宋体"/>
              <w:szCs w:val="20"/>
            </w:rPr>
            <w:fldChar w:fldCharType="separate"/>
          </w:r>
          <w:r>
            <w:rPr>
              <w:rFonts w:hint="eastAsia" w:ascii="黑体" w:hAnsi="黑体" w:eastAsia="黑体" w:cs="黑体"/>
              <w:bCs/>
              <w:szCs w:val="28"/>
            </w:rPr>
            <w:t>4.3  额外实验</w:t>
          </w:r>
          <w:r>
            <w:tab/>
          </w:r>
          <w:r>
            <w:fldChar w:fldCharType="begin"/>
          </w:r>
          <w:r>
            <w:instrText xml:space="preserve"> PAGEREF _Toc19314 \h </w:instrText>
          </w:r>
          <w:r>
            <w:fldChar w:fldCharType="separate"/>
          </w:r>
          <w:r>
            <w:t>17</w:t>
          </w:r>
          <w:r>
            <w:fldChar w:fldCharType="end"/>
          </w:r>
          <w:r>
            <w:rPr>
              <w:rFonts w:hint="eastAsia" w:ascii="宋体" w:hAnsi="宋体"/>
              <w:szCs w:val="20"/>
            </w:rPr>
            <w:fldChar w:fldCharType="end"/>
          </w:r>
        </w:p>
        <w:p w14:paraId="01512C61">
          <w:pPr>
            <w:pStyle w:val="7"/>
            <w:tabs>
              <w:tab w:val="right" w:leader="dot" w:pos="9404"/>
            </w:tabs>
          </w:pPr>
          <w:r>
            <w:rPr>
              <w:rFonts w:hint="eastAsia" w:ascii="宋体" w:hAnsi="宋体"/>
              <w:szCs w:val="20"/>
            </w:rPr>
            <w:fldChar w:fldCharType="begin"/>
          </w:r>
          <w:r>
            <w:rPr>
              <w:rFonts w:hint="eastAsia" w:ascii="宋体" w:hAnsi="宋体"/>
              <w:szCs w:val="20"/>
            </w:rPr>
            <w:instrText xml:space="preserve"> HYPERLINK \l _Toc32262 </w:instrText>
          </w:r>
          <w:r>
            <w:rPr>
              <w:rFonts w:hint="eastAsia" w:ascii="宋体" w:hAnsi="宋体"/>
              <w:szCs w:val="20"/>
            </w:rPr>
            <w:fldChar w:fldCharType="separate"/>
          </w:r>
          <w:r>
            <w:rPr>
              <w:rFonts w:hint="eastAsia"/>
            </w:rPr>
            <w:t>第 5 章 实现难点说明</w:t>
          </w:r>
          <w:r>
            <w:tab/>
          </w:r>
          <w:r>
            <w:fldChar w:fldCharType="begin"/>
          </w:r>
          <w:r>
            <w:instrText xml:space="preserve"> PAGEREF _Toc32262 \h </w:instrText>
          </w:r>
          <w:r>
            <w:fldChar w:fldCharType="separate"/>
          </w:r>
          <w:r>
            <w:t>20</w:t>
          </w:r>
          <w:r>
            <w:fldChar w:fldCharType="end"/>
          </w:r>
          <w:r>
            <w:rPr>
              <w:rFonts w:hint="eastAsia" w:ascii="宋体" w:hAnsi="宋体"/>
              <w:szCs w:val="20"/>
            </w:rPr>
            <w:fldChar w:fldCharType="end"/>
          </w:r>
        </w:p>
        <w:p w14:paraId="27B5A41B">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_Toc32242 </w:instrText>
          </w:r>
          <w:r>
            <w:rPr>
              <w:rFonts w:hint="eastAsia" w:ascii="宋体" w:hAnsi="宋体"/>
              <w:szCs w:val="20"/>
            </w:rPr>
            <w:fldChar w:fldCharType="separate"/>
          </w:r>
          <w:r>
            <w:rPr>
              <w:rFonts w:hint="eastAsia" w:ascii="黑体" w:hAnsi="黑体" w:eastAsia="黑体" w:cs="黑体"/>
              <w:bCs/>
              <w:szCs w:val="28"/>
            </w:rPr>
            <w:t>5.1  sched_ext 向 K1 Linux 6.6 的移植</w:t>
          </w:r>
          <w:r>
            <w:tab/>
          </w:r>
          <w:r>
            <w:fldChar w:fldCharType="begin"/>
          </w:r>
          <w:r>
            <w:instrText xml:space="preserve"> PAGEREF _Toc32242 \h </w:instrText>
          </w:r>
          <w:r>
            <w:fldChar w:fldCharType="separate"/>
          </w:r>
          <w:r>
            <w:t>20</w:t>
          </w:r>
          <w:r>
            <w:fldChar w:fldCharType="end"/>
          </w:r>
          <w:r>
            <w:rPr>
              <w:rFonts w:hint="eastAsia" w:ascii="宋体" w:hAnsi="宋体"/>
              <w:szCs w:val="20"/>
            </w:rPr>
            <w:fldChar w:fldCharType="end"/>
          </w:r>
        </w:p>
        <w:p w14:paraId="2F741DBF">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_Toc31015 </w:instrText>
          </w:r>
          <w:r>
            <w:rPr>
              <w:rFonts w:hint="eastAsia" w:ascii="宋体" w:hAnsi="宋体"/>
              <w:szCs w:val="20"/>
            </w:rPr>
            <w:fldChar w:fldCharType="separate"/>
          </w:r>
          <w:r>
            <w:rPr>
              <w:rFonts w:hint="eastAsia" w:ascii="黑体" w:hAnsi="黑体" w:eastAsia="黑体" w:cs="黑体"/>
              <w:bCs/>
              <w:szCs w:val="28"/>
            </w:rPr>
            <w:t>5.2  RVV 工作线程的可靠识别与分组</w:t>
          </w:r>
          <w:r>
            <w:tab/>
          </w:r>
          <w:r>
            <w:fldChar w:fldCharType="begin"/>
          </w:r>
          <w:r>
            <w:instrText xml:space="preserve"> PAGEREF _Toc31015 \h </w:instrText>
          </w:r>
          <w:r>
            <w:fldChar w:fldCharType="separate"/>
          </w:r>
          <w:r>
            <w:t>20</w:t>
          </w:r>
          <w:r>
            <w:fldChar w:fldCharType="end"/>
          </w:r>
          <w:r>
            <w:rPr>
              <w:rFonts w:hint="eastAsia" w:ascii="宋体" w:hAnsi="宋体"/>
              <w:szCs w:val="20"/>
            </w:rPr>
            <w:fldChar w:fldCharType="end"/>
          </w:r>
        </w:p>
        <w:p w14:paraId="77EADF6C">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_Toc4301 </w:instrText>
          </w:r>
          <w:r>
            <w:rPr>
              <w:rFonts w:hint="eastAsia" w:ascii="宋体" w:hAnsi="宋体"/>
              <w:szCs w:val="20"/>
            </w:rPr>
            <w:fldChar w:fldCharType="separate"/>
          </w:r>
          <w:r>
            <w:rPr>
              <w:rFonts w:hint="eastAsia" w:ascii="黑体" w:hAnsi="黑体" w:eastAsia="黑体" w:cs="黑体"/>
              <w:bCs/>
              <w:szCs w:val="28"/>
            </w:rPr>
            <w:t>5.3  性能采集、归因与口径控制</w:t>
          </w:r>
          <w:r>
            <w:tab/>
          </w:r>
          <w:r>
            <w:fldChar w:fldCharType="begin"/>
          </w:r>
          <w:r>
            <w:instrText xml:space="preserve"> PAGEREF _Toc4301 \h </w:instrText>
          </w:r>
          <w:r>
            <w:fldChar w:fldCharType="separate"/>
          </w:r>
          <w:r>
            <w:t>20</w:t>
          </w:r>
          <w:r>
            <w:fldChar w:fldCharType="end"/>
          </w:r>
          <w:r>
            <w:rPr>
              <w:rFonts w:hint="eastAsia" w:ascii="宋体" w:hAnsi="宋体"/>
              <w:szCs w:val="20"/>
            </w:rPr>
            <w:fldChar w:fldCharType="end"/>
          </w:r>
        </w:p>
        <w:p w14:paraId="29602BE4">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_Toc32633 </w:instrText>
          </w:r>
          <w:r>
            <w:rPr>
              <w:rFonts w:hint="eastAsia" w:ascii="宋体" w:hAnsi="宋体"/>
              <w:szCs w:val="20"/>
            </w:rPr>
            <w:fldChar w:fldCharType="separate"/>
          </w:r>
          <w:r>
            <w:rPr>
              <w:rFonts w:hint="eastAsia" w:ascii="黑体" w:hAnsi="黑体" w:eastAsia="黑体" w:cs="黑体"/>
              <w:bCs/>
              <w:szCs w:val="28"/>
            </w:rPr>
            <w:t>5.4  用户态阶段提示与内核调度协同</w:t>
          </w:r>
          <w:r>
            <w:tab/>
          </w:r>
          <w:r>
            <w:fldChar w:fldCharType="begin"/>
          </w:r>
          <w:r>
            <w:instrText xml:space="preserve"> PAGEREF _Toc32633 \h </w:instrText>
          </w:r>
          <w:r>
            <w:fldChar w:fldCharType="separate"/>
          </w:r>
          <w:r>
            <w:t>21</w:t>
          </w:r>
          <w:r>
            <w:fldChar w:fldCharType="end"/>
          </w:r>
          <w:r>
            <w:rPr>
              <w:rFonts w:hint="eastAsia" w:ascii="宋体" w:hAnsi="宋体"/>
              <w:szCs w:val="20"/>
            </w:rPr>
            <w:fldChar w:fldCharType="end"/>
          </w:r>
        </w:p>
        <w:p w14:paraId="62491E53">
          <w:pPr>
            <w:pStyle w:val="7"/>
            <w:tabs>
              <w:tab w:val="right" w:leader="dot" w:pos="9404"/>
            </w:tabs>
          </w:pPr>
          <w:r>
            <w:rPr>
              <w:rFonts w:hint="eastAsia" w:ascii="宋体" w:hAnsi="宋体"/>
              <w:szCs w:val="20"/>
            </w:rPr>
            <w:fldChar w:fldCharType="begin"/>
          </w:r>
          <w:r>
            <w:rPr>
              <w:rFonts w:hint="eastAsia" w:ascii="宋体" w:hAnsi="宋体"/>
              <w:szCs w:val="20"/>
            </w:rPr>
            <w:instrText xml:space="preserve"> HYPERLINK \l _Toc24138 </w:instrText>
          </w:r>
          <w:r>
            <w:rPr>
              <w:rFonts w:hint="eastAsia" w:ascii="宋体" w:hAnsi="宋体"/>
              <w:szCs w:val="20"/>
            </w:rPr>
            <w:fldChar w:fldCharType="separate"/>
          </w:r>
          <w:r>
            <w:rPr>
              <w:rFonts w:hint="eastAsia"/>
            </w:rPr>
            <w:t>第 6 章 总 结</w:t>
          </w:r>
          <w:r>
            <w:tab/>
          </w:r>
          <w:r>
            <w:fldChar w:fldCharType="begin"/>
          </w:r>
          <w:r>
            <w:instrText xml:space="preserve"> PAGEREF _Toc24138 \h </w:instrText>
          </w:r>
          <w:r>
            <w:fldChar w:fldCharType="separate"/>
          </w:r>
          <w:r>
            <w:t>21</w:t>
          </w:r>
          <w:r>
            <w:fldChar w:fldCharType="end"/>
          </w:r>
          <w:r>
            <w:rPr>
              <w:rFonts w:hint="eastAsia" w:ascii="宋体" w:hAnsi="宋体"/>
              <w:szCs w:val="20"/>
            </w:rPr>
            <w:fldChar w:fldCharType="end"/>
          </w:r>
        </w:p>
        <w:p w14:paraId="650A5D0A">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_Toc7760 </w:instrText>
          </w:r>
          <w:r>
            <w:rPr>
              <w:rFonts w:hint="eastAsia" w:ascii="宋体" w:hAnsi="宋体"/>
              <w:szCs w:val="20"/>
            </w:rPr>
            <w:fldChar w:fldCharType="separate"/>
          </w:r>
          <w:r>
            <w:rPr>
              <w:rFonts w:hint="eastAsia" w:ascii="黑体" w:hAnsi="黑体" w:eastAsia="黑体" w:cs="黑体"/>
              <w:bCs/>
              <w:szCs w:val="28"/>
            </w:rPr>
            <w:t>6.1  项目完成情况</w:t>
          </w:r>
          <w:r>
            <w:tab/>
          </w:r>
          <w:r>
            <w:fldChar w:fldCharType="begin"/>
          </w:r>
          <w:r>
            <w:instrText xml:space="preserve"> PAGEREF _Toc7760 \h </w:instrText>
          </w:r>
          <w:r>
            <w:fldChar w:fldCharType="separate"/>
          </w:r>
          <w:r>
            <w:t>21</w:t>
          </w:r>
          <w:r>
            <w:fldChar w:fldCharType="end"/>
          </w:r>
          <w:r>
            <w:rPr>
              <w:rFonts w:hint="eastAsia" w:ascii="宋体" w:hAnsi="宋体"/>
              <w:szCs w:val="20"/>
            </w:rPr>
            <w:fldChar w:fldCharType="end"/>
          </w:r>
        </w:p>
        <w:p w14:paraId="14AFC867">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_Toc29188 </w:instrText>
          </w:r>
          <w:r>
            <w:rPr>
              <w:rFonts w:hint="eastAsia" w:ascii="宋体" w:hAnsi="宋体"/>
              <w:szCs w:val="20"/>
            </w:rPr>
            <w:fldChar w:fldCharType="separate"/>
          </w:r>
          <w:r>
            <w:rPr>
              <w:rFonts w:hint="eastAsia" w:ascii="黑体" w:hAnsi="黑体" w:eastAsia="黑体" w:cs="黑体"/>
              <w:bCs/>
              <w:szCs w:val="28"/>
            </w:rPr>
            <w:t>6.2  核心结论与项目贡献</w:t>
          </w:r>
          <w:r>
            <w:tab/>
          </w:r>
          <w:r>
            <w:fldChar w:fldCharType="begin"/>
          </w:r>
          <w:r>
            <w:instrText xml:space="preserve"> PAGEREF _Toc29188 \h </w:instrText>
          </w:r>
          <w:r>
            <w:fldChar w:fldCharType="separate"/>
          </w:r>
          <w:r>
            <w:t>21</w:t>
          </w:r>
          <w:r>
            <w:fldChar w:fldCharType="end"/>
          </w:r>
          <w:r>
            <w:rPr>
              <w:rFonts w:hint="eastAsia" w:ascii="宋体" w:hAnsi="宋体"/>
              <w:szCs w:val="20"/>
            </w:rPr>
            <w:fldChar w:fldCharType="end"/>
          </w:r>
        </w:p>
        <w:p w14:paraId="30FBC7E3">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_Toc5 </w:instrText>
          </w:r>
          <w:r>
            <w:rPr>
              <w:rFonts w:hint="eastAsia" w:ascii="宋体" w:hAnsi="宋体"/>
              <w:szCs w:val="20"/>
            </w:rPr>
            <w:fldChar w:fldCharType="separate"/>
          </w:r>
          <w:r>
            <w:rPr>
              <w:rFonts w:hint="eastAsia" w:ascii="黑体" w:hAnsi="黑体" w:eastAsia="黑体" w:cs="黑体"/>
              <w:bCs/>
              <w:szCs w:val="28"/>
            </w:rPr>
            <w:t>6.3  局限与后续工作</w:t>
          </w:r>
          <w:r>
            <w:tab/>
          </w:r>
          <w:r>
            <w:fldChar w:fldCharType="begin"/>
          </w:r>
          <w:r>
            <w:instrText xml:space="preserve"> PAGEREF _Toc5 \h </w:instrText>
          </w:r>
          <w:r>
            <w:fldChar w:fldCharType="separate"/>
          </w:r>
          <w:r>
            <w:t>22</w:t>
          </w:r>
          <w:r>
            <w:fldChar w:fldCharType="end"/>
          </w:r>
          <w:r>
            <w:rPr>
              <w:rFonts w:hint="eastAsia" w:ascii="宋体" w:hAnsi="宋体"/>
              <w:szCs w:val="20"/>
            </w:rPr>
            <w:fldChar w:fldCharType="end"/>
          </w:r>
        </w:p>
        <w:p w14:paraId="4253DA3E">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_Toc11610 </w:instrText>
          </w:r>
          <w:r>
            <w:rPr>
              <w:rFonts w:hint="eastAsia" w:ascii="宋体" w:hAnsi="宋体"/>
              <w:szCs w:val="20"/>
            </w:rPr>
            <w:fldChar w:fldCharType="separate"/>
          </w:r>
          <w:r>
            <w:rPr>
              <w:rFonts w:hint="eastAsia" w:ascii="黑体" w:hAnsi="黑体" w:eastAsia="黑体" w:cs="黑体"/>
              <w:bCs/>
              <w:szCs w:val="28"/>
            </w:rPr>
            <w:t>6.4  开源项目致谢</w:t>
          </w:r>
          <w:r>
            <w:tab/>
          </w:r>
          <w:r>
            <w:fldChar w:fldCharType="begin"/>
          </w:r>
          <w:r>
            <w:instrText xml:space="preserve"> PAGEREF _Toc11610 \h </w:instrText>
          </w:r>
          <w:r>
            <w:fldChar w:fldCharType="separate"/>
          </w:r>
          <w:r>
            <w:t>22</w:t>
          </w:r>
          <w:r>
            <w:fldChar w:fldCharType="end"/>
          </w:r>
          <w:r>
            <w:rPr>
              <w:rFonts w:hint="eastAsia" w:ascii="宋体" w:hAnsi="宋体"/>
              <w:szCs w:val="20"/>
            </w:rPr>
            <w:fldChar w:fldCharType="end"/>
          </w:r>
        </w:p>
        <w:p w14:paraId="18D4472B">
          <w:pPr>
            <w:ind w:firstLine="480"/>
            <w:rPr>
              <w:rFonts w:hint="eastAsia" w:ascii="宋体" w:hAnsi="宋体" w:eastAsiaTheme="minorEastAsia" w:cstheme="minorBidi"/>
              <w:kern w:val="2"/>
              <w:sz w:val="21"/>
              <w:szCs w:val="20"/>
              <w:lang w:val="en-US" w:eastAsia="zh-CN" w:bidi="ar-SA"/>
            </w:rPr>
          </w:pPr>
          <w:r>
            <w:rPr>
              <w:rFonts w:hint="eastAsia" w:ascii="宋体" w:hAnsi="宋体"/>
              <w:szCs w:val="20"/>
            </w:rPr>
            <w:fldChar w:fldCharType="end"/>
          </w:r>
        </w:p>
      </w:sdtContent>
    </w:sdt>
    <w:p w14:paraId="6CD98B0A">
      <w:pPr>
        <w:ind w:firstLine="480"/>
        <w:rPr>
          <w:rFonts w:hint="eastAsia" w:ascii="宋体" w:hAnsi="宋体" w:eastAsiaTheme="minorEastAsia" w:cstheme="minorBidi"/>
          <w:kern w:val="2"/>
          <w:sz w:val="21"/>
          <w:szCs w:val="20"/>
          <w:lang w:val="en-US" w:eastAsia="zh-CN" w:bidi="ar-SA"/>
        </w:rPr>
        <w:sectPr>
          <w:headerReference r:id="rId4" w:type="first"/>
          <w:footerReference r:id="rId6" w:type="first"/>
          <w:headerReference r:id="rId3" w:type="default"/>
          <w:footerReference r:id="rId5" w:type="default"/>
          <w:pgSz w:w="12240" w:h="15840"/>
          <w:pgMar w:top="1701" w:right="1418" w:bottom="1134" w:left="1418" w:header="720" w:footer="720" w:gutter="0"/>
          <w:cols w:space="720" w:num="1"/>
          <w:titlePg/>
        </w:sectPr>
      </w:pPr>
    </w:p>
    <w:p w14:paraId="2974E29D">
      <w:pPr>
        <w:rPr>
          <w:rFonts w:hint="eastAsia" w:asciiTheme="majorEastAsia" w:hAnsiTheme="majorEastAsia" w:eastAsiaTheme="majorEastAsia" w:cstheme="majorEastAsia"/>
          <w:sz w:val="24"/>
          <w:szCs w:val="24"/>
        </w:rPr>
      </w:pPr>
    </w:p>
    <w:p w14:paraId="27D772B5">
      <w:pPr>
        <w:pStyle w:val="2"/>
        <w:bidi w:val="0"/>
        <w:rPr>
          <w:rFonts w:hint="eastAsia"/>
        </w:rPr>
      </w:pPr>
      <w:r>
        <w:rPr>
          <w:rFonts w:hint="eastAsia"/>
        </w:rPr>
        <w:t xml:space="preserve"> </w:t>
      </w:r>
      <w:bookmarkStart w:id="1" w:name="_Toc661"/>
      <w:r>
        <w:rPr>
          <w:rFonts w:hint="eastAsia"/>
        </w:rPr>
        <w:t>绪 论</w:t>
      </w:r>
      <w:bookmarkEnd w:id="1"/>
    </w:p>
    <w:p w14:paraId="47794562">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2" w:name="_Toc25314"/>
      <w:r>
        <w:rPr>
          <w:rFonts w:hint="eastAsia" w:ascii="黑体" w:hAnsi="黑体" w:eastAsia="黑体" w:cs="黑体"/>
          <w:b w:val="0"/>
          <w:bCs/>
          <w:sz w:val="28"/>
          <w:szCs w:val="28"/>
        </w:rPr>
        <w:t>1.1  目的与意义</w:t>
      </w:r>
      <w:bookmarkEnd w:id="2"/>
    </w:p>
    <w:p w14:paraId="094AB78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随着大语言模型（LLM）在边缘端部署需求的增长，如何在有限 CPU 资源下高效运行推理服务成为关键工程问题。RISC-V 架构的向量扩展（RVV；RISC-V International，2021）提供了重要的 SIMD 加速能力，但 Linux 默认公平调度器对推理负载中工作线程的同步关系与向量计算状态均无感知：工作线程在执行并行计算图时频繁通过 futex 进行同步，调度器因不了解线程间的协作依赖，可能将同组线程分时调度甚至跨核迁移，使先完成计算的线程在同步点长时间空等落伍者，严重降低了计算图的执行效率。本作品旨在通过内核级调度策略的定制化设计，提升 RISC-V 平台上 LLM 推理服务的吞吐与响应延迟。</w:t>
      </w:r>
    </w:p>
    <w:p w14:paraId="65D3FD8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为此，本作品基于 Linux sched_ext 可编程内核调度框架（sched-ext project，2023；Linux Kernel Contributors，2024），设计并实现了一套感知 RVV 向量计算状态的调度系统。系统在运行时识别使用向量扩展的推理工作线程，为其建立稳定 CPU 映射和专用向量调度队列；同时接收推理框架注入的阶段提示（Prefill／Decode），对计算特征不同的推理阶段实施差异化调度。</w:t>
      </w:r>
    </w:p>
    <w:p w14:paraId="6311882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本作品的意义主要体现在以下方面：（1）为 RISC-V 等新兴架构上 LLM 推理的调度优化提供了可复现的内核级工程方案；（2）验证了 sched_ext 框架在 AI 推理场景中的可行性与有效性，拓展了可编程内核调度的应用边界；（3）构建了完整的跨编译、端到端 Benchmark 体系，可为后续研究提供标准化测试基础设施。</w:t>
      </w:r>
    </w:p>
    <w:p w14:paraId="335B5EA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7E582BF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34D6131">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3" w:name="_Toc31947"/>
      <w:r>
        <w:rPr>
          <w:rFonts w:hint="eastAsia" w:ascii="黑体" w:hAnsi="黑体" w:eastAsia="黑体" w:cs="黑体"/>
          <w:b w:val="0"/>
          <w:bCs/>
          <w:sz w:val="28"/>
          <w:szCs w:val="28"/>
        </w:rPr>
        <w:t>1.2  项目背景</w:t>
      </w:r>
      <w:bookmarkEnd w:id="3"/>
    </w:p>
    <w:p w14:paraId="1521487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CPU 侧 LLM 推理引擎（如 ggml-org（2023）开源的 llama.cpp）通过工作线程池并行执行计算图，多个工作线程在每层算子处理前后通过 futex 屏障进行同步。默认公平调度器不了解这些线程间的协作关系，将各 worker 当作独立任务分时调度。当某个 worker 被抢占时，同组其余线程全部在 barrier 处阻塞等待，计算图的整体推进节奏受制于最慢的线程。</w:t>
      </w:r>
    </w:p>
    <w:p w14:paraId="0F6AF1D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近年来，该方向涌现了若干探索性工作。Son（</w:t>
      </w:r>
      <w:r>
        <w:rPr>
          <w:rFonts w:hint="eastAsia" w:asciiTheme="majorEastAsia" w:hAnsiTheme="majorEastAsia" w:eastAsiaTheme="majorEastAsia" w:cstheme="majorEastAsia"/>
          <w:sz w:val="24"/>
          <w:szCs w:val="24"/>
          <w:lang w:val="en-US" w:eastAsia="zh-CN"/>
        </w:rPr>
        <w:t xml:space="preserve">Son </w:t>
      </w:r>
      <w:r>
        <w:rPr>
          <w:rFonts w:hint="eastAsia" w:asciiTheme="majorEastAsia" w:hAnsiTheme="majorEastAsia" w:eastAsiaTheme="majorEastAsia" w:cstheme="majorEastAsia"/>
          <w:sz w:val="24"/>
          <w:szCs w:val="24"/>
        </w:rPr>
        <w:t>2026）提出的 Elastic Gang 在自研 Anima OS 内核中实现了推理 worker 的 gang 协同调度，但其并非基于 Linux，且实验使用自研推理引擎。Xu 等（</w:t>
      </w:r>
      <w:r>
        <w:rPr>
          <w:rFonts w:hint="eastAsia" w:asciiTheme="majorEastAsia" w:hAnsiTheme="majorEastAsia" w:eastAsiaTheme="majorEastAsia" w:cstheme="majorEastAsia"/>
          <w:sz w:val="24"/>
          <w:szCs w:val="24"/>
          <w:lang w:val="en-US" w:eastAsia="zh-CN"/>
        </w:rPr>
        <w:t xml:space="preserve">Xu </w:t>
      </w:r>
      <w:r>
        <w:rPr>
          <w:rFonts w:hint="eastAsia" w:asciiTheme="majorEastAsia" w:hAnsiTheme="majorEastAsia" w:eastAsiaTheme="majorEastAsia" w:cstheme="majorEastAsia"/>
          <w:sz w:val="24"/>
          <w:szCs w:val="24"/>
        </w:rPr>
        <w:t>2026）提出的 ArcLight 在推理框架内重构了 NUMA 感知的线程调度，相对 llama.cpp 最高取得约 46% 的吞吐提升，但调度位于应用层，OS 仍将各 worker 当作独立任务。Roca 和 Beltran（Roca</w:t>
      </w:r>
      <w:r>
        <w:rPr>
          <w:rFonts w:hint="eastAsia" w:asciiTheme="majorEastAsia" w:hAnsiTheme="majorEastAsia" w:eastAsiaTheme="majorEastAsia" w:cstheme="majorEastAsia"/>
          <w:sz w:val="24"/>
          <w:szCs w:val="24"/>
          <w:lang w:val="en-US" w:eastAsia="zh-CN"/>
        </w:rPr>
        <w:t xml:space="preserve"> </w:t>
      </w:r>
      <w:r>
        <w:rPr>
          <w:rFonts w:hint="eastAsia" w:asciiTheme="majorEastAsia" w:hAnsiTheme="majorEastAsia" w:eastAsiaTheme="majorEastAsia" w:cstheme="majorEastAsia"/>
          <w:sz w:val="24"/>
          <w:szCs w:val="24"/>
        </w:rPr>
        <w:t>2026）在 PPoPP 2026 提出的 SCHED_COOP 通过扩展 glibc 在用户态统一接管 pthread 与 OpenMP 的调度决策，使线程仅在阻塞或主动 yield 时交出核心，在过载测试中最高取得约 2.4 倍提升，其实验证据表明默认公平调度在大量 barrier 同步负载下会严重失效。此外，Gottschlag 等（Gottschlag</w:t>
      </w:r>
      <w:r>
        <w:rPr>
          <w:rFonts w:hint="eastAsia" w:asciiTheme="majorEastAsia" w:hAnsiTheme="majorEastAsia" w:eastAsiaTheme="majorEastAsia" w:cstheme="majorEastAsia"/>
          <w:sz w:val="24"/>
          <w:szCs w:val="24"/>
          <w:lang w:val="en-US" w:eastAsia="zh-CN"/>
        </w:rPr>
        <w:t xml:space="preserve"> </w:t>
      </w:r>
      <w:bookmarkStart w:id="24" w:name="_GoBack"/>
      <w:bookmarkEnd w:id="24"/>
      <w:r>
        <w:rPr>
          <w:rFonts w:hint="eastAsia" w:asciiTheme="majorEastAsia" w:hAnsiTheme="majorEastAsia" w:eastAsiaTheme="majorEastAsia" w:cstheme="majorEastAsia"/>
          <w:sz w:val="24"/>
          <w:szCs w:val="24"/>
        </w:rPr>
        <w:t>2020）提出的 Automatic Core Specialization 等 SIMD 感知工作通过指令异常检测向量任务并将其隔离至专用核心，但目标是为普通任务消除降频干扰而非加速推理本身。</w:t>
      </w:r>
    </w:p>
    <w:p w14:paraId="5BDAFA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综合分析现有工作，该领域存在若干不足。其一，多数工作运行于 x86-64 平台，面向 RISC-V 及其向量扩展的调度优化尚未见系统性探索。其二，调度层次两极分化：Elastic Gang 和 ArcLight 分别走向自研内核与纯应用层两个极端，SCHED_COOP 依赖修改 C 运行库，三者均未利用 Linux sched_ext——一个可在标准内核中加载 BPF 程序实现自定义调度策略、兼具内核级控制力与生态兼容性的框架。其三，缺乏向量计算线程的细粒度区分：SCHED_COOP 统一视任务为协作实体，Elastic Gang 以 gang 为粒度整体调度，均不了解单个 worker 是否正在执行向量计算。其四，用户态与内核态的调度语义协同尚未充分探索：推理框架知晓 Prefill／Decode 阶段，内核调度器掌握 CPU 负载与任务状态，二者之间缺乏低开销的信息通路。</w:t>
      </w:r>
    </w:p>
    <w:p w14:paraId="7A5866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综上，现有研究仍缺少一种运行于标准 Linux、面向 RISC-V 向量扩展，并结合线程协作关系、向量状态和推理阶段进行调度的完整方案。本项目据此设计负载感知的 sched_ext 调度系统，通过 RVV 线程识别、稳定 CPU 映射、分组向量队列和阶段提示减少运行偏斜与同步开销。双模型异步实验表明，该方案可同时提升吞吐、降低首 Token 延迟并大幅减少上下文切换，具体结果见第 4 章。</w:t>
      </w:r>
    </w:p>
    <w:p w14:paraId="6F7D18C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7BAFCA43">
      <w:pPr>
        <w:pStyle w:val="2"/>
        <w:bidi w:val="0"/>
        <w:rPr>
          <w:rFonts w:hint="eastAsia"/>
        </w:rPr>
      </w:pPr>
      <w:bookmarkStart w:id="4" w:name="_Toc3987"/>
      <w:r>
        <w:rPr>
          <w:rFonts w:hint="eastAsia"/>
        </w:rPr>
        <w:t>技 术 理 论</w:t>
      </w:r>
      <w:bookmarkEnd w:id="4"/>
    </w:p>
    <w:p w14:paraId="5EA2C66E">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5" w:name="_Toc17124"/>
      <w:r>
        <w:rPr>
          <w:rFonts w:hint="eastAsia" w:ascii="黑体" w:hAnsi="黑体" w:eastAsia="黑体" w:cs="黑体"/>
          <w:b w:val="0"/>
          <w:bCs/>
          <w:sz w:val="28"/>
          <w:szCs w:val="28"/>
        </w:rPr>
        <w:t>2.1  设计思想</w:t>
      </w:r>
      <w:bookmarkEnd w:id="5"/>
    </w:p>
    <w:p w14:paraId="155BD7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项目采用测量驱动、假设验证的迭代式性能工程方法，围绕"建立基线—提出瓶颈假设—估算优化上界—实施控制变量测试—消融归因"的闭环推进设计。每项调度机制先通过独立参数开关实现，与默认调度器进行同负载对比，满足系统稳定性、请求完整性后，再进行多轮验证。性能评估综合考察吞吐、延迟和调度开销的多个维度，避免仅凭单一指标判断策略优劣。</w:t>
      </w:r>
    </w:p>
    <w:p w14:paraId="0F71D14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项目初期假设 RISC-V Vector 上下文搬运是主要瓶颈。单个 llama.cpp 实例以 8 个计算线程占用 8 个 CPU 核心时，处理器平均利用率已达 98.75%，消除全部调度间隙的理论收益仅约 1.26%；部署 RVV restore-elision 定制内核后，完整 restore 省略率达到 93.6%，完整 Vector 数据操作总量减少约 48.4%，但 TPS 变化不足 0.1%，处于噪声水平。两组独立测量共同推翻了"寄存器恢复主导推理性能"的初始假设。</w:t>
      </w:r>
    </w:p>
    <w:p w14:paraId="20F5236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除寄存器开销外，工作线程之间的同步关系更能影响调度效果。llama.cpp 通过 OpenMP 创建与 CPU 核心数相等的工作线程，每层算子计算完成后所有线程在 barrier 处同步再进入下一层，这一过程在一个 token 的生成中重复数百次。futex waker 追踪显示，默认公平调度器不了解这种协作关系，可能将同组 worker 分时调度或跨核迁移，使先到达 barrier 的线程长时间睡眠等待被抢占的线程，形成高频 futex 唤醒/睡眠循环。这一效应在单实例 8 线程场景中不易暴露，因为 CPU 利用率已达 98.75%，调度器几乎没有任务选择空间。本项目的基准负载因此采用双 llama.cpp 实例共置的设计：两个服务各 8 个计算线程共享 8 个核心，共 16 个推理线程竞争，并通过异步请求注入形成任务选择、实例间资源分配和调度相位协调的完整决策空间。</w:t>
      </w:r>
    </w:p>
    <w:p w14:paraId="7C83C6B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针对上述负载，调度器在线程切出时检测 RISC-V Vector 寄存器的 Dirty 状态，并结合 llama.cpp 通过 mmap 注册的 worker 身份识别推理线程。识别完成后，调度器为每个 V worker 建立稳定 CPU 映射，使用 100 ms vector slice 延长连续计算，并引入 per-team/per-CPU vector DSQ（VDSQ）；global DSQ 继续服务普通任务和内核线程。阶段性实验显示，稳定映射和长 slice 能减少短周期睡眠、唤醒和重新排队；虽然累计 futex blocked worker-time 基本不变，双实例共置场景的吞吐仍明显提升，说明收益来自阻塞时间分布和执行相位的改善，而非简单消除同步工作量。</w:t>
      </w:r>
    </w:p>
    <w:p w14:paraId="0CA4BA9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稳定核心映射和长时间片主要解决同一实例内部的推进相位。在多实例共置场景中，新到达的请求以 Prefill 阶段开始，需与正在执行 Decode 的 worker 竞争 CPU，导致首 Token 延迟显著增加。为缩短 TTFT，调度器需要对处于 Prefill 阶段的 V worker 给予优先调度。为此，llama.cpp 向调度器发布 Prefill、Decode、Mixed 和 Idle 四种阶段提示，内核为每个实例维护独立的 per-team/per-CPU VDSQ。调度器在选择下一任务时，优先选取处于 Prefill 或 Mixed 阶段的队列，使计算密集阶段优先获得 CPU 资源。仅在 preferred worker 唤醒且同核正在运行另一组 V worker 时执行定向抢占。最终等长负载实验中，Phase-Aware 相对只读取提示而不改变调度的 Observe 对照，注入请求平均 TTFT 进一步降低 12.9%、21.5% 和 13.7%，p95 TTFT 进一步降低 14.9%、24.1% 和 15.3%。由此形成贯穿整个策略的设计主线：以稳定映射和适度长时间片保持组内连续推进，再以 phase-aware VDSQ 在几乎不损失吞吐的前提下协调不同实例之间的执行顺序。</w:t>
      </w:r>
    </w:p>
    <w:p w14:paraId="5167AB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在软件架构上，本项目遵循低侵入、分层协同和模块解耦原则。sched_ext BPF 程序负责读取任务状态、分配 CPU、维护 VDSQ 并执行调度决策；用户态 loader 和控制工具负责加载、配置及在线参数调整；llama.cpp 只增加 worker 注册和 Prefill、Decode、Mixed、Idle 阶段提示，不接管内核调度；独立观测工具采集调度事件、RVV 上下文和 futex 同步等待数据。各模块通过版本化 BPF map 和标准内核接口通信，使推理框架、调度器、观测工具和 benchmark 可以独立替换和验证。</w:t>
      </w:r>
    </w:p>
    <w:p w14:paraId="569CE11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0C67C73">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6" w:name="_Toc32352"/>
      <w:r>
        <w:rPr>
          <w:rFonts w:hint="eastAsia" w:ascii="黑体" w:hAnsi="黑体" w:eastAsia="黑体" w:cs="黑体"/>
          <w:b w:val="0"/>
          <w:bCs/>
          <w:sz w:val="28"/>
          <w:szCs w:val="28"/>
        </w:rPr>
        <w:t>2.2  技术路线</w:t>
      </w:r>
      <w:bookmarkEnd w:id="6"/>
    </w:p>
    <w:p w14:paraId="64FB8FD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本项目采用“Linux sched_ext/eBPF 可编程调度、llama.cpp 用户态语义提示、RISC-V Vector 状态感知”相结合的技术框架。用户态推理框架提供 worker 身份和 Prefill、Decode 等应用语义，内核态调度器提供任务可运行状态、CPU 执行状态和调度队列控制能力，两者通过 BPF map 交换信息，由内核完成最终调度决策。</w:t>
      </w:r>
    </w:p>
    <w:p w14:paraId="0E519D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内核侧以移植到 K1 Linux 6.6 的 sched_ext 为基础，通过 BPF struct_ops 和 CO-RE eBPF 实现调度回调。程序借助目标内核 BTF 读取 task_struct 中的 RISC-V Vector 状态，并使用 DSQ、CPU kick 等调度原语；策略退出后任务由默认调度器继续管理。</w:t>
      </w:r>
    </w:p>
    <w:p w14:paraId="3658DCA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用户态通过 mmapable BPF map 发布 worker 身份和 Prefill、Decode、Mixed、Idle 阶段；loader 和控制工具通过 config map 完成加载与在线配置。接口不可用或校验失败时，llama.cpp 保持原有流程，调度器回退到 RVV Dirty 状态识别。</w:t>
      </w:r>
    </w:p>
    <w:p w14:paraId="530AB7D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核心调度策略采用 Phase-Aware Dirty Lease。eBPF 程序结合用户态 worker 注册与 sstatus.VS=Dirty 状态识别向量计算线程，为同一实例的 worker 建立稳定 CPU 映射，并使用 per-team/per-CPU VDSQ 组织两组推理任务。sched_ext local/global DSQ 保留本地执行和普通任务服务路径，VDSQ 负责存放 RVV worker；调度器依据 phase hint 优先选择处于 Prefill 或 Mixed 阶段的 team，并通过有限的 preferred-wakeup 定向抢占和 pending safety 兼顾首 Token 响应与任务活性。具体队列路径和抢占条件在 3.1.2 节说明。</w:t>
      </w:r>
    </w:p>
    <w:p w14:paraId="3B80A38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独立的 CO-RE eBPF 观测工具和自动化 Benchmark 分别采集调度指标与统一测试流程，仅用于验证功能、性能和稳定性。</w:t>
      </w:r>
    </w:p>
    <w:p w14:paraId="1351DB1F">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7" w:name="_Toc16979"/>
      <w:r>
        <w:rPr>
          <w:rFonts w:hint="eastAsia" w:ascii="黑体" w:hAnsi="黑体" w:eastAsia="黑体" w:cs="黑体"/>
          <w:b w:val="0"/>
          <w:bCs/>
          <w:sz w:val="28"/>
          <w:szCs w:val="28"/>
        </w:rPr>
        <w:t>2.3  代码原创说明</w:t>
      </w:r>
      <w:bookmarkEnd w:id="7"/>
    </w:p>
    <w:p w14:paraId="47791F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sched_ext 模块的调度框架来自 sched-ext/scx-kernel-releases 开源项目 v6.6.4-scx2 tag，通过 2 个内核补丁完全引用 kernel/sched/ext.c（4510 行）、include/linux/sched/ext.h（716 行）、kernel/sched/ext.h（269 行），共计 5495 行（版权：Meta Platforms / Tejun Heo / David Vernet，GPL-2.0）。</w:t>
      </w:r>
    </w:p>
    <w:p w14:paraId="0EA7DF0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推理引擎的调度提示发布功能通过 patch 修改了 llama.cpp 开源项目 678d43d7 基线的 11 个文件（7 个上游源文件修改 + 4 个新增文件），共计 +897 行 / -6 行（MIT License，版权：The ggml authors）。</w:t>
      </w:r>
    </w:p>
    <w:p w14:paraId="75BAF65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sched_ext 调度器的用户态 loader 和 eBPF 端程序(scx_llm_pin)调用了 libbpf 开源组件库（来自 Linux 内核 tools/lib/bpf/，LGPL-2.1 OR BSD-2-Clause）。</w:t>
      </w:r>
    </w:p>
    <w:p w14:paraId="18AF6F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RVV/调度观测工具(rvv_sched_cost)调用了 libbpf 开源组件库，构建依赖 libelf（elfutils）组件库。</w:t>
      </w:r>
    </w:p>
    <w:p w14:paraId="717F2BF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sched_ext 调度器和观测工具的 CO-RE 类型定义头文件 vmlinux.h（各 180639 行）由 bpftool 从目标板卡运行中的 Linux 内核 BTF（/sys/kernel/btf/vmlinux）自动生成，内核类型定义来源为 Linux 内核源码树。</w:t>
      </w:r>
    </w:p>
    <w:p w14:paraId="5AE4EE6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0D396ED">
      <w:pPr>
        <w:pStyle w:val="2"/>
        <w:bidi w:val="0"/>
        <w:rPr>
          <w:rFonts w:hint="eastAsia"/>
        </w:rPr>
      </w:pPr>
      <w:bookmarkStart w:id="8" w:name="_Toc28470"/>
      <w:r>
        <w:rPr>
          <w:rFonts w:hint="eastAsia"/>
        </w:rPr>
        <w:t>项目介绍</w:t>
      </w:r>
      <w:bookmarkEnd w:id="8"/>
    </w:p>
    <w:p w14:paraId="75997251">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9" w:name="_Toc10886"/>
      <w:r>
        <w:rPr>
          <w:rFonts w:hint="eastAsia" w:ascii="黑体" w:hAnsi="黑体" w:eastAsia="黑体" w:cs="黑体"/>
          <w:b w:val="0"/>
          <w:bCs/>
          <w:sz w:val="28"/>
          <w:szCs w:val="28"/>
        </w:rPr>
        <w:t>3.1  功能介绍</w:t>
      </w:r>
      <w:bookmarkEnd w:id="9"/>
    </w:p>
    <w:p w14:paraId="6BBEE6A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本系统是一套面向 RISC-V CPU 大语言模型推理负载的可编程调度软件。系统在已移植 sched_ext 的 K1 Linux 6.6 内核上运行，通过 patched llama.cpp 提供工作线程身份和推理阶段语义，通过 eBPF 调度器获取内核任务状态并实施 CPU 调度。其主要功能包括 RVV 计算线程识别、稳定 CPU 映射、分组向量队列调度、Prefill 阶段优先响应、在线参数控制、运行状态观测以及可复现的端到端性能测试。</w:t>
      </w:r>
    </w:p>
    <w:p w14:paraId="1BBC640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系统采用用户态语义发布、共享状态通信、内核态策略决策和 Linux 调度核心执行的分层架构。llama-server、loader 和控制工具不直接操作 CPU runqueue，而是通过 pinned BPF maps 和 BPF struct_ops 与内核协作；调度器卸载或异常退出后，任务可以回到 Linux 默认调度器。总体通信关系如图 3-1 所示。</w:t>
      </w:r>
    </w:p>
    <w:p w14:paraId="66BF1E3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eastAsia="zh-CN"/>
        </w:rPr>
        <w:drawing>
          <wp:anchor distT="0" distB="0" distL="114300" distR="114300" simplePos="0" relativeHeight="251659264" behindDoc="0" locked="0" layoutInCell="1" allowOverlap="1">
            <wp:simplePos x="0" y="0"/>
            <wp:positionH relativeFrom="column">
              <wp:posOffset>46990</wp:posOffset>
            </wp:positionH>
            <wp:positionV relativeFrom="paragraph">
              <wp:posOffset>250825</wp:posOffset>
            </wp:positionV>
            <wp:extent cx="5272405" cy="3444240"/>
            <wp:effectExtent l="0" t="0" r="4445" b="3810"/>
            <wp:wrapTopAndBottom/>
            <wp:docPr id="1" name="图片 1"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rchitecture"/>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272405" cy="3444240"/>
                    </a:xfrm>
                    <a:prstGeom prst="rect">
                      <a:avLst/>
                    </a:prstGeom>
                  </pic:spPr>
                </pic:pic>
              </a:graphicData>
            </a:graphic>
          </wp:anchor>
        </w:drawing>
      </w:r>
    </w:p>
    <w:p w14:paraId="5DB1653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图 3-1 RVV-aware sched_ext 用户态与 Linux 内核通信架构</w:t>
      </w:r>
    </w:p>
    <w:p w14:paraId="36687DA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lang w:eastAsia="zh-CN"/>
        </w:rPr>
      </w:pPr>
    </w:p>
    <w:p w14:paraId="18C5BD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按照功能和数据流，系统划分为推理语义发布、调度加载与在线控制、共享状态通信、Phase-Aware Dirty Lease 调度、Linux sched_ext 执行以及观测与测试六个模块。</w:t>
      </w:r>
    </w:p>
    <w:p w14:paraId="43DB628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44762FB">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3.1.1  用户态语义与控制模块</w:t>
      </w:r>
    </w:p>
    <w:p w14:paraId="3952E3D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该模块由 patched llama-server、llama_context 和 GGML CPU 后端组成。OpenMP worker 启动后，模块注册线程的 TID、TGID、线程序号 ith 和所属实例；推理过程中根据当前 batch 中 prompt token 与 generation token 的组成，发布 Prefill、Decode、Mixed 或 Idle 阶段。阶段和 worker 信息通过 mmap 直接写入 workers map，不改变模型计算、采样和请求处理逻辑。当控制 map 不存在、接口版本不匹配或 sched_ext 未启用时，提示接口自动退化为空操作，同一个 llama-server 二进制仍可使用 Linux 默认调度器运行。</w:t>
      </w:r>
    </w:p>
    <w:p w14:paraId="598FB2A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workers map 和 config map 构成用户态与 eBPF 调度器之间的低开销通信通道。前者保存 worker 身份、ith、team、phase、epoch 和会话状态，后者保存时间片、窗口、识别阈值、CPU 映射及策略开关。llama.cpp 通过 mmap 更新高频语义，loader 和控制工具通过 BPF 系统调用读写低频配置；版本和会话校验可阻止失效或不完整的提示参与调度。</w:t>
      </w:r>
    </w:p>
    <w:p w14:paraId="18B443C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scx_llm_pin loader 负责加载 CO-RE eBPF object、初始化并 pin maps、写入目标 TGID 和调度参数，再将 BPF struct_ops 附加到 sched_ext。运行期间，rvv_lease_ctl 可读取 worker 注册、CPU 映射和 team phase，并在线调整 vector slice、window、dirty threshold、CPU map 和控制模式。loader 退出时卸载调度器并清理其创建的 maps，使系统恢复默认调度状态。</w:t>
      </w:r>
    </w:p>
    <w:p w14:paraId="65C75AB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B7C837B">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3.1.2  Phase-Aware Dirty Lease 调度模块</w:t>
      </w:r>
    </w:p>
    <w:p w14:paraId="5F47F3C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该模块是系统的核心功能。它不直接创建新的执行实体，而是对 sched_ext 管理的 runnable task 进行分类、入队和选取。每个 CPU 都拥有一个内核 local DSQ，两组 llama-server 分别拥有 VDSQ(A,i) 和 VDSQ(B,i)；图 3-2 只展示 CPU i，实际系统在 CPU0～CPU7 上重复相同结构。</w:t>
      </w:r>
    </w:p>
    <w:p w14:paraId="61829A5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811F51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anchor distT="0" distB="0" distL="114300" distR="114300" simplePos="0" relativeHeight="251660288" behindDoc="0" locked="0" layoutInCell="1" allowOverlap="1">
            <wp:simplePos x="0" y="0"/>
            <wp:positionH relativeFrom="column">
              <wp:posOffset>-85090</wp:posOffset>
            </wp:positionH>
            <wp:positionV relativeFrom="paragraph">
              <wp:posOffset>49530</wp:posOffset>
            </wp:positionV>
            <wp:extent cx="5273040" cy="2702560"/>
            <wp:effectExtent l="0" t="0" r="3810" b="2540"/>
            <wp:wrapTopAndBottom/>
            <wp:docPr id="2" name="图片 2" descr="phase-awa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hase-aware-lease"/>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273040" cy="2702560"/>
                    </a:xfrm>
                    <a:prstGeom prst="rect">
                      <a:avLst/>
                    </a:prstGeom>
                  </pic:spPr>
                </pic:pic>
              </a:graphicData>
            </a:graphic>
          </wp:anchor>
        </w:drawing>
      </w:r>
      <w:r>
        <w:rPr>
          <w:rFonts w:hint="eastAsia" w:asciiTheme="majorEastAsia" w:hAnsiTheme="majorEastAsia" w:eastAsiaTheme="majorEastAsia" w:cstheme="majorEastAsia"/>
          <w:sz w:val="24"/>
          <w:szCs w:val="24"/>
        </w:rPr>
        <w:t>图 3-2 Phase-Aware Dirty Lease 单 CPU 调度路径</w:t>
      </w:r>
    </w:p>
    <w:p w14:paraId="7DD4CC6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72B99E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lang w:eastAsia="zh-CN"/>
        </w:rPr>
      </w:pPr>
      <w:r>
        <w:rPr>
          <w:rFonts w:hint="eastAsia" w:asciiTheme="majorEastAsia" w:hAnsiTheme="majorEastAsia" w:eastAsiaTheme="majorEastAsia" w:cstheme="majorEastAsia"/>
          <w:sz w:val="24"/>
          <w:szCs w:val="24"/>
        </w:rPr>
        <w:t>具体调度过程如下</w:t>
      </w:r>
      <w:r>
        <w:rPr>
          <w:rFonts w:hint="eastAsia" w:asciiTheme="majorEastAsia" w:hAnsiTheme="majorEastAsia" w:eastAsiaTheme="majorEastAsia" w:cstheme="majorEastAsia"/>
          <w:sz w:val="24"/>
          <w:szCs w:val="24"/>
          <w:lang w:eastAsia="zh-CN"/>
        </w:rPr>
        <w:t>：</w:t>
      </w:r>
    </w:p>
    <w:p w14:paraId="389D78A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（1）识别 worker 并建立稳定映射。eBPF 程序先按 TGID 判断 team，再通过 workers map 中的 TID/ith 确认 OpenMP worker；提示不可用时，以累计命中 sstatus.VS=Dirty 作为回退识别。调度器优先使用 ith→CPU map，否则为该 team 原子分配尚未使用的 CPU。两组 worker 可共享 CPU0～CPU7，但同组 worker 保持唯一映射；启动阶段可暂时 direct-local，识别完成后统一进入 VDSQ。</w:t>
      </w:r>
    </w:p>
    <w:p w14:paraId="6EA3644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（2）按照任务类型入队。普通进程、辅助线程和内核线程进入 SCX_DSQ_GLOBAL；V worker 获得 100 ms vector slice，并按“team + 映射 CPU”进入 VDSQ(A,i) 或 VDSQ(B,i)。普通唤醒和时间片耗尽后均返回所属 VDSQ，同时记录 pending 起始时间。</w:t>
      </w:r>
    </w:p>
    <w:p w14:paraId="17898F5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（3）由 Linux 调度核心执行任务。CPU 只运行 local DSQ；local 为空时先服务 global DSQ，仍无任务才调用 BPF dispatch，从该 CPU 的两条 VDSQ 中转入一个 worker。当前任务在可运行且 slice 未耗尽时继续执行，阻塞、让出或耗尽后才重新选择。</w:t>
      </w:r>
    </w:p>
    <w:p w14:paraId="497B206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（4）依据 phase 选择 VDSQ。通过校验的 Prefill/Mixed team 在另一组不处于延迟敏感阶段时成为 preferred team。调度器优先消费其 VDSQ，队列为空则立即回退另一组；两组阶段相同或都延迟敏感时，按 per-CPU next-team 轮换。每次 dispatch 只转入一个 worker，保持 work-conserving。</w:t>
      </w:r>
    </w:p>
    <w:p w14:paraId="66BF804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（5）处理延迟敏感唤醒。preferred worker 唤醒且目标 CPU 正运行另一组 V worker 时，调度器才以 SCX_ENQ_PREEMPT direct-local 请求抢占。相同 team、普通入队、时间片耗尽以及非 V 任务均不触发该路径。</w:t>
      </w:r>
    </w:p>
    <w:p w14:paraId="77FBA26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（6）维持活性。worker 在 barrier 执行 futex wait 时立即释放 CPU，stopping 清除 running-team 状态，后续唤醒再进入 VDSQ。V worker 连续等待 1 秒后，pending safety 优先消费等待最久的 team；phase 失效、首选队列为空或 worker 睡眠时均回退到其他可运行任务。</w:t>
      </w:r>
    </w:p>
    <w:p w14:paraId="4DD6A02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以 A 组 Decode、B 组 Prefill 为例，local 为空时优先转入 B_i；若 A_i 正在运行且 B_i 从 barrier 唤醒，B_i 可定向抢占；若 B_i 尚不可运行，则继续运行 A_i。策略由此在保持 work-conserving 的同时缩短 Prefill 等待。</w:t>
      </w:r>
    </w:p>
    <w:p w14:paraId="4F413F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758A0A8">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3.1.3  Linux sched_ext 执行模块</w:t>
      </w:r>
    </w:p>
    <w:p w14:paraId="379D147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该模块由移植到 K1 Linux 6.6 的 sched_ext 调度类提供。Linux 调度核心调用 eBPF 实现的 select_cpu、enqueue、dispatch、running 和 stopping 等 struct_ops 回调，并负责 DSQ、runqueue、CPU 运行及实际上下文切换。任务最终从目标 CPU 的 local DSQ 运行；local DSQ 无任务时，内核先服务 global DSQ，再调用 BPF dispatch 从 VDSQ 补充计算 worker。sched_ext 的退出与 watchdog 机制为调度器提供统一回退边界，BPF 策略退出后任务重新由默认调度类管理。</w:t>
      </w:r>
    </w:p>
    <w:p w14:paraId="2F4C67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8DCC27D">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3.1.4  观测与测试模块</w:t>
      </w:r>
    </w:p>
    <w:p w14:paraId="67DA84F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该模块不参与调度决策。rvv_sched_cost 使用 CO-RE eBPF 采集上下文切换、RVV save/restore 候选、wake-to-run 延迟以及 futex wait/wake 和 blocked time，并输出文本与 JSON 结果。Benchmark 负责服务启动、预热、策略加载、流式请求、系统采样、结果汇总和环境恢复，提供单 llama-server 对照测试及双 llama-server 异步竞争测试。测试框架记录 TPS、逐请求 TTFT、pooled p95 TTFT、公平性和上下文切换，并对请求完整性、worker 数量、DSQ 收支、CPU 频率、温度、内存和内核 watchdog 进行有效性检查。</w:t>
      </w:r>
    </w:p>
    <w:p w14:paraId="36E06F3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5F0B8D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1DDA926E">
      <w:pPr>
        <w:pStyle w:val="2"/>
        <w:bidi w:val="0"/>
        <w:rPr>
          <w:rFonts w:hint="eastAsia"/>
        </w:rPr>
      </w:pPr>
      <w:bookmarkStart w:id="10" w:name="_Toc28188"/>
      <w:r>
        <w:rPr>
          <w:rFonts w:hint="eastAsia"/>
        </w:rPr>
        <w:t>实验测试</w:t>
      </w:r>
      <w:bookmarkEnd w:id="10"/>
    </w:p>
    <w:p w14:paraId="5677FE32">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11" w:name="_Toc20595"/>
      <w:r>
        <w:rPr>
          <w:rFonts w:hint="eastAsia" w:ascii="黑体" w:hAnsi="黑体" w:eastAsia="黑体" w:cs="黑体"/>
          <w:b w:val="0"/>
          <w:bCs/>
          <w:sz w:val="28"/>
          <w:szCs w:val="28"/>
        </w:rPr>
        <w:t>4.1  测试说明</w:t>
      </w:r>
      <w:bookmarkEnd w:id="11"/>
    </w:p>
    <w:p w14:paraId="28182C18">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4.1.1  测试环境</w:t>
      </w:r>
    </w:p>
    <w:p w14:paraId="7A45308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实验环境见表 4-1。各策略使用相同模型和 llama-server，仅切换 CFS 与 sched_ext；CPU 固定为 1.6 GHz，Swap 关闭。</w:t>
      </w:r>
    </w:p>
    <w:p w14:paraId="4231BB0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4-1  测试环境</w:t>
      </w:r>
    </w:p>
    <w:tbl>
      <w:tblPr>
        <w:tblStyle w:val="9"/>
        <w:tblW w:w="9881" w:type="dxa"/>
        <w:tblInd w:w="-431"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12"/>
        <w:gridCol w:w="7969"/>
      </w:tblGrid>
      <w:tr w14:paraId="23A454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PrEx>
        <w:trPr>
          <w:trHeight w:val="90" w:hRule="atLeast"/>
          <w:tblHeader/>
        </w:trPr>
        <w:tc>
          <w:tcPr>
            <w:tcW w:w="1912" w:type="dxa"/>
            <w:tcBorders>
              <w:bottom w:val="single" w:color="auto" w:sz="4" w:space="0"/>
              <w:right w:val="single" w:color="auto" w:sz="4" w:space="0"/>
            </w:tcBorders>
            <w:shd w:val="clear" w:color="auto" w:fill="FFFFFF"/>
            <w:tcMar>
              <w:top w:w="150" w:type="dxa"/>
              <w:left w:w="0" w:type="dxa"/>
              <w:bottom w:w="150" w:type="dxa"/>
              <w:right w:w="240" w:type="dxa"/>
            </w:tcMar>
            <w:vAlign w:val="center"/>
          </w:tcPr>
          <w:p w14:paraId="3DA46B77">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类别</w:t>
            </w:r>
          </w:p>
        </w:tc>
        <w:tc>
          <w:tcPr>
            <w:tcW w:w="7969" w:type="dxa"/>
            <w:tcBorders>
              <w:left w:val="single" w:color="auto" w:sz="4" w:space="0"/>
              <w:bottom w:val="single" w:color="auto" w:sz="4" w:space="0"/>
            </w:tcBorders>
            <w:shd w:val="clear" w:color="auto" w:fill="FFFFFF"/>
            <w:tcMar>
              <w:top w:w="150" w:type="dxa"/>
              <w:left w:w="240" w:type="dxa"/>
              <w:bottom w:w="150" w:type="dxa"/>
              <w:right w:w="240" w:type="dxa"/>
            </w:tcMar>
            <w:vAlign w:val="center"/>
          </w:tcPr>
          <w:p w14:paraId="6DB71BD2">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配置</w:t>
            </w:r>
          </w:p>
        </w:tc>
      </w:tr>
      <w:tr w14:paraId="3257812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top w:val="single" w:color="auto" w:sz="4" w:space="0"/>
              <w:right w:val="single" w:color="auto" w:sz="4" w:space="0"/>
            </w:tcBorders>
            <w:shd w:val="clear" w:color="auto" w:fill="FFFFFF"/>
            <w:tcMar>
              <w:top w:w="150" w:type="dxa"/>
              <w:left w:w="0" w:type="dxa"/>
              <w:bottom w:w="150" w:type="dxa"/>
              <w:right w:w="240" w:type="dxa"/>
            </w:tcMar>
            <w:vAlign w:val="center"/>
          </w:tcPr>
          <w:p w14:paraId="22AF8B21">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开发板</w:t>
            </w:r>
          </w:p>
        </w:tc>
        <w:tc>
          <w:tcPr>
            <w:tcW w:w="7969" w:type="dxa"/>
            <w:tcBorders>
              <w:top w:val="single" w:color="auto" w:sz="4" w:space="0"/>
              <w:left w:val="single" w:color="auto" w:sz="4" w:space="0"/>
            </w:tcBorders>
            <w:shd w:val="clear" w:color="auto" w:fill="FFFFFF"/>
            <w:tcMar>
              <w:top w:w="150" w:type="dxa"/>
              <w:left w:w="240" w:type="dxa"/>
              <w:bottom w:w="150" w:type="dxa"/>
              <w:right w:w="0" w:type="dxa"/>
            </w:tcMar>
            <w:vAlign w:val="center"/>
          </w:tcPr>
          <w:p w14:paraId="3DA9288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Milk-V Jupiter</w:t>
            </w:r>
          </w:p>
        </w:tc>
      </w:tr>
      <w:tr w14:paraId="418BE7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4EB3CA1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处理器</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57C3DD7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SpacemiT K1，8 核 RISC-V，支持 RVV 1.0</w:t>
            </w:r>
          </w:p>
        </w:tc>
      </w:tr>
      <w:tr w14:paraId="240F5C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51E4D1C1">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内存</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7C4EF02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15.5 GiB，Swap 关闭</w:t>
            </w:r>
          </w:p>
        </w:tc>
      </w:tr>
      <w:tr w14:paraId="12E951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27EB73AF">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操作系统</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712D3DC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Bianbu Linux，K1 厂商 Linux 6.6.63+，移植 sched_ext</w:t>
            </w:r>
          </w:p>
        </w:tc>
      </w:tr>
      <w:tr w14:paraId="7DB06F0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0FFFC4F4">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CPU 频率</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5FD7E33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performance governor，固定 1.6 GHz</w:t>
            </w:r>
          </w:p>
        </w:tc>
      </w:tr>
      <w:tr w14:paraId="0FE5237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252593F6">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推理引擎</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5477066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patched llama.cpp，基线提交 678d43d7205cffc3a8a026cb60b1de3868cc70a2</w:t>
            </w:r>
          </w:p>
        </w:tc>
      </w:tr>
      <w:tr w14:paraId="6B3CEEF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34D18161">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模型</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7C90033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Llama-3.2-3B-Instruct-Q4_K_M.gguf</w:t>
            </w:r>
          </w:p>
        </w:tc>
      </w:tr>
      <w:tr w14:paraId="49141E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5FA20A57">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服务配置</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480F4A6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两个独立 llama-server，各使用 8 个计算线程，上下文长度 4096</w:t>
            </w:r>
          </w:p>
        </w:tc>
      </w:tr>
      <w:tr w14:paraId="489E81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5432BE3A">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调度程序</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1839874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scx_llm_pin，CO-RE eBPF struct_ops 调度器</w:t>
            </w:r>
          </w:p>
        </w:tc>
      </w:tr>
    </w:tbl>
    <w:p w14:paraId="77C1EBB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E1114B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1764145B">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4.1.2  测试负载与对照策略</w:t>
      </w:r>
    </w:p>
    <w:p w14:paraId="2CE85C0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实验采用双模型异步竞争场景：两个 8-worker llama-server 共享 CPU0～CPU7。每轮先向 A 发送 incumbent 请求，待其均输出第 4 个 Token 后，再以 1 s 间隔向 B 注入等量请求；c=2、4、8 分别对应两侧 1∶1、2∶2、4∶4。该时序使 B 的 Prefill 与 A 的 Decode 重叠，可同时测量吞吐和竞争下的新请求延迟。</w:t>
      </w:r>
    </w:p>
    <w:p w14:paraId="7B52E98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Prompt 内容不同且无共同长前缀，统一补齐为 128 input token；每请求固定输出 256 Token，并设置 temperature=0、seed=1234、cache_prompt=false。预热后通过流式接口记录逐 Token 到达时间。</w:t>
      </w:r>
    </w:p>
    <w:p w14:paraId="29A9305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三种策略见表 4-2。Observe 与完整策略仅在是否依据阶段提示改变调度顺序上存在关键差异，因此 CFS→Observe 衡量基础 Dirty Lease，Observe→Phase-Aware 衡量阶段感知机制。</w:t>
      </w:r>
    </w:p>
    <w:p w14:paraId="699F33E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7F89B48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4-2  对照策略与关键配置</w:t>
      </w:r>
    </w:p>
    <w:tbl>
      <w:tblPr>
        <w:tblStyle w:val="9"/>
        <w:tblW w:w="8939"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03"/>
        <w:gridCol w:w="5391"/>
        <w:gridCol w:w="1745"/>
      </w:tblGrid>
      <w:tr w14:paraId="1D6219A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403" w:hRule="atLeast"/>
          <w:tblHeader/>
        </w:trPr>
        <w:tc>
          <w:tcPr>
            <w:tcW w:w="0" w:type="auto"/>
            <w:tcBorders>
              <w:bottom w:val="single" w:color="auto" w:sz="4" w:space="0"/>
            </w:tcBorders>
            <w:shd w:val="clear" w:color="auto" w:fill="FFFFFF"/>
            <w:tcMar>
              <w:top w:w="150" w:type="dxa"/>
              <w:left w:w="0" w:type="dxa"/>
              <w:bottom w:w="150" w:type="dxa"/>
              <w:right w:w="240" w:type="dxa"/>
            </w:tcMar>
            <w:vAlign w:val="center"/>
          </w:tcPr>
          <w:p w14:paraId="10268A4C">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策略</w:t>
            </w:r>
          </w:p>
        </w:tc>
        <w:tc>
          <w:tcPr>
            <w:tcW w:w="0" w:type="auto"/>
            <w:tcBorders>
              <w:bottom w:val="single" w:color="auto" w:sz="4" w:space="0"/>
            </w:tcBorders>
            <w:shd w:val="clear" w:color="auto" w:fill="FFFFFF"/>
            <w:tcMar>
              <w:top w:w="150" w:type="dxa"/>
              <w:left w:w="240" w:type="dxa"/>
              <w:bottom w:w="150" w:type="dxa"/>
              <w:right w:w="240" w:type="dxa"/>
            </w:tcMar>
            <w:vAlign w:val="center"/>
          </w:tcPr>
          <w:p w14:paraId="783736E6">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调度配置</w:t>
            </w:r>
          </w:p>
        </w:tc>
        <w:tc>
          <w:tcPr>
            <w:tcW w:w="0" w:type="auto"/>
            <w:tcBorders>
              <w:bottom w:val="single" w:color="auto" w:sz="4" w:space="0"/>
            </w:tcBorders>
            <w:shd w:val="clear" w:color="auto" w:fill="FFFFFF"/>
            <w:tcMar>
              <w:top w:w="150" w:type="dxa"/>
              <w:left w:w="240" w:type="dxa"/>
              <w:bottom w:w="150" w:type="dxa"/>
              <w:right w:w="240" w:type="dxa"/>
            </w:tcMar>
            <w:vAlign w:val="center"/>
          </w:tcPr>
          <w:p w14:paraId="0C1C040E">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实验作用</w:t>
            </w:r>
          </w:p>
        </w:tc>
      </w:tr>
      <w:tr w14:paraId="5BFA3C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353" w:hRule="atLeast"/>
        </w:trPr>
        <w:tc>
          <w:tcPr>
            <w:tcW w:w="0" w:type="auto"/>
            <w:tcBorders>
              <w:top w:val="single" w:color="auto" w:sz="4" w:space="0"/>
            </w:tcBorders>
            <w:shd w:val="clear" w:color="auto" w:fill="FFFFFF"/>
            <w:tcMar>
              <w:top w:w="150" w:type="dxa"/>
              <w:left w:w="0" w:type="dxa"/>
              <w:bottom w:w="150" w:type="dxa"/>
              <w:right w:w="240" w:type="dxa"/>
            </w:tcMar>
            <w:vAlign w:val="center"/>
          </w:tcPr>
          <w:p w14:paraId="36ED2903">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CFS</w:t>
            </w:r>
          </w:p>
        </w:tc>
        <w:tc>
          <w:tcPr>
            <w:tcW w:w="0" w:type="auto"/>
            <w:tcBorders>
              <w:top w:val="single" w:color="auto" w:sz="4" w:space="0"/>
            </w:tcBorders>
            <w:shd w:val="clear" w:color="auto" w:fill="FFFFFF"/>
            <w:tcMar>
              <w:top w:w="150" w:type="dxa"/>
              <w:left w:w="240" w:type="dxa"/>
              <w:bottom w:w="150" w:type="dxa"/>
              <w:right w:w="240" w:type="dxa"/>
            </w:tcMar>
            <w:vAlign w:val="center"/>
          </w:tcPr>
          <w:p w14:paraId="0320104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Linux 默认公平调度，两个服务共享 8 核</w:t>
            </w:r>
          </w:p>
        </w:tc>
        <w:tc>
          <w:tcPr>
            <w:tcW w:w="0" w:type="auto"/>
            <w:tcBorders>
              <w:top w:val="single" w:color="auto" w:sz="4" w:space="0"/>
            </w:tcBorders>
            <w:shd w:val="clear" w:color="auto" w:fill="FFFFFF"/>
            <w:tcMar>
              <w:top w:w="150" w:type="dxa"/>
              <w:left w:w="240" w:type="dxa"/>
              <w:bottom w:w="150" w:type="dxa"/>
              <w:right w:w="0" w:type="dxa"/>
            </w:tcMar>
            <w:vAlign w:val="center"/>
          </w:tcPr>
          <w:p w14:paraId="0CDD504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基线</w:t>
            </w:r>
          </w:p>
        </w:tc>
      </w:tr>
      <w:tr w14:paraId="73D748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675" w:hRule="atLeast"/>
        </w:trPr>
        <w:tc>
          <w:tcPr>
            <w:tcW w:w="0" w:type="auto"/>
            <w:shd w:val="clear" w:color="auto" w:fill="FFFFFF"/>
            <w:tcMar>
              <w:top w:w="150" w:type="dxa"/>
              <w:left w:w="0" w:type="dxa"/>
              <w:bottom w:w="150" w:type="dxa"/>
              <w:right w:w="240" w:type="dxa"/>
            </w:tcMar>
            <w:vAlign w:val="center"/>
          </w:tcPr>
          <w:p w14:paraId="61DCACD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Dirty Lease Observe</w:t>
            </w:r>
          </w:p>
        </w:tc>
        <w:tc>
          <w:tcPr>
            <w:tcW w:w="0" w:type="auto"/>
            <w:shd w:val="clear" w:color="auto" w:fill="FFFFFF"/>
            <w:tcMar>
              <w:top w:w="150" w:type="dxa"/>
              <w:left w:w="240" w:type="dxa"/>
              <w:bottom w:w="150" w:type="dxa"/>
              <w:right w:w="240" w:type="dxa"/>
            </w:tcMar>
            <w:vAlign w:val="center"/>
          </w:tcPr>
          <w:p w14:paraId="68E2771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dirty threshold=2，vector slice=100 ms，window=500 ms，vector-local-wakeup=off，读取 hint 但不改变队列选择</w:t>
            </w:r>
          </w:p>
        </w:tc>
        <w:tc>
          <w:tcPr>
            <w:tcW w:w="0" w:type="auto"/>
            <w:shd w:val="clear" w:color="auto" w:fill="FFFFFF"/>
            <w:tcMar>
              <w:top w:w="150" w:type="dxa"/>
              <w:left w:w="240" w:type="dxa"/>
              <w:bottom w:w="150" w:type="dxa"/>
              <w:right w:w="0" w:type="dxa"/>
            </w:tcMar>
            <w:vAlign w:val="center"/>
          </w:tcPr>
          <w:p w14:paraId="4278AC6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lang w:val="en-US"/>
              </w:rPr>
            </w:pPr>
            <w:r>
              <w:rPr>
                <w:rFonts w:hint="default" w:ascii="Segoe UI" w:hAnsi="Segoe UI" w:eastAsia="Segoe UI" w:cs="Segoe UI"/>
                <w:i w:val="0"/>
                <w:iCs w:val="0"/>
                <w:caps w:val="0"/>
                <w:color w:val="0F1115"/>
                <w:spacing w:val="0"/>
                <w:kern w:val="0"/>
                <w:sz w:val="22"/>
                <w:szCs w:val="22"/>
                <w:lang w:val="en-US" w:eastAsia="zh-CN" w:bidi="ar"/>
              </w:rPr>
              <w:t>消融阶段感知机制，评价基础</w:t>
            </w:r>
            <w:r>
              <w:rPr>
                <w:rFonts w:hint="eastAsia" w:ascii="Segoe UI" w:hAnsi="Segoe UI" w:eastAsia="Segoe UI" w:cs="Segoe UI"/>
                <w:i w:val="0"/>
                <w:iCs w:val="0"/>
                <w:caps w:val="0"/>
                <w:color w:val="0F1115"/>
                <w:spacing w:val="0"/>
                <w:kern w:val="0"/>
                <w:sz w:val="22"/>
                <w:szCs w:val="22"/>
                <w:lang w:val="en-US" w:eastAsia="zh-CN" w:bidi="ar"/>
              </w:rPr>
              <w:t>延长时间片策略</w:t>
            </w:r>
          </w:p>
        </w:tc>
      </w:tr>
      <w:tr w14:paraId="18A9DC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shd w:val="clear" w:color="auto" w:fill="FFFFFF"/>
            <w:tcMar>
              <w:top w:w="150" w:type="dxa"/>
              <w:left w:w="0" w:type="dxa"/>
              <w:bottom w:w="150" w:type="dxa"/>
              <w:right w:w="240" w:type="dxa"/>
            </w:tcMar>
            <w:vAlign w:val="center"/>
          </w:tcPr>
          <w:p w14:paraId="55EB472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Phase-Aware Dirty Lease</w:t>
            </w:r>
          </w:p>
        </w:tc>
        <w:tc>
          <w:tcPr>
            <w:tcW w:w="0" w:type="auto"/>
            <w:shd w:val="clear" w:color="auto" w:fill="FFFFFF"/>
            <w:tcMar>
              <w:top w:w="150" w:type="dxa"/>
              <w:left w:w="240" w:type="dxa"/>
              <w:bottom w:w="150" w:type="dxa"/>
              <w:right w:w="240" w:type="dxa"/>
            </w:tcMar>
            <w:vAlign w:val="center"/>
          </w:tcPr>
          <w:p w14:paraId="2856741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在 Observe 配置上启用 prefill-lease、1 s pending safety 和 Prefill wakeup 定向抢占</w:t>
            </w:r>
          </w:p>
        </w:tc>
        <w:tc>
          <w:tcPr>
            <w:tcW w:w="0" w:type="auto"/>
            <w:shd w:val="clear" w:color="auto" w:fill="FFFFFF"/>
            <w:tcMar>
              <w:top w:w="150" w:type="dxa"/>
              <w:left w:w="240" w:type="dxa"/>
              <w:bottom w:w="150" w:type="dxa"/>
              <w:right w:w="0" w:type="dxa"/>
            </w:tcMar>
            <w:vAlign w:val="center"/>
          </w:tcPr>
          <w:p w14:paraId="3C611FB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完整策略</w:t>
            </w:r>
          </w:p>
        </w:tc>
      </w:tr>
    </w:tbl>
    <w:p w14:paraId="64450CD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CF76B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4A3CA34">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4.1.3  指标与统计方法</w:t>
      </w:r>
    </w:p>
    <w:p w14:paraId="2DDD4C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Aggregate TPS 按一轮实际输出 Token 总数除以真实 makespan 计算；TTFT 为请求发送至首 Token 到达的时间，仅统计后注入到 B 的请求；p95 使用同策略、同并发全部注入样本的 nearest-rank 结果。</w:t>
      </w:r>
    </w:p>
    <w:p w14:paraId="60FAEE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每种策略在 c=2、4、8 下分别执行 60、30、15 个有效轮次，均获得 60 个注入请求样本。TPS 按轮统计均值与标准差，TTFT 按 pooled 单请求统计；高并发下的多峰和较大标准差主要来自不同注入位置的排队差异。</w:t>
      </w:r>
    </w:p>
    <w:p w14:paraId="11815C1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A7FEA17">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12" w:name="_Toc14612"/>
      <w:r>
        <w:rPr>
          <w:rFonts w:hint="eastAsia" w:ascii="黑体" w:hAnsi="黑体" w:eastAsia="黑体" w:cs="黑体"/>
          <w:b w:val="0"/>
          <w:bCs/>
          <w:sz w:val="28"/>
          <w:szCs w:val="28"/>
        </w:rPr>
        <w:t>4.2  测试结果</w:t>
      </w:r>
      <w:bookmarkEnd w:id="12"/>
    </w:p>
    <w:p w14:paraId="4F0E26DB">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4.2.1  吞吐、首 Token 延迟与调度开销</w:t>
      </w:r>
    </w:p>
    <w:p w14:paraId="0BD282C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4-3 汇总 c=2、4、8 时的 Aggregate TPS、注入请求平均 TTFT 和 p95 TTFT。括号内为相对同并发 CFS 的变化。</w:t>
      </w:r>
    </w:p>
    <w:p w14:paraId="3BF558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23EA506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4-3</w:t>
      </w:r>
      <w:r>
        <w:rPr>
          <w:rFonts w:hint="eastAsia" w:asciiTheme="majorEastAsia" w:hAnsiTheme="majorEastAsia" w:eastAsiaTheme="majorEastAsia" w:cstheme="majorEastAsia"/>
          <w:sz w:val="24"/>
          <w:szCs w:val="24"/>
          <w:lang w:val="en-US" w:eastAsia="zh-CN"/>
        </w:rPr>
        <w:t>-1</w:t>
      </w:r>
      <w:r>
        <w:rPr>
          <w:rFonts w:hint="eastAsia" w:asciiTheme="majorEastAsia" w:hAnsiTheme="majorEastAsia" w:eastAsiaTheme="majorEastAsia" w:cstheme="majorEastAsia"/>
          <w:sz w:val="24"/>
          <w:szCs w:val="24"/>
        </w:rPr>
        <w:t xml:space="preserve">  </w:t>
      </w:r>
      <w:r>
        <w:rPr>
          <w:rFonts w:hint="eastAsia" w:asciiTheme="majorEastAsia" w:hAnsiTheme="majorEastAsia" w:eastAsiaTheme="majorEastAsia" w:cstheme="majorEastAsia"/>
          <w:sz w:val="24"/>
          <w:szCs w:val="24"/>
          <w:lang w:val="en-US" w:eastAsia="zh-CN"/>
        </w:rPr>
        <w:t>c=2</w:t>
      </w:r>
      <w:r>
        <w:rPr>
          <w:rFonts w:hint="eastAsia" w:asciiTheme="majorEastAsia" w:hAnsiTheme="majorEastAsia" w:eastAsiaTheme="majorEastAsia" w:cstheme="majorEastAsia"/>
          <w:sz w:val="24"/>
          <w:szCs w:val="24"/>
        </w:rPr>
        <w:t>实验性能结果</w:t>
      </w:r>
    </w:p>
    <w:tbl>
      <w:tblPr>
        <w:tblStyle w:val="9"/>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32"/>
        <w:gridCol w:w="2556"/>
        <w:gridCol w:w="2329"/>
        <w:gridCol w:w="1729"/>
      </w:tblGrid>
      <w:tr w14:paraId="2C173BD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402" w:hRule="atLeast"/>
          <w:tblHeader/>
        </w:trPr>
        <w:tc>
          <w:tcPr>
            <w:tcW w:w="0" w:type="auto"/>
            <w:tcBorders>
              <w:bottom w:val="single" w:color="auto" w:sz="4" w:space="0"/>
              <w:right w:val="single" w:color="auto" w:sz="4" w:space="0"/>
            </w:tcBorders>
            <w:shd w:val="clear" w:color="auto" w:fill="FFFFFF"/>
            <w:tcMar>
              <w:top w:w="150" w:type="dxa"/>
              <w:left w:w="0" w:type="dxa"/>
              <w:bottom w:w="150" w:type="dxa"/>
              <w:right w:w="240" w:type="dxa"/>
            </w:tcMar>
            <w:vAlign w:val="center"/>
          </w:tcPr>
          <w:p w14:paraId="519A6F44">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策略</w:t>
            </w:r>
          </w:p>
        </w:tc>
        <w:tc>
          <w:tcPr>
            <w:tcW w:w="0" w:type="auto"/>
            <w:tcBorders>
              <w:left w:val="single" w:color="auto" w:sz="4" w:space="0"/>
              <w:bottom w:val="single" w:color="auto" w:sz="4" w:space="0"/>
            </w:tcBorders>
            <w:shd w:val="clear" w:color="auto" w:fill="FFFFFF"/>
            <w:tcMar>
              <w:top w:w="150" w:type="dxa"/>
              <w:left w:w="240" w:type="dxa"/>
              <w:bottom w:w="150" w:type="dxa"/>
              <w:right w:w="240" w:type="dxa"/>
            </w:tcMar>
            <w:vAlign w:val="center"/>
          </w:tcPr>
          <w:p w14:paraId="75CED51D">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Aggregate TPS（均值 ± 标准差）</w:t>
            </w:r>
          </w:p>
        </w:tc>
        <w:tc>
          <w:tcPr>
            <w:tcW w:w="0" w:type="auto"/>
            <w:tcBorders>
              <w:bottom w:val="single" w:color="auto" w:sz="4" w:space="0"/>
            </w:tcBorders>
            <w:shd w:val="clear" w:color="auto" w:fill="FFFFFF"/>
            <w:tcMar>
              <w:top w:w="150" w:type="dxa"/>
              <w:left w:w="240" w:type="dxa"/>
              <w:bottom w:w="150" w:type="dxa"/>
              <w:right w:w="240" w:type="dxa"/>
            </w:tcMar>
            <w:vAlign w:val="center"/>
          </w:tcPr>
          <w:p w14:paraId="6731F1D7">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注入 TTFT（均值 ± 标准差）</w:t>
            </w:r>
          </w:p>
        </w:tc>
        <w:tc>
          <w:tcPr>
            <w:tcW w:w="0" w:type="auto"/>
            <w:tcBorders>
              <w:bottom w:val="single" w:color="auto" w:sz="4" w:space="0"/>
            </w:tcBorders>
            <w:shd w:val="clear" w:color="auto" w:fill="FFFFFF"/>
            <w:tcMar>
              <w:top w:w="150" w:type="dxa"/>
              <w:left w:w="240" w:type="dxa"/>
              <w:bottom w:w="150" w:type="dxa"/>
              <w:right w:w="240" w:type="dxa"/>
            </w:tcMar>
            <w:vAlign w:val="center"/>
          </w:tcPr>
          <w:p w14:paraId="4CBA7DCF">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注入 TTFT p95</w:t>
            </w:r>
          </w:p>
        </w:tc>
      </w:tr>
      <w:tr w14:paraId="02BB2E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0" w:type="auto"/>
            <w:tcBorders>
              <w:top w:val="single" w:color="auto" w:sz="4" w:space="0"/>
              <w:right w:val="single" w:color="auto" w:sz="4" w:space="0"/>
            </w:tcBorders>
            <w:shd w:val="clear" w:color="auto" w:fill="FFFFFF"/>
            <w:tcMar>
              <w:top w:w="150" w:type="dxa"/>
              <w:left w:w="0" w:type="dxa"/>
              <w:bottom w:w="150" w:type="dxa"/>
              <w:right w:w="240" w:type="dxa"/>
            </w:tcMar>
            <w:vAlign w:val="center"/>
          </w:tcPr>
          <w:p w14:paraId="652B5C8A">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CFS</w:t>
            </w:r>
          </w:p>
        </w:tc>
        <w:tc>
          <w:tcPr>
            <w:tcW w:w="0" w:type="auto"/>
            <w:tcBorders>
              <w:top w:val="single" w:color="auto" w:sz="4" w:space="0"/>
              <w:left w:val="single" w:color="auto" w:sz="4" w:space="0"/>
            </w:tcBorders>
            <w:shd w:val="clear" w:color="auto" w:fill="FFFFFF"/>
            <w:tcMar>
              <w:top w:w="150" w:type="dxa"/>
              <w:left w:w="240" w:type="dxa"/>
              <w:bottom w:w="150" w:type="dxa"/>
              <w:right w:w="240" w:type="dxa"/>
            </w:tcMar>
            <w:vAlign w:val="center"/>
          </w:tcPr>
          <w:p w14:paraId="25B7B52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1.6300 ± 0.0340</w:t>
            </w:r>
          </w:p>
        </w:tc>
        <w:tc>
          <w:tcPr>
            <w:tcW w:w="0" w:type="auto"/>
            <w:tcBorders>
              <w:top w:val="single" w:color="auto" w:sz="4" w:space="0"/>
            </w:tcBorders>
            <w:shd w:val="clear" w:color="auto" w:fill="FFFFFF"/>
            <w:tcMar>
              <w:top w:w="150" w:type="dxa"/>
              <w:left w:w="240" w:type="dxa"/>
              <w:bottom w:w="150" w:type="dxa"/>
              <w:right w:w="240" w:type="dxa"/>
            </w:tcMar>
            <w:vAlign w:val="center"/>
          </w:tcPr>
          <w:p w14:paraId="78E440B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22.786 ± 0.291 s</w:t>
            </w:r>
          </w:p>
        </w:tc>
        <w:tc>
          <w:tcPr>
            <w:tcW w:w="0" w:type="auto"/>
            <w:tcBorders>
              <w:top w:val="single" w:color="auto" w:sz="4" w:space="0"/>
            </w:tcBorders>
            <w:shd w:val="clear" w:color="auto" w:fill="FFFFFF"/>
            <w:tcMar>
              <w:top w:w="150" w:type="dxa"/>
              <w:left w:w="240" w:type="dxa"/>
              <w:bottom w:w="150" w:type="dxa"/>
              <w:right w:w="0" w:type="dxa"/>
            </w:tcMar>
            <w:vAlign w:val="center"/>
          </w:tcPr>
          <w:p w14:paraId="38B33D3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23.195 s</w:t>
            </w:r>
          </w:p>
        </w:tc>
      </w:tr>
      <w:tr w14:paraId="4BE65DB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737" w:hRule="atLeast"/>
        </w:trPr>
        <w:tc>
          <w:tcPr>
            <w:tcW w:w="0" w:type="auto"/>
            <w:tcBorders>
              <w:right w:val="single" w:color="auto" w:sz="4" w:space="0"/>
            </w:tcBorders>
            <w:shd w:val="clear" w:color="auto" w:fill="FFFFFF"/>
            <w:tcMar>
              <w:top w:w="150" w:type="dxa"/>
              <w:left w:w="0" w:type="dxa"/>
              <w:bottom w:w="150" w:type="dxa"/>
              <w:right w:w="240" w:type="dxa"/>
            </w:tcMar>
            <w:vAlign w:val="center"/>
          </w:tcPr>
          <w:p w14:paraId="436065E2">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Dirty Lease Observe</w:t>
            </w:r>
          </w:p>
        </w:tc>
        <w:tc>
          <w:tcPr>
            <w:tcW w:w="0" w:type="auto"/>
            <w:tcBorders>
              <w:left w:val="single" w:color="auto" w:sz="4" w:space="0"/>
            </w:tcBorders>
            <w:shd w:val="clear" w:color="auto" w:fill="FFFFFF"/>
            <w:tcMar>
              <w:top w:w="150" w:type="dxa"/>
              <w:left w:w="240" w:type="dxa"/>
              <w:bottom w:w="150" w:type="dxa"/>
              <w:right w:w="240" w:type="dxa"/>
            </w:tcMar>
            <w:vAlign w:val="center"/>
          </w:tcPr>
          <w:p w14:paraId="5770A4D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2.5347 ± 0.0227（+55.5%）</w:t>
            </w:r>
          </w:p>
        </w:tc>
        <w:tc>
          <w:tcPr>
            <w:tcW w:w="0" w:type="auto"/>
            <w:shd w:val="clear" w:color="auto" w:fill="FFFFFF"/>
            <w:tcMar>
              <w:top w:w="150" w:type="dxa"/>
              <w:left w:w="240" w:type="dxa"/>
              <w:bottom w:w="150" w:type="dxa"/>
              <w:right w:w="240" w:type="dxa"/>
            </w:tcMar>
            <w:vAlign w:val="center"/>
          </w:tcPr>
          <w:p w14:paraId="354F656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15.956 ± 0.483 s（-30.0%）</w:t>
            </w:r>
          </w:p>
        </w:tc>
        <w:tc>
          <w:tcPr>
            <w:tcW w:w="0" w:type="auto"/>
            <w:shd w:val="clear" w:color="auto" w:fill="FFFFFF"/>
            <w:tcMar>
              <w:top w:w="150" w:type="dxa"/>
              <w:left w:w="240" w:type="dxa"/>
              <w:bottom w:w="150" w:type="dxa"/>
              <w:right w:w="0" w:type="dxa"/>
            </w:tcMar>
            <w:vAlign w:val="center"/>
          </w:tcPr>
          <w:p w14:paraId="0E042F5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16.747 s（-27.8%）</w:t>
            </w:r>
          </w:p>
        </w:tc>
      </w:tr>
      <w:tr w14:paraId="07B2E82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right w:val="single" w:color="auto" w:sz="4" w:space="0"/>
            </w:tcBorders>
            <w:shd w:val="clear" w:color="auto" w:fill="FFFFFF"/>
            <w:tcMar>
              <w:top w:w="150" w:type="dxa"/>
              <w:left w:w="0" w:type="dxa"/>
              <w:bottom w:w="150" w:type="dxa"/>
              <w:right w:w="240" w:type="dxa"/>
            </w:tcMar>
            <w:vAlign w:val="center"/>
          </w:tcPr>
          <w:p w14:paraId="5343164A">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Phase-Aware Dirty Lease</w:t>
            </w:r>
          </w:p>
        </w:tc>
        <w:tc>
          <w:tcPr>
            <w:tcW w:w="0" w:type="auto"/>
            <w:tcBorders>
              <w:left w:val="single" w:color="auto" w:sz="4" w:space="0"/>
            </w:tcBorders>
            <w:shd w:val="clear" w:color="auto" w:fill="FFFFFF"/>
            <w:tcMar>
              <w:top w:w="150" w:type="dxa"/>
              <w:left w:w="240" w:type="dxa"/>
              <w:bottom w:w="150" w:type="dxa"/>
              <w:right w:w="240" w:type="dxa"/>
            </w:tcMar>
            <w:vAlign w:val="center"/>
          </w:tcPr>
          <w:p w14:paraId="34B0C5A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2.5250 ± 0.0168（+54.9%）</w:t>
            </w:r>
          </w:p>
        </w:tc>
        <w:tc>
          <w:tcPr>
            <w:tcW w:w="0" w:type="auto"/>
            <w:shd w:val="clear" w:color="auto" w:fill="FFFFFF"/>
            <w:tcMar>
              <w:top w:w="150" w:type="dxa"/>
              <w:left w:w="240" w:type="dxa"/>
              <w:bottom w:w="150" w:type="dxa"/>
              <w:right w:w="240" w:type="dxa"/>
            </w:tcMar>
            <w:vAlign w:val="center"/>
          </w:tcPr>
          <w:p w14:paraId="39179B5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13.904 ± 0.181 s（-39.0%）</w:t>
            </w:r>
          </w:p>
        </w:tc>
        <w:tc>
          <w:tcPr>
            <w:tcW w:w="0" w:type="auto"/>
            <w:shd w:val="clear" w:color="auto" w:fill="FFFFFF"/>
            <w:tcMar>
              <w:top w:w="150" w:type="dxa"/>
              <w:left w:w="240" w:type="dxa"/>
              <w:bottom w:w="150" w:type="dxa"/>
              <w:right w:w="0" w:type="dxa"/>
            </w:tcMar>
            <w:vAlign w:val="center"/>
          </w:tcPr>
          <w:p w14:paraId="38FC718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14.253 s（-38.6%）</w:t>
            </w:r>
          </w:p>
        </w:tc>
      </w:tr>
    </w:tbl>
    <w:p w14:paraId="1668814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2853134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25DBAC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4-3</w:t>
      </w:r>
      <w:r>
        <w:rPr>
          <w:rFonts w:hint="eastAsia" w:asciiTheme="majorEastAsia" w:hAnsiTheme="majorEastAsia" w:eastAsiaTheme="majorEastAsia" w:cstheme="majorEastAsia"/>
          <w:sz w:val="24"/>
          <w:szCs w:val="24"/>
          <w:lang w:val="en-US" w:eastAsia="zh-CN"/>
        </w:rPr>
        <w:t>-2</w:t>
      </w:r>
      <w:r>
        <w:rPr>
          <w:rFonts w:hint="eastAsia" w:asciiTheme="majorEastAsia" w:hAnsiTheme="majorEastAsia" w:eastAsiaTheme="majorEastAsia" w:cstheme="majorEastAsia"/>
          <w:sz w:val="24"/>
          <w:szCs w:val="24"/>
        </w:rPr>
        <w:t xml:space="preserve">  </w:t>
      </w:r>
      <w:r>
        <w:rPr>
          <w:rFonts w:hint="eastAsia" w:asciiTheme="majorEastAsia" w:hAnsiTheme="majorEastAsia" w:eastAsiaTheme="majorEastAsia" w:cstheme="majorEastAsia"/>
          <w:sz w:val="24"/>
          <w:szCs w:val="24"/>
          <w:lang w:val="en-US" w:eastAsia="zh-CN"/>
        </w:rPr>
        <w:t>c=4</w:t>
      </w:r>
      <w:r>
        <w:rPr>
          <w:rFonts w:hint="eastAsia" w:asciiTheme="majorEastAsia" w:hAnsiTheme="majorEastAsia" w:eastAsiaTheme="majorEastAsia" w:cstheme="majorEastAsia"/>
          <w:sz w:val="24"/>
          <w:szCs w:val="24"/>
        </w:rPr>
        <w:t>实验性能结果</w:t>
      </w:r>
    </w:p>
    <w:tbl>
      <w:tblPr>
        <w:tblStyle w:val="9"/>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32"/>
        <w:gridCol w:w="2556"/>
        <w:gridCol w:w="2329"/>
        <w:gridCol w:w="1729"/>
      </w:tblGrid>
      <w:tr w14:paraId="4CAF9E1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402" w:hRule="atLeast"/>
          <w:tblHeader/>
        </w:trPr>
        <w:tc>
          <w:tcPr>
            <w:tcW w:w="1932" w:type="dxa"/>
            <w:tcBorders>
              <w:bottom w:val="single" w:color="auto" w:sz="4" w:space="0"/>
              <w:right w:val="single" w:color="auto" w:sz="4" w:space="0"/>
            </w:tcBorders>
            <w:shd w:val="clear" w:color="auto" w:fill="FFFFFF"/>
            <w:tcMar>
              <w:top w:w="150" w:type="dxa"/>
              <w:left w:w="0" w:type="dxa"/>
              <w:bottom w:w="150" w:type="dxa"/>
              <w:right w:w="240" w:type="dxa"/>
            </w:tcMar>
            <w:vAlign w:val="center"/>
          </w:tcPr>
          <w:p w14:paraId="3BEEE17E">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策略</w:t>
            </w:r>
          </w:p>
        </w:tc>
        <w:tc>
          <w:tcPr>
            <w:tcW w:w="2556" w:type="dxa"/>
            <w:tcBorders>
              <w:left w:val="single" w:color="auto" w:sz="4" w:space="0"/>
              <w:bottom w:val="single" w:color="auto" w:sz="4" w:space="0"/>
            </w:tcBorders>
            <w:shd w:val="clear" w:color="auto" w:fill="FFFFFF"/>
            <w:tcMar>
              <w:top w:w="150" w:type="dxa"/>
              <w:left w:w="240" w:type="dxa"/>
              <w:bottom w:w="150" w:type="dxa"/>
              <w:right w:w="240" w:type="dxa"/>
            </w:tcMar>
            <w:vAlign w:val="center"/>
          </w:tcPr>
          <w:p w14:paraId="471EC723">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Aggregate TPS（均值 ± 标准差）</w:t>
            </w:r>
          </w:p>
        </w:tc>
        <w:tc>
          <w:tcPr>
            <w:tcW w:w="2329" w:type="dxa"/>
            <w:tcBorders>
              <w:bottom w:val="single" w:color="auto" w:sz="4" w:space="0"/>
            </w:tcBorders>
            <w:shd w:val="clear" w:color="auto" w:fill="FFFFFF"/>
            <w:tcMar>
              <w:top w:w="150" w:type="dxa"/>
              <w:left w:w="240" w:type="dxa"/>
              <w:bottom w:w="150" w:type="dxa"/>
              <w:right w:w="240" w:type="dxa"/>
            </w:tcMar>
            <w:vAlign w:val="center"/>
          </w:tcPr>
          <w:p w14:paraId="0B63E521">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注入 TTFT（均值 ± 标准差）</w:t>
            </w:r>
          </w:p>
        </w:tc>
        <w:tc>
          <w:tcPr>
            <w:tcW w:w="1729" w:type="dxa"/>
            <w:tcBorders>
              <w:bottom w:val="single" w:color="auto" w:sz="4" w:space="0"/>
            </w:tcBorders>
            <w:shd w:val="clear" w:color="auto" w:fill="FFFFFF"/>
            <w:tcMar>
              <w:top w:w="150" w:type="dxa"/>
              <w:left w:w="240" w:type="dxa"/>
              <w:bottom w:w="150" w:type="dxa"/>
              <w:right w:w="240" w:type="dxa"/>
            </w:tcMar>
            <w:vAlign w:val="center"/>
          </w:tcPr>
          <w:p w14:paraId="44B65213">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注入 TTFT p95</w:t>
            </w:r>
          </w:p>
        </w:tc>
      </w:tr>
      <w:tr w14:paraId="7CD95E8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32" w:type="dxa"/>
            <w:tcBorders>
              <w:top w:val="single" w:color="auto" w:sz="4" w:space="0"/>
              <w:right w:val="single" w:color="auto" w:sz="4" w:space="0"/>
            </w:tcBorders>
            <w:shd w:val="clear" w:color="auto" w:fill="FFFFFF"/>
            <w:tcMar>
              <w:top w:w="150" w:type="dxa"/>
              <w:left w:w="0" w:type="dxa"/>
              <w:bottom w:w="150" w:type="dxa"/>
              <w:right w:w="240" w:type="dxa"/>
            </w:tcMar>
            <w:vAlign w:val="center"/>
          </w:tcPr>
          <w:p w14:paraId="22E0984C">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CFS</w:t>
            </w:r>
          </w:p>
        </w:tc>
        <w:tc>
          <w:tcPr>
            <w:tcW w:w="2556" w:type="dxa"/>
            <w:tcBorders>
              <w:top w:val="single" w:color="auto" w:sz="4" w:space="0"/>
              <w:left w:val="single" w:color="auto" w:sz="4" w:space="0"/>
            </w:tcBorders>
            <w:shd w:val="clear" w:color="auto" w:fill="FFFFFF"/>
            <w:tcMar>
              <w:top w:w="150" w:type="dxa"/>
              <w:left w:w="240" w:type="dxa"/>
              <w:bottom w:w="150" w:type="dxa"/>
              <w:right w:w="240" w:type="dxa"/>
            </w:tcMar>
            <w:vAlign w:val="center"/>
          </w:tcPr>
          <w:p w14:paraId="493AB06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2.0701 ± 0.0244</w:t>
            </w:r>
          </w:p>
        </w:tc>
        <w:tc>
          <w:tcPr>
            <w:tcW w:w="2329" w:type="dxa"/>
            <w:tcBorders>
              <w:top w:val="single" w:color="auto" w:sz="4" w:space="0"/>
            </w:tcBorders>
            <w:shd w:val="clear" w:color="auto" w:fill="FFFFFF"/>
            <w:tcMar>
              <w:top w:w="150" w:type="dxa"/>
              <w:left w:w="240" w:type="dxa"/>
              <w:bottom w:w="150" w:type="dxa"/>
              <w:right w:w="240" w:type="dxa"/>
            </w:tcMar>
            <w:vAlign w:val="center"/>
          </w:tcPr>
          <w:p w14:paraId="1E2AEDE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36.513 ± 12.556 s</w:t>
            </w:r>
          </w:p>
        </w:tc>
        <w:tc>
          <w:tcPr>
            <w:tcW w:w="1729" w:type="dxa"/>
            <w:tcBorders>
              <w:top w:val="single" w:color="auto" w:sz="4" w:space="0"/>
            </w:tcBorders>
            <w:shd w:val="clear" w:color="auto" w:fill="FFFFFF"/>
            <w:tcMar>
              <w:top w:w="150" w:type="dxa"/>
              <w:left w:w="240" w:type="dxa"/>
              <w:bottom w:w="150" w:type="dxa"/>
              <w:right w:w="0" w:type="dxa"/>
            </w:tcMar>
            <w:vAlign w:val="center"/>
          </w:tcPr>
          <w:p w14:paraId="5127EF7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49.724 s</w:t>
            </w:r>
          </w:p>
        </w:tc>
      </w:tr>
      <w:tr w14:paraId="6BB1AF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1932" w:type="dxa"/>
            <w:tcBorders>
              <w:right w:val="single" w:color="auto" w:sz="4" w:space="0"/>
            </w:tcBorders>
            <w:shd w:val="clear" w:color="auto" w:fill="FFFFFF"/>
            <w:tcMar>
              <w:top w:w="150" w:type="dxa"/>
              <w:left w:w="0" w:type="dxa"/>
              <w:bottom w:w="150" w:type="dxa"/>
              <w:right w:w="240" w:type="dxa"/>
            </w:tcMar>
            <w:vAlign w:val="center"/>
          </w:tcPr>
          <w:p w14:paraId="45571919">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Dirty Lease Observe</w:t>
            </w:r>
          </w:p>
        </w:tc>
        <w:tc>
          <w:tcPr>
            <w:tcW w:w="2556" w:type="dxa"/>
            <w:tcBorders>
              <w:left w:val="single" w:color="auto" w:sz="4" w:space="0"/>
            </w:tcBorders>
            <w:shd w:val="clear" w:color="auto" w:fill="FFFFFF"/>
            <w:tcMar>
              <w:top w:w="150" w:type="dxa"/>
              <w:left w:w="240" w:type="dxa"/>
              <w:bottom w:w="150" w:type="dxa"/>
              <w:right w:w="240" w:type="dxa"/>
            </w:tcMar>
            <w:vAlign w:val="center"/>
          </w:tcPr>
          <w:p w14:paraId="037A665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2.6995 ± 0.0176（+30.4%）</w:t>
            </w:r>
          </w:p>
        </w:tc>
        <w:tc>
          <w:tcPr>
            <w:tcW w:w="2329" w:type="dxa"/>
            <w:shd w:val="clear" w:color="auto" w:fill="FFFFFF"/>
            <w:tcMar>
              <w:top w:w="150" w:type="dxa"/>
              <w:left w:w="240" w:type="dxa"/>
              <w:bottom w:w="150" w:type="dxa"/>
              <w:right w:w="240" w:type="dxa"/>
            </w:tcMar>
            <w:vAlign w:val="center"/>
          </w:tcPr>
          <w:p w14:paraId="59D696D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26.975 ± 9.353 s（-26.1%）</w:t>
            </w:r>
          </w:p>
        </w:tc>
        <w:tc>
          <w:tcPr>
            <w:tcW w:w="1729" w:type="dxa"/>
            <w:shd w:val="clear" w:color="auto" w:fill="FFFFFF"/>
            <w:tcMar>
              <w:top w:w="150" w:type="dxa"/>
              <w:left w:w="240" w:type="dxa"/>
              <w:bottom w:w="150" w:type="dxa"/>
              <w:right w:w="0" w:type="dxa"/>
            </w:tcMar>
            <w:vAlign w:val="center"/>
          </w:tcPr>
          <w:p w14:paraId="706D5BF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37.767 s（-24.0%）</w:t>
            </w:r>
          </w:p>
        </w:tc>
      </w:tr>
      <w:tr w14:paraId="4F056D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1932" w:type="dxa"/>
            <w:tcBorders>
              <w:right w:val="single" w:color="auto" w:sz="4" w:space="0"/>
            </w:tcBorders>
            <w:shd w:val="clear" w:color="auto" w:fill="FFFFFF"/>
            <w:tcMar>
              <w:top w:w="150" w:type="dxa"/>
              <w:left w:w="0" w:type="dxa"/>
              <w:bottom w:w="150" w:type="dxa"/>
              <w:right w:w="240" w:type="dxa"/>
            </w:tcMar>
            <w:vAlign w:val="center"/>
          </w:tcPr>
          <w:p w14:paraId="347C043C">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Phase-Aware Dirty Lease</w:t>
            </w:r>
          </w:p>
        </w:tc>
        <w:tc>
          <w:tcPr>
            <w:tcW w:w="2556" w:type="dxa"/>
            <w:tcBorders>
              <w:left w:val="single" w:color="auto" w:sz="4" w:space="0"/>
            </w:tcBorders>
            <w:shd w:val="clear" w:color="auto" w:fill="FFFFFF"/>
            <w:tcMar>
              <w:top w:w="150" w:type="dxa"/>
              <w:left w:w="240" w:type="dxa"/>
              <w:bottom w:w="150" w:type="dxa"/>
              <w:right w:w="240" w:type="dxa"/>
            </w:tcMar>
            <w:vAlign w:val="center"/>
          </w:tcPr>
          <w:p w14:paraId="59836E3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2.7056 ± 0.0122（+30.7%）</w:t>
            </w:r>
          </w:p>
        </w:tc>
        <w:tc>
          <w:tcPr>
            <w:tcW w:w="2329" w:type="dxa"/>
            <w:shd w:val="clear" w:color="auto" w:fill="FFFFFF"/>
            <w:tcMar>
              <w:top w:w="150" w:type="dxa"/>
              <w:left w:w="240" w:type="dxa"/>
              <w:bottom w:w="150" w:type="dxa"/>
              <w:right w:w="240" w:type="dxa"/>
            </w:tcMar>
            <w:vAlign w:val="center"/>
          </w:tcPr>
          <w:p w14:paraId="130BA67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21.173 ± 7.076 s（-42.0%）</w:t>
            </w:r>
          </w:p>
        </w:tc>
        <w:tc>
          <w:tcPr>
            <w:tcW w:w="1729" w:type="dxa"/>
            <w:shd w:val="clear" w:color="auto" w:fill="FFFFFF"/>
            <w:tcMar>
              <w:top w:w="150" w:type="dxa"/>
              <w:left w:w="240" w:type="dxa"/>
              <w:bottom w:w="150" w:type="dxa"/>
              <w:right w:w="0" w:type="dxa"/>
            </w:tcMar>
            <w:vAlign w:val="center"/>
          </w:tcPr>
          <w:p w14:paraId="77973E8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28.677 s（-42.3%</w:t>
            </w:r>
          </w:p>
        </w:tc>
      </w:tr>
    </w:tbl>
    <w:p w14:paraId="23A2B31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901E0B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6C14F6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p>
    <w:p w14:paraId="010B060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p>
    <w:p w14:paraId="6A05B2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4-3</w:t>
      </w:r>
      <w:r>
        <w:rPr>
          <w:rFonts w:hint="eastAsia" w:asciiTheme="majorEastAsia" w:hAnsiTheme="majorEastAsia" w:eastAsiaTheme="majorEastAsia" w:cstheme="majorEastAsia"/>
          <w:sz w:val="24"/>
          <w:szCs w:val="24"/>
          <w:lang w:val="en-US" w:eastAsia="zh-CN"/>
        </w:rPr>
        <w:t>-3</w:t>
      </w:r>
      <w:r>
        <w:rPr>
          <w:rFonts w:hint="eastAsia" w:asciiTheme="majorEastAsia" w:hAnsiTheme="majorEastAsia" w:eastAsiaTheme="majorEastAsia" w:cstheme="majorEastAsia"/>
          <w:sz w:val="24"/>
          <w:szCs w:val="24"/>
        </w:rPr>
        <w:t xml:space="preserve">  </w:t>
      </w:r>
      <w:r>
        <w:rPr>
          <w:rFonts w:hint="eastAsia" w:asciiTheme="majorEastAsia" w:hAnsiTheme="majorEastAsia" w:eastAsiaTheme="majorEastAsia" w:cstheme="majorEastAsia"/>
          <w:sz w:val="24"/>
          <w:szCs w:val="24"/>
          <w:lang w:val="en-US" w:eastAsia="zh-CN"/>
        </w:rPr>
        <w:t>c=8</w:t>
      </w:r>
      <w:r>
        <w:rPr>
          <w:rFonts w:hint="eastAsia" w:asciiTheme="majorEastAsia" w:hAnsiTheme="majorEastAsia" w:eastAsiaTheme="majorEastAsia" w:cstheme="majorEastAsia"/>
          <w:sz w:val="24"/>
          <w:szCs w:val="24"/>
        </w:rPr>
        <w:t>实验性能结果</w:t>
      </w:r>
    </w:p>
    <w:tbl>
      <w:tblPr>
        <w:tblStyle w:val="9"/>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32"/>
        <w:gridCol w:w="2556"/>
        <w:gridCol w:w="2329"/>
        <w:gridCol w:w="1729"/>
      </w:tblGrid>
      <w:tr w14:paraId="205D8F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402" w:hRule="atLeast"/>
          <w:tblHeader/>
        </w:trPr>
        <w:tc>
          <w:tcPr>
            <w:tcW w:w="1932" w:type="dxa"/>
            <w:tcBorders>
              <w:bottom w:val="single" w:color="auto" w:sz="4" w:space="0"/>
              <w:right w:val="single" w:color="auto" w:sz="4" w:space="0"/>
            </w:tcBorders>
            <w:shd w:val="clear" w:color="auto" w:fill="FFFFFF"/>
            <w:tcMar>
              <w:top w:w="150" w:type="dxa"/>
              <w:left w:w="0" w:type="dxa"/>
              <w:bottom w:w="150" w:type="dxa"/>
              <w:right w:w="240" w:type="dxa"/>
            </w:tcMar>
            <w:vAlign w:val="center"/>
          </w:tcPr>
          <w:p w14:paraId="3ECC2B32">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策略</w:t>
            </w:r>
          </w:p>
        </w:tc>
        <w:tc>
          <w:tcPr>
            <w:tcW w:w="2556" w:type="dxa"/>
            <w:tcBorders>
              <w:left w:val="single" w:color="auto" w:sz="4" w:space="0"/>
              <w:bottom w:val="single" w:color="auto" w:sz="4" w:space="0"/>
            </w:tcBorders>
            <w:shd w:val="clear" w:color="auto" w:fill="FFFFFF"/>
            <w:tcMar>
              <w:top w:w="150" w:type="dxa"/>
              <w:left w:w="240" w:type="dxa"/>
              <w:bottom w:w="150" w:type="dxa"/>
              <w:right w:w="240" w:type="dxa"/>
            </w:tcMar>
            <w:vAlign w:val="center"/>
          </w:tcPr>
          <w:p w14:paraId="60FA54CD">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Aggregate TPS（均值 ± 标准差）</w:t>
            </w:r>
          </w:p>
        </w:tc>
        <w:tc>
          <w:tcPr>
            <w:tcW w:w="2329" w:type="dxa"/>
            <w:tcBorders>
              <w:bottom w:val="single" w:color="auto" w:sz="4" w:space="0"/>
            </w:tcBorders>
            <w:shd w:val="clear" w:color="auto" w:fill="FFFFFF"/>
            <w:tcMar>
              <w:top w:w="150" w:type="dxa"/>
              <w:left w:w="240" w:type="dxa"/>
              <w:bottom w:w="150" w:type="dxa"/>
              <w:right w:w="240" w:type="dxa"/>
            </w:tcMar>
            <w:vAlign w:val="center"/>
          </w:tcPr>
          <w:p w14:paraId="12A4C9A5">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注入 TTFT（均值 ± 标准差）</w:t>
            </w:r>
          </w:p>
        </w:tc>
        <w:tc>
          <w:tcPr>
            <w:tcW w:w="1729" w:type="dxa"/>
            <w:tcBorders>
              <w:bottom w:val="single" w:color="auto" w:sz="4" w:space="0"/>
            </w:tcBorders>
            <w:shd w:val="clear" w:color="auto" w:fill="FFFFFF"/>
            <w:tcMar>
              <w:top w:w="150" w:type="dxa"/>
              <w:left w:w="240" w:type="dxa"/>
              <w:bottom w:w="150" w:type="dxa"/>
              <w:right w:w="240" w:type="dxa"/>
            </w:tcMar>
            <w:vAlign w:val="center"/>
          </w:tcPr>
          <w:p w14:paraId="1527EC49">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注入 TTFT p95</w:t>
            </w:r>
          </w:p>
        </w:tc>
      </w:tr>
      <w:tr w14:paraId="737FD62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1932" w:type="dxa"/>
            <w:tcBorders>
              <w:top w:val="single" w:color="auto" w:sz="4" w:space="0"/>
              <w:right w:val="single" w:color="auto" w:sz="4" w:space="0"/>
            </w:tcBorders>
            <w:shd w:val="clear" w:color="auto" w:fill="FFFFFF"/>
            <w:tcMar>
              <w:top w:w="150" w:type="dxa"/>
              <w:left w:w="0" w:type="dxa"/>
              <w:bottom w:w="150" w:type="dxa"/>
              <w:right w:w="240" w:type="dxa"/>
            </w:tcMar>
            <w:vAlign w:val="center"/>
          </w:tcPr>
          <w:p w14:paraId="3D85E69E">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CFS</w:t>
            </w:r>
          </w:p>
        </w:tc>
        <w:tc>
          <w:tcPr>
            <w:tcW w:w="2556" w:type="dxa"/>
            <w:tcBorders>
              <w:top w:val="single" w:color="auto" w:sz="4" w:space="0"/>
              <w:left w:val="single" w:color="auto" w:sz="4" w:space="0"/>
            </w:tcBorders>
            <w:shd w:val="clear" w:color="auto" w:fill="FFFFFF"/>
            <w:tcMar>
              <w:top w:w="150" w:type="dxa"/>
              <w:left w:w="240" w:type="dxa"/>
              <w:bottom w:w="150" w:type="dxa"/>
              <w:right w:w="240" w:type="dxa"/>
            </w:tcMar>
            <w:vAlign w:val="center"/>
          </w:tcPr>
          <w:p w14:paraId="6DA93DF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3.2008 ± 0.0288</w:t>
            </w:r>
          </w:p>
        </w:tc>
        <w:tc>
          <w:tcPr>
            <w:tcW w:w="2329" w:type="dxa"/>
            <w:tcBorders>
              <w:top w:val="single" w:color="auto" w:sz="4" w:space="0"/>
            </w:tcBorders>
            <w:shd w:val="clear" w:color="auto" w:fill="FFFFFF"/>
            <w:tcMar>
              <w:top w:w="150" w:type="dxa"/>
              <w:left w:w="240" w:type="dxa"/>
              <w:bottom w:w="150" w:type="dxa"/>
              <w:right w:w="240" w:type="dxa"/>
            </w:tcMar>
            <w:vAlign w:val="center"/>
          </w:tcPr>
          <w:p w14:paraId="12461AE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76.130 ± 30.395 s</w:t>
            </w:r>
          </w:p>
        </w:tc>
        <w:tc>
          <w:tcPr>
            <w:tcW w:w="1729" w:type="dxa"/>
            <w:tcBorders>
              <w:top w:val="single" w:color="auto" w:sz="4" w:space="0"/>
            </w:tcBorders>
            <w:shd w:val="clear" w:color="auto" w:fill="FFFFFF"/>
            <w:tcMar>
              <w:top w:w="150" w:type="dxa"/>
              <w:left w:w="240" w:type="dxa"/>
              <w:bottom w:w="150" w:type="dxa"/>
              <w:right w:w="0" w:type="dxa"/>
            </w:tcMar>
            <w:vAlign w:val="center"/>
          </w:tcPr>
          <w:p w14:paraId="5D6800F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96.264 s</w:t>
            </w:r>
          </w:p>
        </w:tc>
      </w:tr>
      <w:tr w14:paraId="7F2010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1932" w:type="dxa"/>
            <w:tcBorders>
              <w:right w:val="single" w:color="auto" w:sz="4" w:space="0"/>
            </w:tcBorders>
            <w:shd w:val="clear" w:color="auto" w:fill="FFFFFF"/>
            <w:tcMar>
              <w:top w:w="150" w:type="dxa"/>
              <w:left w:w="0" w:type="dxa"/>
              <w:bottom w:w="150" w:type="dxa"/>
              <w:right w:w="240" w:type="dxa"/>
            </w:tcMar>
            <w:vAlign w:val="center"/>
          </w:tcPr>
          <w:p w14:paraId="7213076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Dirty Lease Observe</w:t>
            </w:r>
          </w:p>
        </w:tc>
        <w:tc>
          <w:tcPr>
            <w:tcW w:w="2556" w:type="dxa"/>
            <w:tcBorders>
              <w:left w:val="single" w:color="auto" w:sz="4" w:space="0"/>
            </w:tcBorders>
            <w:shd w:val="clear" w:color="auto" w:fill="FFFFFF"/>
            <w:tcMar>
              <w:top w:w="150" w:type="dxa"/>
              <w:left w:w="240" w:type="dxa"/>
              <w:bottom w:w="150" w:type="dxa"/>
              <w:right w:w="240" w:type="dxa"/>
            </w:tcMar>
            <w:vAlign w:val="center"/>
          </w:tcPr>
          <w:p w14:paraId="1C8DCC7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4.0109 ± 0.0195（+25.3%）</w:t>
            </w:r>
          </w:p>
        </w:tc>
        <w:tc>
          <w:tcPr>
            <w:tcW w:w="2329" w:type="dxa"/>
            <w:shd w:val="clear" w:color="auto" w:fill="FFFFFF"/>
            <w:tcMar>
              <w:top w:w="150" w:type="dxa"/>
              <w:left w:w="240" w:type="dxa"/>
              <w:bottom w:w="150" w:type="dxa"/>
              <w:right w:w="240" w:type="dxa"/>
            </w:tcMar>
            <w:vAlign w:val="center"/>
          </w:tcPr>
          <w:p w14:paraId="7B35D2E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50.988 ± 20.191 s（-33.0%）</w:t>
            </w:r>
          </w:p>
        </w:tc>
        <w:tc>
          <w:tcPr>
            <w:tcW w:w="1729" w:type="dxa"/>
            <w:shd w:val="clear" w:color="auto" w:fill="FFFFFF"/>
            <w:tcMar>
              <w:top w:w="150" w:type="dxa"/>
              <w:left w:w="240" w:type="dxa"/>
              <w:bottom w:w="150" w:type="dxa"/>
              <w:right w:w="0" w:type="dxa"/>
            </w:tcMar>
            <w:vAlign w:val="center"/>
          </w:tcPr>
          <w:p w14:paraId="660C5D5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65.434 s（-32.0%）</w:t>
            </w:r>
          </w:p>
        </w:tc>
      </w:tr>
      <w:tr w14:paraId="16A306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1932" w:type="dxa"/>
            <w:tcBorders>
              <w:right w:val="single" w:color="auto" w:sz="4" w:space="0"/>
            </w:tcBorders>
            <w:shd w:val="clear" w:color="auto" w:fill="FFFFFF"/>
            <w:tcMar>
              <w:top w:w="150" w:type="dxa"/>
              <w:left w:w="0" w:type="dxa"/>
              <w:bottom w:w="150" w:type="dxa"/>
              <w:right w:w="240" w:type="dxa"/>
            </w:tcMar>
            <w:vAlign w:val="center"/>
          </w:tcPr>
          <w:p w14:paraId="54BC7859">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Phase-Aware Dirty Lease</w:t>
            </w:r>
          </w:p>
        </w:tc>
        <w:tc>
          <w:tcPr>
            <w:tcW w:w="2556" w:type="dxa"/>
            <w:tcBorders>
              <w:left w:val="single" w:color="auto" w:sz="4" w:space="0"/>
            </w:tcBorders>
            <w:shd w:val="clear" w:color="auto" w:fill="FFFFFF"/>
            <w:tcMar>
              <w:top w:w="150" w:type="dxa"/>
              <w:left w:w="240" w:type="dxa"/>
              <w:bottom w:w="150" w:type="dxa"/>
              <w:right w:w="240" w:type="dxa"/>
            </w:tcMar>
            <w:vAlign w:val="center"/>
          </w:tcPr>
          <w:p w14:paraId="58B2E0F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4.0210 ± 0.0080（+25.6%）</w:t>
            </w:r>
          </w:p>
        </w:tc>
        <w:tc>
          <w:tcPr>
            <w:tcW w:w="2329" w:type="dxa"/>
            <w:shd w:val="clear" w:color="auto" w:fill="FFFFFF"/>
            <w:tcMar>
              <w:top w:w="150" w:type="dxa"/>
              <w:left w:w="240" w:type="dxa"/>
              <w:bottom w:w="150" w:type="dxa"/>
              <w:right w:w="240" w:type="dxa"/>
            </w:tcMar>
            <w:vAlign w:val="center"/>
          </w:tcPr>
          <w:p w14:paraId="60C9F4F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43.983 ± 17.556 s（-42.2%）</w:t>
            </w:r>
          </w:p>
        </w:tc>
        <w:tc>
          <w:tcPr>
            <w:tcW w:w="1729" w:type="dxa"/>
            <w:shd w:val="clear" w:color="auto" w:fill="FFFFFF"/>
            <w:tcMar>
              <w:top w:w="150" w:type="dxa"/>
              <w:left w:w="240" w:type="dxa"/>
              <w:bottom w:w="150" w:type="dxa"/>
              <w:right w:w="0" w:type="dxa"/>
            </w:tcMar>
            <w:vAlign w:val="center"/>
          </w:tcPr>
          <w:p w14:paraId="163B3D3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55.395 s（-42.5%）</w:t>
            </w:r>
          </w:p>
        </w:tc>
      </w:tr>
    </w:tbl>
    <w:p w14:paraId="29E7AF7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E9A480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lang w:eastAsia="zh-CN"/>
        </w:rPr>
      </w:pPr>
    </w:p>
    <w:p w14:paraId="6D1508C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图 4-1  c=8 逐请求平均 TTFT</w:t>
      </w:r>
      <w:r>
        <w:rPr>
          <w:rFonts w:hint="eastAsia" w:asciiTheme="majorEastAsia" w:hAnsiTheme="majorEastAsia" w:eastAsiaTheme="majorEastAsia" w:cstheme="majorEastAsia"/>
          <w:sz w:val="24"/>
          <w:szCs w:val="24"/>
          <w:lang w:eastAsia="zh-CN"/>
        </w:rPr>
        <w:drawing>
          <wp:anchor distT="0" distB="0" distL="114300" distR="114300" simplePos="0" relativeHeight="251661312" behindDoc="0" locked="0" layoutInCell="1" allowOverlap="1">
            <wp:simplePos x="0" y="0"/>
            <wp:positionH relativeFrom="column">
              <wp:posOffset>161925</wp:posOffset>
            </wp:positionH>
            <wp:positionV relativeFrom="paragraph">
              <wp:posOffset>34925</wp:posOffset>
            </wp:positionV>
            <wp:extent cx="5272405" cy="3163570"/>
            <wp:effectExtent l="0" t="0" r="4445" b="17780"/>
            <wp:wrapTopAndBottom/>
            <wp:docPr id="3" name="图片 3" descr="c8_per_request_mean_tt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8_per_request_mean_ttft"/>
                    <pic:cNvPicPr>
                      <a:picLocks noChangeAspect="1"/>
                    </pic:cNvPicPr>
                  </pic:nvPicPr>
                  <pic:blipFill>
                    <a:blip r:embed="rId14"/>
                    <a:stretch>
                      <a:fillRect/>
                    </a:stretch>
                  </pic:blipFill>
                  <pic:spPr>
                    <a:xfrm>
                      <a:off x="0" y="0"/>
                      <a:ext cx="5272405" cy="3163570"/>
                    </a:xfrm>
                    <a:prstGeom prst="rect">
                      <a:avLst/>
                    </a:prstGeom>
                  </pic:spPr>
                </pic:pic>
              </a:graphicData>
            </a:graphic>
          </wp:anchor>
        </w:drawing>
      </w:r>
    </w:p>
    <w:p w14:paraId="5EA3373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图 4-1 按请求槽位展示 c=8 的 15 轮平均 TTFT，其中 A 为 incumbent 请求，B 为后注入请求。</w:t>
      </w:r>
    </w:p>
    <w:p w14:paraId="69CFF1D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1866E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D87E43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83CF02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905098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8F7158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3B0919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1B5BF20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图 4-2  c=4 B2 请求 TPS 时间曲线</w:t>
      </w:r>
    </w:p>
    <w:p w14:paraId="7DFC476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E53FDC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图 4-2 展示 c=4 时 B2 的 </w:t>
      </w:r>
      <w:r>
        <w:rPr>
          <w:rFonts w:hint="eastAsia" w:asciiTheme="majorEastAsia" w:hAnsiTheme="majorEastAsia" w:eastAsiaTheme="majorEastAsia" w:cstheme="majorEastAsia"/>
          <w:sz w:val="24"/>
          <w:szCs w:val="24"/>
        </w:rPr>
        <w:drawing>
          <wp:anchor distT="0" distB="0" distL="114300" distR="114300" simplePos="0" relativeHeight="251662336" behindDoc="0" locked="0" layoutInCell="1" allowOverlap="1">
            <wp:simplePos x="0" y="0"/>
            <wp:positionH relativeFrom="column">
              <wp:posOffset>-304800</wp:posOffset>
            </wp:positionH>
            <wp:positionV relativeFrom="paragraph">
              <wp:posOffset>-9220835</wp:posOffset>
            </wp:positionV>
            <wp:extent cx="5272405" cy="3163570"/>
            <wp:effectExtent l="0" t="0" r="4445" b="17780"/>
            <wp:wrapTopAndBottom/>
            <wp:docPr id="4" name="图片 4" descr="c4_b2_tps_over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4_b2_tps_over_time"/>
                    <pic:cNvPicPr>
                      <a:picLocks noChangeAspect="1"/>
                    </pic:cNvPicPr>
                  </pic:nvPicPr>
                  <pic:blipFill>
                    <a:blip r:embed="rId15"/>
                    <a:stretch>
                      <a:fillRect/>
                    </a:stretch>
                  </pic:blipFill>
                  <pic:spPr>
                    <a:xfrm>
                      <a:off x="0" y="0"/>
                      <a:ext cx="5272405" cy="3163570"/>
                    </a:xfrm>
                    <a:prstGeom prst="rect">
                      <a:avLst/>
                    </a:prstGeom>
                  </pic:spPr>
                </pic:pic>
              </a:graphicData>
            </a:graphic>
          </wp:anchor>
        </w:drawing>
      </w:r>
      <w:r>
        <w:rPr>
          <w:rFonts w:hint="eastAsia" w:asciiTheme="majorEastAsia" w:hAnsiTheme="majorEastAsia" w:eastAsiaTheme="majorEastAsia" w:cstheme="majorEastAsia"/>
          <w:sz w:val="24"/>
          <w:szCs w:val="24"/>
        </w:rPr>
        <w:t>30 轮平均窗口 TPS。Phase-Aware 与 Observe 完成时间接近，但前者更早输出，说明阶段感知主要提前 Prefill 的运行机会。</w:t>
      </w:r>
    </w:p>
    <w:p w14:paraId="6CD18DD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377B729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lang w:eastAsia="zh-CN"/>
        </w:rPr>
      </w:pPr>
      <w:r>
        <w:rPr>
          <w:rFonts w:hint="eastAsia" w:asciiTheme="majorEastAsia" w:hAnsiTheme="majorEastAsia" w:eastAsiaTheme="majorEastAsia" w:cstheme="majorEastAsia"/>
          <w:sz w:val="24"/>
          <w:szCs w:val="24"/>
          <w:lang w:eastAsia="zh-CN"/>
        </w:rPr>
        <w:drawing>
          <wp:anchor distT="0" distB="0" distL="114300" distR="114300" simplePos="0" relativeHeight="251663360" behindDoc="0" locked="0" layoutInCell="1" allowOverlap="1">
            <wp:simplePos x="0" y="0"/>
            <wp:positionH relativeFrom="column">
              <wp:posOffset>-114300</wp:posOffset>
            </wp:positionH>
            <wp:positionV relativeFrom="paragraph">
              <wp:posOffset>31115</wp:posOffset>
            </wp:positionV>
            <wp:extent cx="5263515" cy="4386580"/>
            <wp:effectExtent l="0" t="0" r="13335" b="13970"/>
            <wp:wrapTopAndBottom/>
            <wp:docPr id="5" name="图片 5" descr="aggregate_tps_over_time_c2_c4_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ggregate_tps_over_time_c2_c4_c8"/>
                    <pic:cNvPicPr>
                      <a:picLocks noChangeAspect="1"/>
                    </pic:cNvPicPr>
                  </pic:nvPicPr>
                  <pic:blipFill>
                    <a:blip r:embed="rId16"/>
                    <a:stretch>
                      <a:fillRect/>
                    </a:stretch>
                  </pic:blipFill>
                  <pic:spPr>
                    <a:xfrm>
                      <a:off x="0" y="0"/>
                      <a:ext cx="5263515" cy="4386580"/>
                    </a:xfrm>
                    <a:prstGeom prst="rect">
                      <a:avLst/>
                    </a:prstGeom>
                  </pic:spPr>
                </pic:pic>
              </a:graphicData>
            </a:graphic>
          </wp:anchor>
        </w:drawing>
      </w:r>
      <w:r>
        <w:rPr>
          <w:rFonts w:hint="eastAsia" w:asciiTheme="majorEastAsia" w:hAnsiTheme="majorEastAsia" w:eastAsiaTheme="majorEastAsia" w:cstheme="majorEastAsia"/>
          <w:sz w:val="24"/>
          <w:szCs w:val="24"/>
        </w:rPr>
        <w:t>图 4-3  三种策略全请求 Aggregate TPS 时间曲线</w:t>
      </w:r>
    </w:p>
    <w:p w14:paraId="395DF2B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76A0075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图 4-3以每轮首个请求为时间零点，按 10 s 窗口展示两个服务的平均 Aggregate TPS；其统计对象与图 4-2 不同，横坐标不直接对应。</w:t>
      </w:r>
    </w:p>
    <w:p w14:paraId="7DBB6B8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相对 CFS，Phase-Aware 在三种并发下将 TPS 提高 25.6%～54.9%，平均和 p95 TTFT 分别降低 39.0%～42.2% 和 38.6%～42.5%，TPS 跨轮变异系数不超过 2.1%。Observe 已取得主要吞吐收益；Phase-Aware 相对 Observe 的 TPS 变化不超过 0.4%，但平均和 p95 TTFT 进一步降低 12.9%～21.5% 和 14.9%～24.1%，说明阶段提示主要调整 Prefill 与 Decode 获得资源的顺序，而非增加总计算能力。</w:t>
      </w:r>
    </w:p>
    <w:p w14:paraId="3DE43C5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4-4 给出两个 llama-server 进程组在单轮测试中的通用上下文切换总数。</w:t>
      </w:r>
    </w:p>
    <w:p w14:paraId="4687210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4-4  双模型上下文切换次数（均值 ± 标准差）</w:t>
      </w:r>
    </w:p>
    <w:p w14:paraId="095E6DD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64"/>
        <w:gridCol w:w="2092"/>
        <w:gridCol w:w="2759"/>
        <w:gridCol w:w="2731"/>
      </w:tblGrid>
      <w:tr w14:paraId="03DEE4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bottom w:val="single" w:color="auto" w:sz="4" w:space="0"/>
            </w:tcBorders>
            <w:shd w:val="clear" w:color="auto" w:fill="FFFFFF"/>
            <w:tcMar>
              <w:top w:w="150" w:type="dxa"/>
              <w:left w:w="0" w:type="dxa"/>
              <w:bottom w:w="150" w:type="dxa"/>
              <w:right w:w="240" w:type="dxa"/>
            </w:tcMar>
            <w:vAlign w:val="center"/>
          </w:tcPr>
          <w:p w14:paraId="374F0FC4">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总并发数</w:t>
            </w:r>
          </w:p>
        </w:tc>
        <w:tc>
          <w:tcPr>
            <w:tcW w:w="0" w:type="auto"/>
            <w:tcBorders>
              <w:bottom w:val="single" w:color="auto" w:sz="4" w:space="0"/>
            </w:tcBorders>
            <w:shd w:val="clear" w:color="auto" w:fill="FFFFFF"/>
            <w:tcMar>
              <w:top w:w="150" w:type="dxa"/>
              <w:left w:w="240" w:type="dxa"/>
              <w:bottom w:w="150" w:type="dxa"/>
              <w:right w:w="240" w:type="dxa"/>
            </w:tcMar>
            <w:vAlign w:val="center"/>
          </w:tcPr>
          <w:p w14:paraId="7B1BF81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CFS</w:t>
            </w:r>
          </w:p>
        </w:tc>
        <w:tc>
          <w:tcPr>
            <w:tcW w:w="2759" w:type="dxa"/>
            <w:tcBorders>
              <w:bottom w:val="single" w:color="auto" w:sz="4" w:space="0"/>
            </w:tcBorders>
            <w:shd w:val="clear" w:color="auto" w:fill="FFFFFF"/>
            <w:tcMar>
              <w:top w:w="150" w:type="dxa"/>
              <w:left w:w="240" w:type="dxa"/>
              <w:bottom w:w="150" w:type="dxa"/>
              <w:right w:w="240" w:type="dxa"/>
            </w:tcMar>
            <w:vAlign w:val="center"/>
          </w:tcPr>
          <w:p w14:paraId="37CB6A84">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Dirty Lease Observe</w:t>
            </w:r>
          </w:p>
        </w:tc>
        <w:tc>
          <w:tcPr>
            <w:tcW w:w="2731" w:type="dxa"/>
            <w:tcBorders>
              <w:bottom w:val="single" w:color="auto" w:sz="4" w:space="0"/>
            </w:tcBorders>
            <w:shd w:val="clear" w:color="auto" w:fill="FFFFFF"/>
            <w:tcMar>
              <w:top w:w="150" w:type="dxa"/>
              <w:left w:w="240" w:type="dxa"/>
              <w:bottom w:w="150" w:type="dxa"/>
              <w:right w:w="240" w:type="dxa"/>
            </w:tcMar>
            <w:vAlign w:val="center"/>
          </w:tcPr>
          <w:p w14:paraId="4D2B1A6F">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Phase-Aware Dirty Lease</w:t>
            </w:r>
          </w:p>
        </w:tc>
      </w:tr>
      <w:tr w14:paraId="330FD0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690" w:hRule="atLeast"/>
        </w:trPr>
        <w:tc>
          <w:tcPr>
            <w:tcW w:w="0" w:type="auto"/>
            <w:tcBorders>
              <w:top w:val="single" w:color="auto" w:sz="4" w:space="0"/>
            </w:tcBorders>
            <w:shd w:val="clear" w:color="auto" w:fill="FFFFFF"/>
            <w:tcMar>
              <w:top w:w="150" w:type="dxa"/>
              <w:left w:w="0" w:type="dxa"/>
              <w:bottom w:w="150" w:type="dxa"/>
              <w:right w:w="240" w:type="dxa"/>
            </w:tcMar>
            <w:vAlign w:val="center"/>
          </w:tcPr>
          <w:p w14:paraId="0B1AC2EA">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w:t>
            </w:r>
          </w:p>
        </w:tc>
        <w:tc>
          <w:tcPr>
            <w:tcW w:w="0" w:type="auto"/>
            <w:tcBorders>
              <w:top w:val="single" w:color="auto" w:sz="4" w:space="0"/>
            </w:tcBorders>
            <w:shd w:val="clear" w:color="auto" w:fill="FFFFFF"/>
            <w:tcMar>
              <w:top w:w="150" w:type="dxa"/>
              <w:left w:w="240" w:type="dxa"/>
              <w:bottom w:w="150" w:type="dxa"/>
              <w:right w:w="240" w:type="dxa"/>
            </w:tcMar>
            <w:vAlign w:val="center"/>
          </w:tcPr>
          <w:p w14:paraId="4E3A033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1,436,746 ± 65,273</w:t>
            </w:r>
          </w:p>
        </w:tc>
        <w:tc>
          <w:tcPr>
            <w:tcW w:w="2759" w:type="dxa"/>
            <w:tcBorders>
              <w:top w:val="single" w:color="auto" w:sz="4" w:space="0"/>
            </w:tcBorders>
            <w:shd w:val="clear" w:color="auto" w:fill="FFFFFF"/>
            <w:tcMar>
              <w:top w:w="150" w:type="dxa"/>
              <w:left w:w="240" w:type="dxa"/>
              <w:bottom w:w="150" w:type="dxa"/>
              <w:right w:w="240" w:type="dxa"/>
            </w:tcMar>
            <w:vAlign w:val="center"/>
          </w:tcPr>
          <w:p w14:paraId="392FE01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52,394 ± 1,508（-96.4%）</w:t>
            </w:r>
          </w:p>
        </w:tc>
        <w:tc>
          <w:tcPr>
            <w:tcW w:w="2731" w:type="dxa"/>
            <w:tcBorders>
              <w:top w:val="single" w:color="auto" w:sz="4" w:space="0"/>
            </w:tcBorders>
            <w:shd w:val="clear" w:color="auto" w:fill="FFFFFF"/>
            <w:tcMar>
              <w:top w:w="150" w:type="dxa"/>
              <w:left w:w="240" w:type="dxa"/>
              <w:bottom w:w="150" w:type="dxa"/>
              <w:right w:w="0" w:type="dxa"/>
            </w:tcMar>
            <w:vAlign w:val="center"/>
          </w:tcPr>
          <w:p w14:paraId="650700A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51,462 ± 1,652（-96.4%）</w:t>
            </w:r>
          </w:p>
        </w:tc>
      </w:tr>
      <w:tr w14:paraId="29580D2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4853E0EE">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4</w:t>
            </w:r>
          </w:p>
        </w:tc>
        <w:tc>
          <w:tcPr>
            <w:tcW w:w="0" w:type="auto"/>
            <w:shd w:val="clear" w:color="auto" w:fill="FFFFFF"/>
            <w:tcMar>
              <w:top w:w="150" w:type="dxa"/>
              <w:left w:w="240" w:type="dxa"/>
              <w:bottom w:w="150" w:type="dxa"/>
              <w:right w:w="240" w:type="dxa"/>
            </w:tcMar>
            <w:vAlign w:val="center"/>
          </w:tcPr>
          <w:p w14:paraId="3C4CF0D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1,651,506 ± 41,296</w:t>
            </w:r>
          </w:p>
        </w:tc>
        <w:tc>
          <w:tcPr>
            <w:tcW w:w="2759" w:type="dxa"/>
            <w:shd w:val="clear" w:color="auto" w:fill="FFFFFF"/>
            <w:tcMar>
              <w:top w:w="150" w:type="dxa"/>
              <w:left w:w="240" w:type="dxa"/>
              <w:bottom w:w="150" w:type="dxa"/>
              <w:right w:w="240" w:type="dxa"/>
            </w:tcMar>
            <w:vAlign w:val="center"/>
          </w:tcPr>
          <w:p w14:paraId="13A193C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60,039 ± 803（-96.4%）</w:t>
            </w:r>
          </w:p>
        </w:tc>
        <w:tc>
          <w:tcPr>
            <w:tcW w:w="2731" w:type="dxa"/>
            <w:shd w:val="clear" w:color="auto" w:fill="FFFFFF"/>
            <w:tcMar>
              <w:top w:w="150" w:type="dxa"/>
              <w:left w:w="240" w:type="dxa"/>
              <w:bottom w:w="150" w:type="dxa"/>
              <w:right w:w="0" w:type="dxa"/>
            </w:tcMar>
            <w:vAlign w:val="center"/>
          </w:tcPr>
          <w:p w14:paraId="0DEB7D3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59,984 ± 798（-96.4%</w:t>
            </w:r>
            <w:r>
              <w:rPr>
                <w:rFonts w:hint="default" w:ascii="Segoe UI" w:hAnsi="Segoe UI" w:eastAsia="Segoe UI" w:cs="Segoe UI"/>
                <w:i w:val="0"/>
                <w:iCs w:val="0"/>
                <w:caps w:val="0"/>
                <w:color w:val="0F1115"/>
                <w:spacing w:val="0"/>
                <w:kern w:val="0"/>
                <w:sz w:val="22"/>
                <w:szCs w:val="22"/>
                <w:lang w:val="en-US" w:eastAsia="zh-CN" w:bidi="ar"/>
              </w:rPr>
              <w:t>）</w:t>
            </w:r>
          </w:p>
        </w:tc>
      </w:tr>
      <w:tr w14:paraId="5FDEF1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9694F6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8</w:t>
            </w:r>
          </w:p>
        </w:tc>
        <w:tc>
          <w:tcPr>
            <w:tcW w:w="0" w:type="auto"/>
            <w:shd w:val="clear" w:color="auto" w:fill="FFFFFF"/>
            <w:tcMar>
              <w:top w:w="150" w:type="dxa"/>
              <w:left w:w="240" w:type="dxa"/>
              <w:bottom w:w="150" w:type="dxa"/>
              <w:right w:w="240" w:type="dxa"/>
            </w:tcMar>
            <w:vAlign w:val="center"/>
          </w:tcPr>
          <w:p w14:paraId="0F2C654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1,995,704 ± 41,305</w:t>
            </w:r>
          </w:p>
        </w:tc>
        <w:tc>
          <w:tcPr>
            <w:tcW w:w="2759" w:type="dxa"/>
            <w:shd w:val="clear" w:color="auto" w:fill="FFFFFF"/>
            <w:tcMar>
              <w:top w:w="150" w:type="dxa"/>
              <w:left w:w="240" w:type="dxa"/>
              <w:bottom w:w="150" w:type="dxa"/>
              <w:right w:w="240" w:type="dxa"/>
            </w:tcMar>
            <w:vAlign w:val="center"/>
          </w:tcPr>
          <w:p w14:paraId="6673CAF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138,141 ± 2,628（-93.1%）</w:t>
            </w:r>
          </w:p>
        </w:tc>
        <w:tc>
          <w:tcPr>
            <w:tcW w:w="2731" w:type="dxa"/>
            <w:shd w:val="clear" w:color="auto" w:fill="FFFFFF"/>
            <w:tcMar>
              <w:top w:w="150" w:type="dxa"/>
              <w:left w:w="240" w:type="dxa"/>
              <w:bottom w:w="150" w:type="dxa"/>
              <w:right w:w="0" w:type="dxa"/>
            </w:tcMar>
            <w:vAlign w:val="center"/>
          </w:tcPr>
          <w:p w14:paraId="5FFC7D1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137,692 ± 3,357（-93.1%）</w:t>
            </w:r>
          </w:p>
        </w:tc>
      </w:tr>
    </w:tbl>
    <w:p w14:paraId="6D97EFD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8F952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完整策略相对 CFS 减少 93.1%～96.4% 的上下文切换。Observe 与其结果接近，说明切换下降主要来自稳定映射、VDSQ 和长 slice，而 Phase-Aware 的额外延迟收益来自组间顺序调整。</w:t>
      </w:r>
    </w:p>
    <w:p w14:paraId="1487E73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3015384">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4.2.2  测试结论</w:t>
      </w:r>
    </w:p>
    <w:p w14:paraId="53D0F4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完整测试矩阵共包含 315 个有效轮次</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rPr>
        <w:t>实验验证了系统的两层作用：Dirty Lease 基础机制主要提升吞吐并大幅减少上下文切换，Phase-Aware 机制则利用用户态阶段提示，在保持吞吐的同时进一步降低新请求的平均与尾部 TTFT。</w:t>
      </w:r>
    </w:p>
    <w:p w14:paraId="0A6434C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CA27498">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13" w:name="_Toc19314"/>
      <w:r>
        <w:rPr>
          <w:rFonts w:hint="eastAsia" w:ascii="黑体" w:hAnsi="黑体" w:eastAsia="黑体" w:cs="黑体"/>
          <w:b w:val="0"/>
          <w:bCs/>
          <w:sz w:val="28"/>
          <w:szCs w:val="28"/>
        </w:rPr>
        <w:t>4.3  额外实验</w:t>
      </w:r>
      <w:bookmarkEnd w:id="13"/>
    </w:p>
    <w:p w14:paraId="4247048E">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4.3.1  定制内核 RVV 上下文搬运消融</w:t>
      </w:r>
    </w:p>
    <w:p w14:paraId="393F86D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为验证 RVV 寄存器搬运是否为主要瓶颈，本项目实现 restore-elision 定制内核：owner 状态有效时跳过 `v0-v31` restore，但保留 eager save 和 Vector CSR 恢复。实验使用单个 llama-server、c=4、每轮 300 s，原厂与定制内核各取 3 轮，CPU 固定为 1.6 GHz。</w:t>
      </w:r>
    </w:p>
    <w:p w14:paraId="2AC7494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6E92C00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4-5  CFS 与 CFS + restore-elision 对比</w:t>
      </w:r>
    </w:p>
    <w:p w14:paraId="5301FCB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452"/>
        <w:gridCol w:w="1220"/>
        <w:gridCol w:w="1242"/>
        <w:gridCol w:w="1345"/>
        <w:gridCol w:w="1643"/>
        <w:gridCol w:w="1644"/>
      </w:tblGrid>
      <w:tr w14:paraId="3127293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452" w:type="dxa"/>
            <w:tcBorders>
              <w:bottom w:val="single" w:color="auto" w:sz="4" w:space="0"/>
              <w:right w:val="single" w:color="auto" w:sz="4" w:space="0"/>
            </w:tcBorders>
            <w:shd w:val="clear" w:color="auto" w:fill="FFFFFF"/>
            <w:tcMar>
              <w:top w:w="150" w:type="dxa"/>
              <w:left w:w="0" w:type="dxa"/>
              <w:bottom w:w="150" w:type="dxa"/>
              <w:right w:w="240" w:type="dxa"/>
            </w:tcMar>
            <w:vAlign w:val="center"/>
          </w:tcPr>
          <w:p w14:paraId="22B57190">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配置</w:t>
            </w:r>
          </w:p>
        </w:tc>
        <w:tc>
          <w:tcPr>
            <w:tcW w:w="1220" w:type="dxa"/>
            <w:tcBorders>
              <w:left w:val="single" w:color="auto" w:sz="4" w:space="0"/>
              <w:bottom w:val="single" w:color="auto" w:sz="4" w:space="0"/>
            </w:tcBorders>
            <w:shd w:val="clear" w:color="auto" w:fill="FFFFFF"/>
            <w:tcMar>
              <w:top w:w="150" w:type="dxa"/>
              <w:left w:w="240" w:type="dxa"/>
              <w:bottom w:w="150" w:type="dxa"/>
              <w:right w:w="240" w:type="dxa"/>
            </w:tcMar>
            <w:vAlign w:val="center"/>
          </w:tcPr>
          <w:p w14:paraId="31D9BE3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TPS（均值 ± 标准差）</w:t>
            </w:r>
          </w:p>
        </w:tc>
        <w:tc>
          <w:tcPr>
            <w:tcW w:w="1242" w:type="dxa"/>
            <w:tcBorders>
              <w:bottom w:val="single" w:color="auto" w:sz="4" w:space="0"/>
            </w:tcBorders>
            <w:shd w:val="clear" w:color="auto" w:fill="FFFFFF"/>
            <w:tcMar>
              <w:top w:w="150" w:type="dxa"/>
              <w:left w:w="240" w:type="dxa"/>
              <w:bottom w:w="150" w:type="dxa"/>
              <w:right w:w="240" w:type="dxa"/>
            </w:tcMar>
            <w:vAlign w:val="center"/>
          </w:tcPr>
          <w:p w14:paraId="3F6B5875">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平均 TTFT（均值 ± 标准差）</w:t>
            </w:r>
          </w:p>
        </w:tc>
        <w:tc>
          <w:tcPr>
            <w:tcW w:w="1345" w:type="dxa"/>
            <w:tcBorders>
              <w:bottom w:val="single" w:color="auto" w:sz="4" w:space="0"/>
            </w:tcBorders>
            <w:shd w:val="clear" w:color="auto" w:fill="FFFFFF"/>
            <w:tcMar>
              <w:top w:w="150" w:type="dxa"/>
              <w:left w:w="240" w:type="dxa"/>
              <w:bottom w:w="150" w:type="dxa"/>
              <w:right w:w="240" w:type="dxa"/>
            </w:tcMar>
            <w:vAlign w:val="center"/>
          </w:tcPr>
          <w:p w14:paraId="4D9039AF">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p95 TTFT</w:t>
            </w:r>
          </w:p>
        </w:tc>
        <w:tc>
          <w:tcPr>
            <w:tcW w:w="1643" w:type="dxa"/>
            <w:tcBorders>
              <w:bottom w:val="single" w:color="auto" w:sz="4" w:space="0"/>
            </w:tcBorders>
            <w:shd w:val="clear" w:color="auto" w:fill="FFFFFF"/>
            <w:tcMar>
              <w:top w:w="150" w:type="dxa"/>
              <w:left w:w="240" w:type="dxa"/>
              <w:bottom w:w="150" w:type="dxa"/>
              <w:right w:w="240" w:type="dxa"/>
            </w:tcMar>
            <w:vAlign w:val="center"/>
          </w:tcPr>
          <w:p w14:paraId="3C6DD2A4">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RVV save+restore 候选（正式窗口）</w:t>
            </w:r>
          </w:p>
        </w:tc>
        <w:tc>
          <w:tcPr>
            <w:tcW w:w="1644" w:type="dxa"/>
            <w:tcBorders>
              <w:bottom w:val="single" w:color="auto" w:sz="4" w:space="0"/>
            </w:tcBorders>
            <w:shd w:val="clear" w:color="auto" w:fill="FFFFFF"/>
            <w:tcMar>
              <w:top w:w="150" w:type="dxa"/>
              <w:left w:w="240" w:type="dxa"/>
              <w:bottom w:w="150" w:type="dxa"/>
              <w:right w:w="240" w:type="dxa"/>
            </w:tcMar>
            <w:vAlign w:val="center"/>
          </w:tcPr>
          <w:p w14:paraId="7B6B270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实际完整 RVV save+restore</w:t>
            </w:r>
          </w:p>
        </w:tc>
      </w:tr>
      <w:tr w14:paraId="0215717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1035" w:hRule="atLeast"/>
        </w:trPr>
        <w:tc>
          <w:tcPr>
            <w:tcW w:w="1452" w:type="dxa"/>
            <w:tcBorders>
              <w:top w:val="single" w:color="auto" w:sz="4" w:space="0"/>
              <w:right w:val="single" w:color="auto" w:sz="4" w:space="0"/>
            </w:tcBorders>
            <w:shd w:val="clear" w:color="auto" w:fill="FFFFFF"/>
            <w:tcMar>
              <w:top w:w="150" w:type="dxa"/>
              <w:left w:w="0" w:type="dxa"/>
              <w:bottom w:w="150" w:type="dxa"/>
              <w:right w:w="240" w:type="dxa"/>
            </w:tcMar>
            <w:vAlign w:val="center"/>
          </w:tcPr>
          <w:p w14:paraId="081AE7B3">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原厂 CFS</w:t>
            </w:r>
          </w:p>
        </w:tc>
        <w:tc>
          <w:tcPr>
            <w:tcW w:w="1220" w:type="dxa"/>
            <w:tcBorders>
              <w:top w:val="single" w:color="auto" w:sz="4" w:space="0"/>
              <w:left w:val="single" w:color="auto" w:sz="4" w:space="0"/>
            </w:tcBorders>
            <w:shd w:val="clear" w:color="auto" w:fill="FFFFFF"/>
            <w:tcMar>
              <w:top w:w="150" w:type="dxa"/>
              <w:left w:w="240" w:type="dxa"/>
              <w:bottom w:w="150" w:type="dxa"/>
              <w:right w:w="240" w:type="dxa"/>
            </w:tcMar>
            <w:vAlign w:val="center"/>
          </w:tcPr>
          <w:p w14:paraId="39EC762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5.671 ± 0.092</w:t>
            </w:r>
          </w:p>
        </w:tc>
        <w:tc>
          <w:tcPr>
            <w:tcW w:w="1242" w:type="dxa"/>
            <w:tcBorders>
              <w:top w:val="single" w:color="auto" w:sz="4" w:space="0"/>
            </w:tcBorders>
            <w:shd w:val="clear" w:color="auto" w:fill="FFFFFF"/>
            <w:tcMar>
              <w:top w:w="150" w:type="dxa"/>
              <w:left w:w="240" w:type="dxa"/>
              <w:bottom w:w="150" w:type="dxa"/>
              <w:right w:w="240" w:type="dxa"/>
            </w:tcMar>
            <w:vAlign w:val="center"/>
          </w:tcPr>
          <w:p w14:paraId="1BBB29F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3317.612 ± 209.135 ms</w:t>
            </w:r>
          </w:p>
        </w:tc>
        <w:tc>
          <w:tcPr>
            <w:tcW w:w="1345" w:type="dxa"/>
            <w:tcBorders>
              <w:top w:val="single" w:color="auto" w:sz="4" w:space="0"/>
            </w:tcBorders>
            <w:shd w:val="clear" w:color="auto" w:fill="FFFFFF"/>
            <w:tcMar>
              <w:top w:w="150" w:type="dxa"/>
              <w:left w:w="240" w:type="dxa"/>
              <w:bottom w:w="150" w:type="dxa"/>
              <w:right w:w="240" w:type="dxa"/>
            </w:tcMar>
            <w:vAlign w:val="center"/>
          </w:tcPr>
          <w:p w14:paraId="662404F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14264.225 ms</w:t>
            </w:r>
          </w:p>
        </w:tc>
        <w:tc>
          <w:tcPr>
            <w:tcW w:w="1643" w:type="dxa"/>
            <w:tcBorders>
              <w:top w:val="single" w:color="auto" w:sz="4" w:space="0"/>
            </w:tcBorders>
            <w:shd w:val="clear" w:color="auto" w:fill="FFFFFF"/>
            <w:tcMar>
              <w:top w:w="150" w:type="dxa"/>
              <w:left w:w="240" w:type="dxa"/>
              <w:bottom w:w="150" w:type="dxa"/>
              <w:right w:w="240" w:type="dxa"/>
            </w:tcMar>
            <w:vAlign w:val="center"/>
          </w:tcPr>
          <w:p w14:paraId="21D8E8A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124,660 ± 2,245</w:t>
            </w:r>
          </w:p>
        </w:tc>
        <w:tc>
          <w:tcPr>
            <w:tcW w:w="1644" w:type="dxa"/>
            <w:tcBorders>
              <w:top w:val="single" w:color="auto" w:sz="4" w:space="0"/>
            </w:tcBorders>
            <w:shd w:val="clear" w:color="auto" w:fill="FFFFFF"/>
            <w:tcMar>
              <w:top w:w="150" w:type="dxa"/>
              <w:left w:w="240" w:type="dxa"/>
              <w:bottom w:w="150" w:type="dxa"/>
              <w:right w:w="0" w:type="dxa"/>
            </w:tcMar>
            <w:vAlign w:val="center"/>
          </w:tcPr>
          <w:p w14:paraId="3066505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124,660 ± 2,245</w:t>
            </w:r>
          </w:p>
        </w:tc>
      </w:tr>
      <w:tr w14:paraId="06BA7C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195" w:hRule="atLeast"/>
        </w:trPr>
        <w:tc>
          <w:tcPr>
            <w:tcW w:w="1452" w:type="dxa"/>
            <w:tcBorders>
              <w:right w:val="single" w:color="auto" w:sz="4" w:space="0"/>
            </w:tcBorders>
            <w:shd w:val="clear" w:color="auto" w:fill="FFFFFF"/>
            <w:tcMar>
              <w:top w:w="150" w:type="dxa"/>
              <w:left w:w="0" w:type="dxa"/>
              <w:bottom w:w="150" w:type="dxa"/>
              <w:right w:w="240" w:type="dxa"/>
            </w:tcMar>
            <w:vAlign w:val="center"/>
          </w:tcPr>
          <w:p w14:paraId="5AFCE84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CFS + restore-elision</w:t>
            </w:r>
          </w:p>
        </w:tc>
        <w:tc>
          <w:tcPr>
            <w:tcW w:w="1220" w:type="dxa"/>
            <w:tcBorders>
              <w:left w:val="single" w:color="auto" w:sz="4" w:space="0"/>
            </w:tcBorders>
            <w:shd w:val="clear" w:color="auto" w:fill="FFFFFF"/>
            <w:tcMar>
              <w:top w:w="150" w:type="dxa"/>
              <w:left w:w="240" w:type="dxa"/>
              <w:bottom w:w="150" w:type="dxa"/>
              <w:right w:w="240" w:type="dxa"/>
            </w:tcMar>
            <w:vAlign w:val="center"/>
          </w:tcPr>
          <w:p w14:paraId="3D5818A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5.673 ± 0.070</w:t>
            </w:r>
          </w:p>
        </w:tc>
        <w:tc>
          <w:tcPr>
            <w:tcW w:w="1242" w:type="dxa"/>
            <w:shd w:val="clear" w:color="auto" w:fill="FFFFFF"/>
            <w:tcMar>
              <w:top w:w="150" w:type="dxa"/>
              <w:left w:w="240" w:type="dxa"/>
              <w:bottom w:w="150" w:type="dxa"/>
              <w:right w:w="240" w:type="dxa"/>
            </w:tcMar>
            <w:vAlign w:val="center"/>
          </w:tcPr>
          <w:p w14:paraId="2A24BC8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3090.600 ± 381.757 ms</w:t>
            </w:r>
          </w:p>
        </w:tc>
        <w:tc>
          <w:tcPr>
            <w:tcW w:w="1345" w:type="dxa"/>
            <w:shd w:val="clear" w:color="auto" w:fill="FFFFFF"/>
            <w:tcMar>
              <w:top w:w="150" w:type="dxa"/>
              <w:left w:w="240" w:type="dxa"/>
              <w:bottom w:w="150" w:type="dxa"/>
              <w:right w:w="240" w:type="dxa"/>
            </w:tcMar>
            <w:vAlign w:val="center"/>
          </w:tcPr>
          <w:p w14:paraId="4586BB9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13269.032 ± 2006.988 ms</w:t>
            </w:r>
          </w:p>
        </w:tc>
        <w:tc>
          <w:tcPr>
            <w:tcW w:w="1643" w:type="dxa"/>
            <w:shd w:val="clear" w:color="auto" w:fill="FFFFFF"/>
            <w:tcMar>
              <w:top w:w="150" w:type="dxa"/>
              <w:left w:w="240" w:type="dxa"/>
              <w:bottom w:w="150" w:type="dxa"/>
              <w:right w:w="240" w:type="dxa"/>
            </w:tcMar>
            <w:vAlign w:val="center"/>
          </w:tcPr>
          <w:p w14:paraId="36B3ACF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128,164 ± 1,906</w:t>
            </w:r>
          </w:p>
        </w:tc>
        <w:tc>
          <w:tcPr>
            <w:tcW w:w="1644" w:type="dxa"/>
            <w:shd w:val="clear" w:color="auto" w:fill="FFFFFF"/>
            <w:tcMar>
              <w:top w:w="150" w:type="dxa"/>
              <w:left w:w="240" w:type="dxa"/>
              <w:bottom w:w="150" w:type="dxa"/>
              <w:right w:w="0" w:type="dxa"/>
            </w:tcMar>
            <w:vAlign w:val="center"/>
          </w:tcPr>
          <w:p w14:paraId="16745FB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69,758 ± 949</w:t>
            </w:r>
          </w:p>
        </w:tc>
      </w:tr>
      <w:tr w14:paraId="0D96E8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1452" w:type="dxa"/>
            <w:tcBorders>
              <w:right w:val="single" w:color="auto" w:sz="4" w:space="0"/>
            </w:tcBorders>
            <w:shd w:val="clear" w:color="auto" w:fill="FFFFFF"/>
            <w:tcMar>
              <w:top w:w="150" w:type="dxa"/>
              <w:left w:w="0" w:type="dxa"/>
              <w:bottom w:w="150" w:type="dxa"/>
              <w:right w:w="240" w:type="dxa"/>
            </w:tcMar>
            <w:vAlign w:val="center"/>
          </w:tcPr>
          <w:p w14:paraId="01B68F2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相对变化</w:t>
            </w:r>
          </w:p>
        </w:tc>
        <w:tc>
          <w:tcPr>
            <w:tcW w:w="1220" w:type="dxa"/>
            <w:tcBorders>
              <w:left w:val="single" w:color="auto" w:sz="4" w:space="0"/>
            </w:tcBorders>
            <w:shd w:val="clear" w:color="auto" w:fill="FFFFFF"/>
            <w:tcMar>
              <w:top w:w="150" w:type="dxa"/>
              <w:left w:w="240" w:type="dxa"/>
              <w:bottom w:w="150" w:type="dxa"/>
              <w:right w:w="240" w:type="dxa"/>
            </w:tcMar>
            <w:vAlign w:val="center"/>
          </w:tcPr>
          <w:p w14:paraId="683384F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+0.041%</w:t>
            </w:r>
          </w:p>
        </w:tc>
        <w:tc>
          <w:tcPr>
            <w:tcW w:w="1242" w:type="dxa"/>
            <w:shd w:val="clear" w:color="auto" w:fill="FFFFFF"/>
            <w:tcMar>
              <w:top w:w="150" w:type="dxa"/>
              <w:left w:w="240" w:type="dxa"/>
              <w:bottom w:w="150" w:type="dxa"/>
              <w:right w:w="240" w:type="dxa"/>
            </w:tcMar>
            <w:vAlign w:val="center"/>
          </w:tcPr>
          <w:p w14:paraId="100FE21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-6.843%</w:t>
            </w:r>
          </w:p>
        </w:tc>
        <w:tc>
          <w:tcPr>
            <w:tcW w:w="1345" w:type="dxa"/>
            <w:shd w:val="clear" w:color="auto" w:fill="FFFFFF"/>
            <w:tcMar>
              <w:top w:w="150" w:type="dxa"/>
              <w:left w:w="240" w:type="dxa"/>
              <w:bottom w:w="150" w:type="dxa"/>
              <w:right w:w="240" w:type="dxa"/>
            </w:tcMar>
            <w:vAlign w:val="center"/>
          </w:tcPr>
          <w:p w14:paraId="7C744EF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-6.977%</w:t>
            </w:r>
          </w:p>
        </w:tc>
        <w:tc>
          <w:tcPr>
            <w:tcW w:w="1643" w:type="dxa"/>
            <w:shd w:val="clear" w:color="auto" w:fill="FFFFFF"/>
            <w:tcMar>
              <w:top w:w="150" w:type="dxa"/>
              <w:left w:w="240" w:type="dxa"/>
              <w:bottom w:w="150" w:type="dxa"/>
              <w:right w:w="240" w:type="dxa"/>
            </w:tcMar>
            <w:vAlign w:val="center"/>
          </w:tcPr>
          <w:p w14:paraId="1840F1F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+2.811%</w:t>
            </w:r>
          </w:p>
        </w:tc>
        <w:tc>
          <w:tcPr>
            <w:tcW w:w="1644" w:type="dxa"/>
            <w:shd w:val="clear" w:color="auto" w:fill="FFFFFF"/>
            <w:tcMar>
              <w:top w:w="150" w:type="dxa"/>
              <w:left w:w="240" w:type="dxa"/>
              <w:bottom w:w="150" w:type="dxa"/>
              <w:right w:w="0" w:type="dxa"/>
            </w:tcMar>
            <w:vAlign w:val="center"/>
          </w:tcPr>
          <w:p w14:paraId="29E9D38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-44.041%</w:t>
            </w:r>
          </w:p>
        </w:tc>
      </w:tr>
    </w:tbl>
    <w:p w14:paraId="5B005B1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定制内核平均省略 93.637% 的完整 restore，使 Vector 数据操作总量减少 48.354%，但 TPS 仅增加 0.041%。这否定了 Vector restore 数据加载是主要瓶颈的初始假设。</w:t>
      </w:r>
    </w:p>
    <w:p w14:paraId="43D116D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DE0CD48">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4.3.2  libgomp 自旋开销归因实验</w:t>
      </w:r>
    </w:p>
    <w:p w14:paraId="40DD544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为定位 Dirty Lease 减少的执行路径，本实验比较 CFS、CFS + affinity 和 Dirty Lease Observe。负载为两个 8 线程 llama-server 共享 8 核，A/B 各并发 4 个请求，每请求输入 128 Token、输出 64 Token。</w:t>
      </w:r>
    </w:p>
    <w:p w14:paraId="707290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实验以 perf stat 统计系统 instructions，以 cpu-clock:u 采样用户态 on-CPU 符号。通过 Build ID 和反汇编确认 libgomp.so.1 热点为进入 futex 前的 bounded-spin 循环。结果见表 4-6。</w:t>
      </w:r>
    </w:p>
    <w:p w14:paraId="2D0B2A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386A80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4-6  CFS、affinity 与 Dirty Lease 的 libgomp 自旋对比</w:t>
      </w:r>
    </w:p>
    <w:p w14:paraId="17EF572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799"/>
        <w:gridCol w:w="1380"/>
        <w:gridCol w:w="1337"/>
        <w:gridCol w:w="1337"/>
        <w:gridCol w:w="1167"/>
        <w:gridCol w:w="1167"/>
        <w:gridCol w:w="1359"/>
      </w:tblGrid>
      <w:tr w14:paraId="2DBA8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799"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15EB01B5">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配置</w:t>
            </w:r>
          </w:p>
        </w:tc>
        <w:tc>
          <w:tcPr>
            <w:tcW w:w="1380" w:type="dxa"/>
            <w:tcBorders>
              <w:top w:val="single" w:color="auto" w:sz="4" w:space="0"/>
              <w:left w:val="single" w:color="auto" w:sz="4" w:space="0"/>
              <w:bottom w:val="single" w:color="auto" w:sz="4" w:space="0"/>
            </w:tcBorders>
            <w:shd w:val="clear" w:color="auto" w:fill="FFFFFF"/>
            <w:tcMar>
              <w:top w:w="150" w:type="dxa"/>
              <w:left w:w="240" w:type="dxa"/>
              <w:bottom w:w="150" w:type="dxa"/>
              <w:right w:w="240" w:type="dxa"/>
            </w:tcMar>
            <w:vAlign w:val="center"/>
          </w:tcPr>
          <w:p w14:paraId="01549F1E">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Aggregate TPS</w:t>
            </w:r>
          </w:p>
        </w:tc>
        <w:tc>
          <w:tcPr>
            <w:tcW w:w="1337" w:type="dxa"/>
            <w:tcBorders>
              <w:top w:val="single" w:color="auto" w:sz="4" w:space="0"/>
              <w:bottom w:val="single" w:color="auto" w:sz="4" w:space="0"/>
            </w:tcBorders>
            <w:shd w:val="clear" w:color="auto" w:fill="FFFFFF"/>
            <w:tcMar>
              <w:top w:w="150" w:type="dxa"/>
              <w:left w:w="240" w:type="dxa"/>
              <w:bottom w:w="150" w:type="dxa"/>
              <w:right w:w="240" w:type="dxa"/>
            </w:tcMar>
            <w:vAlign w:val="center"/>
          </w:tcPr>
          <w:p w14:paraId="3B7991E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LLM CPU runtime</w:t>
            </w:r>
          </w:p>
        </w:tc>
        <w:tc>
          <w:tcPr>
            <w:tcW w:w="1337" w:type="dxa"/>
            <w:tcBorders>
              <w:top w:val="single" w:color="auto" w:sz="4" w:space="0"/>
              <w:bottom w:val="single" w:color="auto" w:sz="4" w:space="0"/>
            </w:tcBorders>
            <w:shd w:val="clear" w:color="auto" w:fill="FFFFFF"/>
            <w:tcMar>
              <w:top w:w="150" w:type="dxa"/>
              <w:left w:w="240" w:type="dxa"/>
              <w:bottom w:w="150" w:type="dxa"/>
              <w:right w:w="240" w:type="dxa"/>
            </w:tcMar>
            <w:vAlign w:val="center"/>
          </w:tcPr>
          <w:p w14:paraId="7592D39C">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系统 instructions</w:t>
            </w:r>
          </w:p>
        </w:tc>
        <w:tc>
          <w:tcPr>
            <w:tcW w:w="1167" w:type="dxa"/>
            <w:tcBorders>
              <w:top w:val="single" w:color="auto" w:sz="4" w:space="0"/>
              <w:bottom w:val="single" w:color="auto" w:sz="4" w:space="0"/>
            </w:tcBorders>
            <w:shd w:val="clear" w:color="auto" w:fill="FFFFFF"/>
            <w:tcMar>
              <w:top w:w="150" w:type="dxa"/>
              <w:left w:w="240" w:type="dxa"/>
              <w:bottom w:w="150" w:type="dxa"/>
              <w:right w:w="240" w:type="dxa"/>
            </w:tcMar>
            <w:vAlign w:val="center"/>
          </w:tcPr>
          <w:p w14:paraId="70B93303">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spin-loop 用户态占比</w:t>
            </w:r>
          </w:p>
        </w:tc>
        <w:tc>
          <w:tcPr>
            <w:tcW w:w="1167" w:type="dxa"/>
            <w:tcBorders>
              <w:top w:val="single" w:color="auto" w:sz="4" w:space="0"/>
              <w:bottom w:val="single" w:color="auto" w:sz="4" w:space="0"/>
            </w:tcBorders>
            <w:shd w:val="clear" w:color="auto" w:fill="FFFFFF"/>
            <w:tcMar>
              <w:top w:w="150" w:type="dxa"/>
              <w:left w:w="240" w:type="dxa"/>
              <w:bottom w:w="150" w:type="dxa"/>
              <w:right w:w="240" w:type="dxa"/>
            </w:tcMar>
            <w:vAlign w:val="center"/>
          </w:tcPr>
          <w:p w14:paraId="1E9FAE15">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spin-loop CPU 时间</w:t>
            </w:r>
          </w:p>
        </w:tc>
        <w:tc>
          <w:tcPr>
            <w:tcW w:w="1359" w:type="dxa"/>
            <w:tcBorders>
              <w:top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FDA4639">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libggml-cpu samples</w:t>
            </w:r>
          </w:p>
        </w:tc>
      </w:tr>
      <w:tr w14:paraId="3C608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99" w:type="dxa"/>
            <w:tcBorders>
              <w:top w:val="single" w:color="auto" w:sz="4" w:space="0"/>
              <w:left w:val="single" w:color="auto" w:sz="4" w:space="0"/>
              <w:right w:val="single" w:color="auto" w:sz="4" w:space="0"/>
            </w:tcBorders>
            <w:shd w:val="clear" w:color="auto" w:fill="FFFFFF"/>
            <w:tcMar>
              <w:top w:w="150" w:type="dxa"/>
              <w:left w:w="0" w:type="dxa"/>
              <w:bottom w:w="150" w:type="dxa"/>
              <w:right w:w="240" w:type="dxa"/>
            </w:tcMar>
            <w:vAlign w:val="center"/>
          </w:tcPr>
          <w:p w14:paraId="0F6C8A3F">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CFS</w:t>
            </w:r>
          </w:p>
        </w:tc>
        <w:tc>
          <w:tcPr>
            <w:tcW w:w="1380" w:type="dxa"/>
            <w:tcBorders>
              <w:top w:val="single" w:color="auto" w:sz="4" w:space="0"/>
              <w:left w:val="single" w:color="auto" w:sz="4" w:space="0"/>
            </w:tcBorders>
            <w:shd w:val="clear" w:color="auto" w:fill="FFFFFF"/>
            <w:tcMar>
              <w:top w:w="150" w:type="dxa"/>
              <w:left w:w="240" w:type="dxa"/>
              <w:bottom w:w="150" w:type="dxa"/>
              <w:right w:w="240" w:type="dxa"/>
            </w:tcMar>
            <w:vAlign w:val="center"/>
          </w:tcPr>
          <w:p w14:paraId="5A2EA3E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2.1131</w:t>
            </w:r>
          </w:p>
        </w:tc>
        <w:tc>
          <w:tcPr>
            <w:tcW w:w="1337" w:type="dxa"/>
            <w:tcBorders>
              <w:top w:val="single" w:color="auto" w:sz="4" w:space="0"/>
            </w:tcBorders>
            <w:shd w:val="clear" w:color="auto" w:fill="FFFFFF"/>
            <w:tcMar>
              <w:top w:w="150" w:type="dxa"/>
              <w:left w:w="240" w:type="dxa"/>
              <w:bottom w:w="150" w:type="dxa"/>
              <w:right w:w="240" w:type="dxa"/>
            </w:tcMar>
            <w:vAlign w:val="center"/>
          </w:tcPr>
          <w:p w14:paraId="7603B3B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1799.24 s</w:t>
            </w:r>
          </w:p>
        </w:tc>
        <w:tc>
          <w:tcPr>
            <w:tcW w:w="1337" w:type="dxa"/>
            <w:tcBorders>
              <w:top w:val="single" w:color="auto" w:sz="4" w:space="0"/>
            </w:tcBorders>
            <w:shd w:val="clear" w:color="auto" w:fill="FFFFFF"/>
            <w:tcMar>
              <w:top w:w="150" w:type="dxa"/>
              <w:left w:w="240" w:type="dxa"/>
              <w:bottom w:w="150" w:type="dxa"/>
              <w:right w:w="240" w:type="dxa"/>
            </w:tcMar>
            <w:vAlign w:val="center"/>
          </w:tcPr>
          <w:p w14:paraId="5281DA0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2.000 T</w:t>
            </w:r>
          </w:p>
        </w:tc>
        <w:tc>
          <w:tcPr>
            <w:tcW w:w="1167" w:type="dxa"/>
            <w:tcBorders>
              <w:top w:val="single" w:color="auto" w:sz="4" w:space="0"/>
            </w:tcBorders>
            <w:shd w:val="clear" w:color="auto" w:fill="FFFFFF"/>
            <w:tcMar>
              <w:top w:w="150" w:type="dxa"/>
              <w:left w:w="240" w:type="dxa"/>
              <w:bottom w:w="150" w:type="dxa"/>
              <w:right w:w="240" w:type="dxa"/>
            </w:tcMar>
            <w:vAlign w:val="center"/>
          </w:tcPr>
          <w:p w14:paraId="2253FB3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17.54%</w:t>
            </w:r>
          </w:p>
        </w:tc>
        <w:tc>
          <w:tcPr>
            <w:tcW w:w="1167" w:type="dxa"/>
            <w:tcBorders>
              <w:top w:val="single" w:color="auto" w:sz="4" w:space="0"/>
            </w:tcBorders>
            <w:shd w:val="clear" w:color="auto" w:fill="FFFFFF"/>
            <w:tcMar>
              <w:top w:w="150" w:type="dxa"/>
              <w:left w:w="240" w:type="dxa"/>
              <w:bottom w:w="150" w:type="dxa"/>
              <w:right w:w="240" w:type="dxa"/>
            </w:tcMar>
            <w:vAlign w:val="center"/>
          </w:tcPr>
          <w:p w14:paraId="469A14F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311.14 s</w:t>
            </w:r>
          </w:p>
        </w:tc>
        <w:tc>
          <w:tcPr>
            <w:tcW w:w="1359" w:type="dxa"/>
            <w:tcBorders>
              <w:top w:val="single" w:color="auto" w:sz="4" w:space="0"/>
              <w:right w:val="single" w:color="auto" w:sz="4" w:space="0"/>
            </w:tcBorders>
            <w:shd w:val="clear" w:color="auto" w:fill="FFFFFF"/>
            <w:tcMar>
              <w:top w:w="150" w:type="dxa"/>
              <w:left w:w="240" w:type="dxa"/>
              <w:bottom w:w="150" w:type="dxa"/>
              <w:right w:w="0" w:type="dxa"/>
            </w:tcMar>
            <w:vAlign w:val="center"/>
          </w:tcPr>
          <w:p w14:paraId="5CA1490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142,838</w:t>
            </w:r>
          </w:p>
        </w:tc>
      </w:tr>
      <w:tr w14:paraId="08F8D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99" w:type="dxa"/>
            <w:tcBorders>
              <w:left w:val="single" w:color="auto" w:sz="4" w:space="0"/>
              <w:right w:val="single" w:color="auto" w:sz="4" w:space="0"/>
            </w:tcBorders>
            <w:shd w:val="clear" w:color="auto" w:fill="FFFFFF"/>
            <w:tcMar>
              <w:top w:w="150" w:type="dxa"/>
              <w:left w:w="0" w:type="dxa"/>
              <w:bottom w:w="150" w:type="dxa"/>
              <w:right w:w="240" w:type="dxa"/>
            </w:tcMar>
            <w:vAlign w:val="center"/>
          </w:tcPr>
          <w:p w14:paraId="06D08098">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CFS + affinity</w:t>
            </w:r>
          </w:p>
        </w:tc>
        <w:tc>
          <w:tcPr>
            <w:tcW w:w="1380" w:type="dxa"/>
            <w:tcBorders>
              <w:left w:val="single" w:color="auto" w:sz="4" w:space="0"/>
            </w:tcBorders>
            <w:shd w:val="clear" w:color="auto" w:fill="FFFFFF"/>
            <w:tcMar>
              <w:top w:w="150" w:type="dxa"/>
              <w:left w:w="240" w:type="dxa"/>
              <w:bottom w:w="150" w:type="dxa"/>
              <w:right w:w="240" w:type="dxa"/>
            </w:tcMar>
            <w:vAlign w:val="center"/>
          </w:tcPr>
          <w:p w14:paraId="4AE716D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2.4177（+14.42%）</w:t>
            </w:r>
          </w:p>
        </w:tc>
        <w:tc>
          <w:tcPr>
            <w:tcW w:w="1337" w:type="dxa"/>
            <w:shd w:val="clear" w:color="auto" w:fill="FFFFFF"/>
            <w:tcMar>
              <w:top w:w="150" w:type="dxa"/>
              <w:left w:w="240" w:type="dxa"/>
              <w:bottom w:w="150" w:type="dxa"/>
              <w:right w:w="240" w:type="dxa"/>
            </w:tcMar>
            <w:vAlign w:val="center"/>
          </w:tcPr>
          <w:p w14:paraId="21B657B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1605.23 s（-10.78%）</w:t>
            </w:r>
          </w:p>
        </w:tc>
        <w:tc>
          <w:tcPr>
            <w:tcW w:w="1337" w:type="dxa"/>
            <w:shd w:val="clear" w:color="auto" w:fill="FFFFFF"/>
            <w:tcMar>
              <w:top w:w="150" w:type="dxa"/>
              <w:left w:w="240" w:type="dxa"/>
              <w:bottom w:w="150" w:type="dxa"/>
              <w:right w:w="240" w:type="dxa"/>
            </w:tcMar>
            <w:vAlign w:val="center"/>
          </w:tcPr>
          <w:p w14:paraId="1119990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1.619 T（-19.05%）</w:t>
            </w:r>
          </w:p>
        </w:tc>
        <w:tc>
          <w:tcPr>
            <w:tcW w:w="1167" w:type="dxa"/>
            <w:shd w:val="clear" w:color="auto" w:fill="FFFFFF"/>
            <w:tcMar>
              <w:top w:w="150" w:type="dxa"/>
              <w:left w:w="240" w:type="dxa"/>
              <w:bottom w:w="150" w:type="dxa"/>
              <w:right w:w="240" w:type="dxa"/>
            </w:tcMar>
            <w:vAlign w:val="center"/>
          </w:tcPr>
          <w:p w14:paraId="2227D28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7.48%</w:t>
            </w:r>
          </w:p>
        </w:tc>
        <w:tc>
          <w:tcPr>
            <w:tcW w:w="1167" w:type="dxa"/>
            <w:shd w:val="clear" w:color="auto" w:fill="FFFFFF"/>
            <w:tcMar>
              <w:top w:w="150" w:type="dxa"/>
              <w:left w:w="240" w:type="dxa"/>
              <w:bottom w:w="150" w:type="dxa"/>
              <w:right w:w="240" w:type="dxa"/>
            </w:tcMar>
            <w:vAlign w:val="center"/>
          </w:tcPr>
          <w:p w14:paraId="4124831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119.07 s</w:t>
            </w:r>
          </w:p>
        </w:tc>
        <w:tc>
          <w:tcPr>
            <w:tcW w:w="1359" w:type="dxa"/>
            <w:tcBorders>
              <w:right w:val="single" w:color="auto" w:sz="4" w:space="0"/>
            </w:tcBorders>
            <w:shd w:val="clear" w:color="auto" w:fill="FFFFFF"/>
            <w:tcMar>
              <w:top w:w="150" w:type="dxa"/>
              <w:left w:w="240" w:type="dxa"/>
              <w:bottom w:w="150" w:type="dxa"/>
              <w:right w:w="0" w:type="dxa"/>
            </w:tcMar>
            <w:vAlign w:val="center"/>
          </w:tcPr>
          <w:p w14:paraId="0391806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144,339（+1.05%）</w:t>
            </w:r>
          </w:p>
        </w:tc>
      </w:tr>
      <w:tr w14:paraId="3FD8C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99" w:type="dxa"/>
            <w:tcBorders>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58898795">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Dirty Lease Observe</w:t>
            </w:r>
          </w:p>
        </w:tc>
        <w:tc>
          <w:tcPr>
            <w:tcW w:w="1380" w:type="dxa"/>
            <w:tcBorders>
              <w:left w:val="single" w:color="auto" w:sz="4" w:space="0"/>
              <w:bottom w:val="single" w:color="auto" w:sz="4" w:space="0"/>
            </w:tcBorders>
            <w:shd w:val="clear" w:color="auto" w:fill="FFFFFF"/>
            <w:tcMar>
              <w:top w:w="150" w:type="dxa"/>
              <w:left w:w="240" w:type="dxa"/>
              <w:bottom w:w="150" w:type="dxa"/>
              <w:right w:w="240" w:type="dxa"/>
            </w:tcMar>
            <w:vAlign w:val="center"/>
          </w:tcPr>
          <w:p w14:paraId="3ABB688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2.5194（+19.23%）</w:t>
            </w:r>
          </w:p>
        </w:tc>
        <w:tc>
          <w:tcPr>
            <w:tcW w:w="1337" w:type="dxa"/>
            <w:tcBorders>
              <w:bottom w:val="single" w:color="auto" w:sz="4" w:space="0"/>
            </w:tcBorders>
            <w:shd w:val="clear" w:color="auto" w:fill="FFFFFF"/>
            <w:tcMar>
              <w:top w:w="150" w:type="dxa"/>
              <w:left w:w="240" w:type="dxa"/>
              <w:bottom w:w="150" w:type="dxa"/>
              <w:right w:w="240" w:type="dxa"/>
            </w:tcMar>
            <w:vAlign w:val="center"/>
          </w:tcPr>
          <w:p w14:paraId="3DF043D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1528.83 s（-15.03%）</w:t>
            </w:r>
          </w:p>
        </w:tc>
        <w:tc>
          <w:tcPr>
            <w:tcW w:w="1337" w:type="dxa"/>
            <w:tcBorders>
              <w:bottom w:val="single" w:color="auto" w:sz="4" w:space="0"/>
            </w:tcBorders>
            <w:shd w:val="clear" w:color="auto" w:fill="FFFFFF"/>
            <w:tcMar>
              <w:top w:w="150" w:type="dxa"/>
              <w:left w:w="240" w:type="dxa"/>
              <w:bottom w:w="150" w:type="dxa"/>
              <w:right w:w="240" w:type="dxa"/>
            </w:tcMar>
            <w:vAlign w:val="center"/>
          </w:tcPr>
          <w:p w14:paraId="54FF8C7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1.549 T（-22.55%）</w:t>
            </w:r>
          </w:p>
        </w:tc>
        <w:tc>
          <w:tcPr>
            <w:tcW w:w="1167" w:type="dxa"/>
            <w:tcBorders>
              <w:bottom w:val="single" w:color="auto" w:sz="4" w:space="0"/>
            </w:tcBorders>
            <w:shd w:val="clear" w:color="auto" w:fill="FFFFFF"/>
            <w:tcMar>
              <w:top w:w="150" w:type="dxa"/>
              <w:left w:w="240" w:type="dxa"/>
              <w:bottom w:w="150" w:type="dxa"/>
              <w:right w:w="240" w:type="dxa"/>
            </w:tcMar>
            <w:vAlign w:val="center"/>
          </w:tcPr>
          <w:p w14:paraId="42FEC34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5.64%</w:t>
            </w:r>
          </w:p>
        </w:tc>
        <w:tc>
          <w:tcPr>
            <w:tcW w:w="1167" w:type="dxa"/>
            <w:tcBorders>
              <w:bottom w:val="single" w:color="auto" w:sz="4" w:space="0"/>
            </w:tcBorders>
            <w:shd w:val="clear" w:color="auto" w:fill="FFFFFF"/>
            <w:tcMar>
              <w:top w:w="150" w:type="dxa"/>
              <w:left w:w="240" w:type="dxa"/>
              <w:bottom w:w="150" w:type="dxa"/>
              <w:right w:w="240" w:type="dxa"/>
            </w:tcMar>
            <w:vAlign w:val="center"/>
          </w:tcPr>
          <w:p w14:paraId="3A9CB2A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86.03 s</w:t>
            </w:r>
          </w:p>
        </w:tc>
        <w:tc>
          <w:tcPr>
            <w:tcW w:w="1359" w:type="dxa"/>
            <w:tcBorders>
              <w:bottom w:val="single" w:color="auto" w:sz="4" w:space="0"/>
              <w:right w:val="single" w:color="auto" w:sz="4" w:space="0"/>
            </w:tcBorders>
            <w:shd w:val="clear" w:color="auto" w:fill="FFFFFF"/>
            <w:tcMar>
              <w:top w:w="150" w:type="dxa"/>
              <w:left w:w="240" w:type="dxa"/>
              <w:bottom w:w="150" w:type="dxa"/>
              <w:right w:w="0" w:type="dxa"/>
            </w:tcMar>
            <w:vAlign w:val="center"/>
          </w:tcPr>
          <w:p w14:paraId="2A65E3B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140,976（-1.30%）</w:t>
            </w:r>
          </w:p>
        </w:tc>
      </w:tr>
    </w:tbl>
    <w:p w14:paraId="3BABD0D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E33C81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Observe 将 spin-loop CPU 时间减少 72.35%，而矩阵计算样本基本不变，说明收益主要来自同组 worker 更同步地到达 barrier、减少用户态自旋；上下文切换和 RVV 搬运下降是伴随指标。</w:t>
      </w:r>
    </w:p>
    <w:p w14:paraId="1645689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2B6CBF6B">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4.3.3  同步双负载上限实验</w:t>
      </w:r>
    </w:p>
    <w:p w14:paraId="04547AE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为估计稳态性能上限，本实验使两个 llama-server 从开始到结束承担相同工作量，并将 CFS 4+4 的无跨组争用结果作为本组配置的经验理想参考。</w:t>
      </w:r>
    </w:p>
    <w:p w14:paraId="4627BF3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7A9D1D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6C4730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4-7  同步双负载实验条件</w:t>
      </w:r>
    </w:p>
    <w:tbl>
      <w:tblPr>
        <w:tblStyle w:val="9"/>
        <w:tblpPr w:leftFromText="180" w:rightFromText="180" w:vertAnchor="text" w:horzAnchor="page" w:tblpX="1803" w:tblpY="401"/>
        <w:tblOverlap w:val="never"/>
        <w:tblW w:w="9259"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88"/>
        <w:gridCol w:w="7571"/>
      </w:tblGrid>
      <w:tr w14:paraId="685583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bottom w:val="single" w:color="auto" w:sz="4" w:space="0"/>
            </w:tcBorders>
            <w:shd w:val="clear" w:color="auto" w:fill="FFFFFF"/>
            <w:tcMar>
              <w:top w:w="150" w:type="dxa"/>
              <w:left w:w="0" w:type="dxa"/>
              <w:bottom w:w="150" w:type="dxa"/>
              <w:right w:w="240" w:type="dxa"/>
            </w:tcMar>
            <w:vAlign w:val="center"/>
          </w:tcPr>
          <w:p w14:paraId="725BE1CC">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项目</w:t>
            </w:r>
          </w:p>
        </w:tc>
        <w:tc>
          <w:tcPr>
            <w:tcW w:w="0" w:type="auto"/>
            <w:tcBorders>
              <w:bottom w:val="single" w:color="auto" w:sz="4" w:space="0"/>
            </w:tcBorders>
            <w:shd w:val="clear" w:color="auto" w:fill="FFFFFF"/>
            <w:tcMar>
              <w:top w:w="150" w:type="dxa"/>
              <w:left w:w="240" w:type="dxa"/>
              <w:bottom w:w="150" w:type="dxa"/>
              <w:right w:w="240" w:type="dxa"/>
            </w:tcMar>
            <w:vAlign w:val="center"/>
          </w:tcPr>
          <w:p w14:paraId="4FD95BF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配置</w:t>
            </w:r>
          </w:p>
        </w:tc>
      </w:tr>
      <w:tr w14:paraId="56D055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tcBorders>
            <w:shd w:val="clear" w:color="auto" w:fill="FFFFFF"/>
            <w:tcMar>
              <w:top w:w="150" w:type="dxa"/>
              <w:left w:w="0" w:type="dxa"/>
              <w:bottom w:w="150" w:type="dxa"/>
              <w:right w:w="240" w:type="dxa"/>
            </w:tcMar>
            <w:vAlign w:val="center"/>
          </w:tcPr>
          <w:p w14:paraId="47E9CEA7">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总并发数</w:t>
            </w:r>
          </w:p>
        </w:tc>
        <w:tc>
          <w:tcPr>
            <w:tcW w:w="0" w:type="auto"/>
            <w:tcBorders>
              <w:top w:val="single" w:color="auto" w:sz="4" w:space="0"/>
            </w:tcBorders>
            <w:shd w:val="clear" w:color="auto" w:fill="FFFFFF"/>
            <w:tcMar>
              <w:top w:w="150" w:type="dxa"/>
              <w:left w:w="240" w:type="dxa"/>
              <w:bottom w:w="150" w:type="dxa"/>
              <w:right w:w="0" w:type="dxa"/>
            </w:tcMar>
            <w:vAlign w:val="center"/>
          </w:tcPr>
          <w:p w14:paraId="3B4CAD1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8，A/B 各 4 个请求</w:t>
            </w:r>
          </w:p>
        </w:tc>
      </w:tr>
      <w:tr w14:paraId="5A4B8AD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7D495113">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Input token</w:t>
            </w:r>
          </w:p>
        </w:tc>
        <w:tc>
          <w:tcPr>
            <w:tcW w:w="0" w:type="auto"/>
            <w:shd w:val="clear" w:color="auto" w:fill="FFFFFF"/>
            <w:tcMar>
              <w:top w:w="150" w:type="dxa"/>
              <w:left w:w="240" w:type="dxa"/>
              <w:bottom w:w="150" w:type="dxa"/>
              <w:right w:w="0" w:type="dxa"/>
            </w:tcMar>
            <w:vAlign w:val="center"/>
          </w:tcPr>
          <w:p w14:paraId="6BC67A6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两侧均为 27、111、326、713</w:t>
            </w:r>
          </w:p>
        </w:tc>
      </w:tr>
      <w:tr w14:paraId="0DE3B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651B037F">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Output token</w:t>
            </w:r>
          </w:p>
        </w:tc>
        <w:tc>
          <w:tcPr>
            <w:tcW w:w="0" w:type="auto"/>
            <w:shd w:val="clear" w:color="auto" w:fill="FFFFFF"/>
            <w:tcMar>
              <w:top w:w="150" w:type="dxa"/>
              <w:left w:w="240" w:type="dxa"/>
              <w:bottom w:w="150" w:type="dxa"/>
              <w:right w:w="0" w:type="dxa"/>
            </w:tcMar>
            <w:vAlign w:val="center"/>
          </w:tcPr>
          <w:p w14:paraId="2E0D06B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每请求 256，每轮合计 2048</w:t>
            </w:r>
          </w:p>
        </w:tc>
      </w:tr>
      <w:tr w14:paraId="71FADE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7155C3C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请求释放</w:t>
            </w:r>
          </w:p>
        </w:tc>
        <w:tc>
          <w:tcPr>
            <w:tcW w:w="0" w:type="auto"/>
            <w:shd w:val="clear" w:color="auto" w:fill="FFFFFF"/>
            <w:tcMar>
              <w:top w:w="150" w:type="dxa"/>
              <w:left w:w="240" w:type="dxa"/>
              <w:bottom w:w="150" w:type="dxa"/>
              <w:right w:w="0" w:type="dxa"/>
            </w:tcMar>
            <w:vAlign w:val="center"/>
          </w:tcPr>
          <w:p w14:paraId="5A1D222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8 个请求使用同一绝对时刻，arrival-gap=0</w:t>
            </w:r>
          </w:p>
        </w:tc>
      </w:tr>
      <w:tr w14:paraId="4F182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01C4568">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随机性与缓存</w:t>
            </w:r>
          </w:p>
        </w:tc>
        <w:tc>
          <w:tcPr>
            <w:tcW w:w="0" w:type="auto"/>
            <w:shd w:val="clear" w:color="auto" w:fill="FFFFFF"/>
            <w:tcMar>
              <w:top w:w="150" w:type="dxa"/>
              <w:left w:w="240" w:type="dxa"/>
              <w:bottom w:w="150" w:type="dxa"/>
              <w:right w:w="0" w:type="dxa"/>
            </w:tcMar>
            <w:vAlign w:val="center"/>
          </w:tcPr>
          <w:p w14:paraId="3A20325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temperature=0，seed=1234，ignore_eos=true，cache_prompt=false</w:t>
            </w:r>
          </w:p>
        </w:tc>
      </w:tr>
      <w:tr w14:paraId="1D169D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D641541">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重复次数</w:t>
            </w:r>
          </w:p>
        </w:tc>
        <w:tc>
          <w:tcPr>
            <w:tcW w:w="0" w:type="auto"/>
            <w:shd w:val="clear" w:color="auto" w:fill="FFFFFF"/>
            <w:tcMar>
              <w:top w:w="150" w:type="dxa"/>
              <w:left w:w="240" w:type="dxa"/>
              <w:bottom w:w="150" w:type="dxa"/>
              <w:right w:w="0" w:type="dxa"/>
            </w:tcMar>
            <w:vAlign w:val="center"/>
          </w:tcPr>
          <w:p w14:paraId="073C6F0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每种配置 3 个有效轮次</w:t>
            </w:r>
          </w:p>
        </w:tc>
      </w:tr>
      <w:tr w14:paraId="329ABE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4FC04AAC">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启动对齐门禁</w:t>
            </w:r>
          </w:p>
        </w:tc>
        <w:tc>
          <w:tcPr>
            <w:tcW w:w="0" w:type="auto"/>
            <w:shd w:val="clear" w:color="auto" w:fill="FFFFFF"/>
            <w:tcMar>
              <w:top w:w="150" w:type="dxa"/>
              <w:left w:w="240" w:type="dxa"/>
              <w:bottom w:w="150" w:type="dxa"/>
              <w:right w:w="0" w:type="dxa"/>
            </w:tcMar>
            <w:vAlign w:val="center"/>
          </w:tcPr>
          <w:p w14:paraId="1F92076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paired start skew 不超过 25 ms</w:t>
            </w:r>
          </w:p>
        </w:tc>
      </w:tr>
    </w:tbl>
    <w:p w14:paraId="4A5250F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24C8BF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FDA4FD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实验比较两种配置。Phase-Aware Dirty Lease 8+8 中，两个服务均使用 -t 8 -tb 8，16 个 worker 通过 VDSQ 和稳定 CPU 映射动态共享 CPU0～CPU7；调度参数与主实验一致。CFS 4+4 中，两个服务均使用 -t 4 -tb 4，服务 A 固定在 CPU0～CPU3，服务 B 固定在 CPU4～CPU7。后者在本场景中始终有 4 个 worker 对应 4 个独占核心，可作为经验理想参考。</w:t>
      </w:r>
    </w:p>
    <w:p w14:paraId="7205B25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7D4630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4-8  Phase-Aware 与经验理想吞吐对比</w:t>
      </w:r>
    </w:p>
    <w:p w14:paraId="75E1A80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47"/>
        <w:gridCol w:w="2678"/>
        <w:gridCol w:w="1941"/>
        <w:gridCol w:w="1680"/>
      </w:tblGrid>
      <w:tr w14:paraId="1D75E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247"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2A513BDB">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配置</w:t>
            </w:r>
          </w:p>
        </w:tc>
        <w:tc>
          <w:tcPr>
            <w:tcW w:w="0" w:type="auto"/>
            <w:tcBorders>
              <w:top w:val="single" w:color="auto" w:sz="4" w:space="0"/>
              <w:left w:val="single" w:color="auto" w:sz="4" w:space="0"/>
              <w:bottom w:val="single" w:color="auto" w:sz="4" w:space="0"/>
            </w:tcBorders>
            <w:shd w:val="clear" w:color="auto" w:fill="FFFFFF"/>
            <w:tcMar>
              <w:top w:w="150" w:type="dxa"/>
              <w:left w:w="240" w:type="dxa"/>
              <w:bottom w:w="150" w:type="dxa"/>
              <w:right w:w="240" w:type="dxa"/>
            </w:tcMar>
            <w:vAlign w:val="center"/>
          </w:tcPr>
          <w:p w14:paraId="04B58D7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Aggregate TPS（均值 ± 标准差）</w:t>
            </w:r>
          </w:p>
        </w:tc>
        <w:tc>
          <w:tcPr>
            <w:tcW w:w="0" w:type="auto"/>
            <w:tcBorders>
              <w:top w:val="single" w:color="auto" w:sz="4" w:space="0"/>
              <w:bottom w:val="single" w:color="auto" w:sz="4" w:space="0"/>
            </w:tcBorders>
            <w:shd w:val="clear" w:color="auto" w:fill="FFFFFF"/>
            <w:tcMar>
              <w:top w:w="150" w:type="dxa"/>
              <w:left w:w="240" w:type="dxa"/>
              <w:bottom w:w="150" w:type="dxa"/>
              <w:right w:w="240" w:type="dxa"/>
            </w:tcMar>
            <w:vAlign w:val="center"/>
          </w:tcPr>
          <w:p w14:paraId="0E5DD6E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8 核 LLM CPU 利用率</w:t>
            </w:r>
          </w:p>
        </w:tc>
        <w:tc>
          <w:tcPr>
            <w:tcW w:w="0" w:type="auto"/>
            <w:tcBorders>
              <w:top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3BD8257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A/B 综合平均 TTFT</w:t>
            </w:r>
          </w:p>
        </w:tc>
      </w:tr>
      <w:tr w14:paraId="37689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247" w:type="dxa"/>
            <w:tcBorders>
              <w:top w:val="single" w:color="auto" w:sz="4" w:space="0"/>
              <w:left w:val="single" w:color="auto" w:sz="4" w:space="0"/>
              <w:right w:val="single" w:color="auto" w:sz="4" w:space="0"/>
            </w:tcBorders>
            <w:shd w:val="clear" w:color="auto" w:fill="FFFFFF"/>
            <w:tcMar>
              <w:top w:w="150" w:type="dxa"/>
              <w:left w:w="0" w:type="dxa"/>
              <w:bottom w:w="150" w:type="dxa"/>
              <w:right w:w="240" w:type="dxa"/>
            </w:tcMar>
            <w:vAlign w:val="center"/>
          </w:tcPr>
          <w:p w14:paraId="5CF2B802">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Phase-Aware Dirty Lease 8+8</w:t>
            </w:r>
          </w:p>
        </w:tc>
        <w:tc>
          <w:tcPr>
            <w:tcW w:w="0" w:type="auto"/>
            <w:tcBorders>
              <w:top w:val="single" w:color="auto" w:sz="4" w:space="0"/>
              <w:left w:val="single" w:color="auto" w:sz="4" w:space="0"/>
            </w:tcBorders>
            <w:shd w:val="clear" w:color="auto" w:fill="FFFFFF"/>
            <w:tcMar>
              <w:top w:w="150" w:type="dxa"/>
              <w:left w:w="240" w:type="dxa"/>
              <w:bottom w:w="150" w:type="dxa"/>
              <w:right w:w="240" w:type="dxa"/>
            </w:tcMar>
            <w:vAlign w:val="center"/>
          </w:tcPr>
          <w:p w14:paraId="0E90693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2.8747 ± 0.0057</w:t>
            </w:r>
          </w:p>
        </w:tc>
        <w:tc>
          <w:tcPr>
            <w:tcW w:w="0" w:type="auto"/>
            <w:tcBorders>
              <w:top w:val="single" w:color="auto" w:sz="4" w:space="0"/>
            </w:tcBorders>
            <w:shd w:val="clear" w:color="auto" w:fill="FFFFFF"/>
            <w:tcMar>
              <w:top w:w="150" w:type="dxa"/>
              <w:left w:w="240" w:type="dxa"/>
              <w:bottom w:w="150" w:type="dxa"/>
              <w:right w:w="240" w:type="dxa"/>
            </w:tcMar>
            <w:vAlign w:val="center"/>
          </w:tcPr>
          <w:p w14:paraId="5E8C4C6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93.74%</w:t>
            </w:r>
          </w:p>
        </w:tc>
        <w:tc>
          <w:tcPr>
            <w:tcW w:w="0" w:type="auto"/>
            <w:tcBorders>
              <w:top w:val="single" w:color="auto" w:sz="4" w:space="0"/>
              <w:right w:val="single" w:color="auto" w:sz="4" w:space="0"/>
            </w:tcBorders>
            <w:shd w:val="clear" w:color="auto" w:fill="FFFFFF"/>
            <w:tcMar>
              <w:top w:w="150" w:type="dxa"/>
              <w:left w:w="240" w:type="dxa"/>
              <w:bottom w:w="150" w:type="dxa"/>
              <w:right w:w="0" w:type="dxa"/>
            </w:tcMar>
            <w:vAlign w:val="center"/>
          </w:tcPr>
          <w:p w14:paraId="0054634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183.8 s</w:t>
            </w:r>
          </w:p>
        </w:tc>
      </w:tr>
      <w:tr w14:paraId="6F6CF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47" w:type="dxa"/>
            <w:tcBorders>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1B47E86E">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CFS 4+4 经验理想参考</w:t>
            </w:r>
          </w:p>
        </w:tc>
        <w:tc>
          <w:tcPr>
            <w:tcW w:w="0" w:type="auto"/>
            <w:tcBorders>
              <w:left w:val="single" w:color="auto" w:sz="4" w:space="0"/>
              <w:bottom w:val="single" w:color="auto" w:sz="4" w:space="0"/>
            </w:tcBorders>
            <w:shd w:val="clear" w:color="auto" w:fill="FFFFFF"/>
            <w:tcMar>
              <w:top w:w="150" w:type="dxa"/>
              <w:left w:w="240" w:type="dxa"/>
              <w:bottom w:w="150" w:type="dxa"/>
              <w:right w:w="240" w:type="dxa"/>
            </w:tcMar>
            <w:vAlign w:val="center"/>
          </w:tcPr>
          <w:p w14:paraId="293B8B5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2.8979 ± 0.0148</w:t>
            </w:r>
          </w:p>
        </w:tc>
        <w:tc>
          <w:tcPr>
            <w:tcW w:w="0" w:type="auto"/>
            <w:tcBorders>
              <w:bottom w:val="single" w:color="auto" w:sz="4" w:space="0"/>
            </w:tcBorders>
            <w:shd w:val="clear" w:color="auto" w:fill="FFFFFF"/>
            <w:tcMar>
              <w:top w:w="150" w:type="dxa"/>
              <w:left w:w="240" w:type="dxa"/>
              <w:bottom w:w="150" w:type="dxa"/>
              <w:right w:w="240" w:type="dxa"/>
            </w:tcMar>
            <w:vAlign w:val="center"/>
          </w:tcPr>
          <w:p w14:paraId="6476BA8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94.55%</w:t>
            </w:r>
          </w:p>
        </w:tc>
        <w:tc>
          <w:tcPr>
            <w:tcW w:w="0" w:type="auto"/>
            <w:tcBorders>
              <w:bottom w:val="single" w:color="auto" w:sz="4" w:space="0"/>
              <w:right w:val="single" w:color="auto" w:sz="4" w:space="0"/>
            </w:tcBorders>
            <w:shd w:val="clear" w:color="auto" w:fill="FFFFFF"/>
            <w:tcMar>
              <w:top w:w="150" w:type="dxa"/>
              <w:left w:w="240" w:type="dxa"/>
              <w:bottom w:w="150" w:type="dxa"/>
              <w:right w:w="0" w:type="dxa"/>
            </w:tcMar>
            <w:vAlign w:val="center"/>
          </w:tcPr>
          <w:p w14:paraId="095EA54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191.9 s</w:t>
            </w:r>
          </w:p>
        </w:tc>
      </w:tr>
    </w:tbl>
    <w:p w14:paraId="2085806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4B234B5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76591D4">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4.3.4  同步双负载实验结论</w:t>
      </w:r>
    </w:p>
    <w:p w14:paraId="4717D03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Phase-Aware 的稳态吞吐达到经验理想参考的 99.20%，说明主要吞吐空间已被利用，继续单纯减少切换或延长 slice 的收益有限。</w:t>
      </w:r>
    </w:p>
    <w:p w14:paraId="365A9C1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3A76B58">
      <w:pPr>
        <w:pStyle w:val="2"/>
        <w:bidi w:val="0"/>
        <w:rPr>
          <w:rFonts w:hint="eastAsia"/>
        </w:rPr>
      </w:pPr>
      <w:bookmarkStart w:id="14" w:name="_Toc32262"/>
      <w:r>
        <w:rPr>
          <w:rFonts w:hint="eastAsia"/>
        </w:rPr>
        <w:t>实现难点说明</w:t>
      </w:r>
      <w:bookmarkEnd w:id="14"/>
    </w:p>
    <w:p w14:paraId="25A2B46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064FD834">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15" w:name="_Toc32242"/>
      <w:r>
        <w:rPr>
          <w:rFonts w:hint="eastAsia" w:ascii="黑体" w:hAnsi="黑体" w:eastAsia="黑体" w:cs="黑体"/>
          <w:b w:val="0"/>
          <w:bCs/>
          <w:sz w:val="28"/>
          <w:szCs w:val="28"/>
        </w:rPr>
        <w:t>5.1  sched_ext 向 K1 Linux 6.6 的移植</w:t>
      </w:r>
      <w:bookmarkEnd w:id="15"/>
    </w:p>
    <w:p w14:paraId="1085983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K1 厂商 Linux 6.6 缺少在 Linux 6.12 才进入主线的 sched_ext，且包含独立的调度、cgroup、BTF 和驱动修改，无法直接套用主线实现。项目以 v6.6.4-scx2 为基础，将调度类、struct_ops、DSQ 和 watchdog 接入厂商内核，并完成 BTF/CO-RE、构建头文件和板级驱动适配。移植严格保留默认调度回退和 sched_ext 控制边界：策略只能使用 DSQ、kick 等标准接口，退出、验证失败或触发 watchdog 后必须释放任务。最终通过完整内核与模块构建、反复 attach/detach、普通进程与双模型负载以及 dmesg/watchdog 门禁验证；该补丁面向特定 K1 基线，迁移到其他 Linux 6.6 分支仍需重新适配。</w:t>
      </w:r>
    </w:p>
    <w:p w14:paraId="6BBCE97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4D713BE4">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黑体" w:hAnsi="黑体" w:eastAsia="黑体" w:cs="黑体"/>
          <w:b w:val="0"/>
          <w:bCs/>
          <w:sz w:val="28"/>
          <w:szCs w:val="28"/>
        </w:rPr>
      </w:pPr>
      <w:bookmarkStart w:id="16" w:name="_Toc31015"/>
      <w:r>
        <w:rPr>
          <w:rFonts w:hint="eastAsia" w:ascii="黑体" w:hAnsi="黑体" w:eastAsia="黑体" w:cs="黑体"/>
          <w:b w:val="0"/>
          <w:bCs/>
          <w:sz w:val="28"/>
          <w:szCs w:val="28"/>
        </w:rPr>
        <w:t>5.2  RVV 工作线程的可靠识别与分组</w:t>
      </w:r>
      <w:bookmarkEnd w:id="16"/>
    </w:p>
    <w:p w14:paraId="4CE3FC2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Linux 只看到独立 task，sstatus.VS=Dirty 能表明线程使用过 Vector 指令，却不能提供 team、worker 序号和推理阶段；单独依赖用户注册又面临启动时序、版本失配和 TID 复用问题。项目因此采用两级识别：patched llama.cpp 发布 TID、TGID、ith、team 和会话信息，调度器校验版本与会话后确认身份并按 ith 建立同组唯一 CPU 映射；提示未就绪时，以累计 RVV Dirty 命中作为保守回退。启动阶段允许任务暂时 direct-local，识别完成后进入 VDSQ，陈旧或不完整状态不参与决策。若目标范围内还存在其他长期使用 RVV 的进程，仍需结合用户态身份或 TGID 进一步区分。</w:t>
      </w:r>
    </w:p>
    <w:p w14:paraId="314C0F5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E74E851">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17" w:name="_Toc4301"/>
      <w:r>
        <w:rPr>
          <w:rFonts w:hint="eastAsia" w:ascii="黑体" w:hAnsi="黑体" w:eastAsia="黑体" w:cs="黑体"/>
          <w:b w:val="0"/>
          <w:bCs/>
          <w:sz w:val="28"/>
          <w:szCs w:val="28"/>
        </w:rPr>
        <w:t>5.3  性能采集、归因与口径控制</w:t>
      </w:r>
      <w:bookmarkEnd w:id="17"/>
    </w:p>
    <w:p w14:paraId="7643753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请求时间、worker 事件和系统计数属于不同对象与时钟，且观测本身会扰动短周期调度。Benchmark 因此以单调时钟记录实际发送和逐 Token 时间，按真实 Token 与 makespan 计算 TPS、TTFT 等指标；rvv_sched_cost 按 TGID/TID 关联 sched_switch、futex 和 RVV 事件，符号分析则针对 K1 PMU 限制采用低频 cpu-clock:u、Build ID 和反汇编确认热点。测试严格分离低扰动正式轮与全量 trace、符号采样等诊断轮，并区分上下文切换、RVV 候选、实际搬运、futex blocked time 和用户态 spin，避免把相关计数下降直接视为关键路径收益。正式结果固定负载和统计口径，使用 pooled 单请求 p95，并通过请求完整性、DSQ 收支、频温、丢失事件和内核状态门禁。</w:t>
      </w:r>
    </w:p>
    <w:p w14:paraId="6AEDA47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1AE5CCA6">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18" w:name="_Toc32633"/>
      <w:r>
        <w:rPr>
          <w:rFonts w:hint="eastAsia" w:ascii="黑体" w:hAnsi="黑体" w:eastAsia="黑体" w:cs="黑体"/>
          <w:b w:val="0"/>
          <w:bCs/>
          <w:sz w:val="28"/>
          <w:szCs w:val="28"/>
        </w:rPr>
        <w:t>5.4  用户态阶段提示与内核调度协同</w:t>
      </w:r>
      <w:bookmarkEnd w:id="18"/>
    </w:p>
    <w:p w14:paraId="0E53F94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Prefill、Decode、Mixed 和 Idle 只有 llama.cpp 掌握，而任务可运行状态和</w:t>
      </w:r>
      <w:r>
        <w:rPr>
          <w:rFonts w:hint="eastAsia" w:asciiTheme="majorEastAsia" w:hAnsiTheme="majorEastAsia" w:eastAsiaTheme="majorEastAsia" w:cstheme="majorEastAsia"/>
          <w:sz w:val="24"/>
          <w:szCs w:val="24"/>
          <w:lang w:val="en-US" w:eastAsia="zh-CN"/>
        </w:rPr>
        <w:t>运行队列</w:t>
      </w:r>
      <w:r>
        <w:rPr>
          <w:rFonts w:hint="eastAsia" w:asciiTheme="majorEastAsia" w:hAnsiTheme="majorEastAsia" w:eastAsiaTheme="majorEastAsia" w:cstheme="majorEastAsia"/>
          <w:sz w:val="24"/>
          <w:szCs w:val="24"/>
        </w:rPr>
        <w:t>只能由内核安全控制，因此跨层接口必须让用户态表达意图、由内核保留最终决策权。项目GGML CPU 后端加入低侵入提示接口，通过 mmap 更新 worker 身份与阶段，高频路径无需反复执行 BPF 系统调用；loader 和控制工具仅处理低频配置。eBPF 侧校验 TGID、team、ABI、session、epoch 和有效性，再结合 runnable、VDSQ 与 running-team 状态选取任务；接口不可用或提示失效时，用户态退化为空操作，调度器回到无阶段偏好的轮换或 RVV Dirty 识别，从而避免用户态直接操作</w:t>
      </w:r>
      <w:r>
        <w:rPr>
          <w:rFonts w:hint="eastAsia" w:asciiTheme="majorEastAsia" w:hAnsiTheme="majorEastAsia" w:eastAsiaTheme="majorEastAsia" w:cstheme="majorEastAsia"/>
          <w:sz w:val="24"/>
          <w:szCs w:val="24"/>
          <w:lang w:val="en-US" w:eastAsia="zh-CN"/>
        </w:rPr>
        <w:t>运行队列</w:t>
      </w:r>
      <w:r>
        <w:rPr>
          <w:rFonts w:hint="eastAsia" w:asciiTheme="majorEastAsia" w:hAnsiTheme="majorEastAsia" w:eastAsiaTheme="majorEastAsia" w:cstheme="majorEastAsia"/>
          <w:sz w:val="24"/>
          <w:szCs w:val="24"/>
        </w:rPr>
        <w:t>，并维持系统活性和退出回退边界。</w:t>
      </w:r>
    </w:p>
    <w:p w14:paraId="509B7B7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CCF935C">
      <w:pPr>
        <w:pStyle w:val="2"/>
        <w:bidi w:val="0"/>
        <w:rPr>
          <w:rFonts w:hint="eastAsia"/>
        </w:rPr>
      </w:pPr>
      <w:bookmarkStart w:id="19" w:name="_Toc24138"/>
      <w:r>
        <w:rPr>
          <w:rFonts w:hint="eastAsia"/>
        </w:rPr>
        <w:t>总 结</w:t>
      </w:r>
      <w:bookmarkEnd w:id="19"/>
    </w:p>
    <w:p w14:paraId="611D2D2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43BE6AC5">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20" w:name="_Toc7760"/>
      <w:r>
        <w:rPr>
          <w:rFonts w:hint="eastAsia" w:ascii="黑体" w:hAnsi="黑体" w:eastAsia="黑体" w:cs="黑体"/>
          <w:b w:val="0"/>
          <w:bCs/>
          <w:sz w:val="28"/>
          <w:szCs w:val="28"/>
        </w:rPr>
        <w:t>6.1  项目完成情况</w:t>
      </w:r>
      <w:bookmarkEnd w:id="20"/>
    </w:p>
    <w:p w14:paraId="2A8A10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本项目完成了多实例 RISC-V LLM 推理调度的端到端实现：将 sched_ext 移植到 K1 Linux 6.6，实现 Phase-Aware Dirty Lease 调度器、loader、在线控制和 BPF maps；为 llama.cpp 增加 worker 注册与阶段提示；配套实现 RVV/futex 观测工具和可复现 Benchmark。系统支持 RVV Dirty 回退识别、稳定 CPU 映射、分组 VDSQ、阶段优先与活性保护，卸载后可恢复默认调度。相关补丁、源码、构建说明、测试脚本和实验报告均已整理为工程产物。</w:t>
      </w:r>
    </w:p>
    <w:p w14:paraId="27D27A1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280294C">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21" w:name="_Toc29188"/>
      <w:r>
        <w:rPr>
          <w:rFonts w:hint="eastAsia" w:ascii="黑体" w:hAnsi="黑体" w:eastAsia="黑体" w:cs="黑体"/>
          <w:b w:val="0"/>
          <w:bCs/>
          <w:sz w:val="28"/>
          <w:szCs w:val="28"/>
        </w:rPr>
        <w:t>6.2  核心结论与项目贡献</w:t>
      </w:r>
      <w:bookmarkEnd w:id="21"/>
    </w:p>
    <w:p w14:paraId="65F6970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测量表明，RVV restore-elision 虽省略 93.637% 的完整 restore，却没有可测吞吐收益；真正的优化空间来自 OpenMP worker 的执行相位。项目据此形成“组内连续推进、组间阶段协调”的方案：稳定映射、长 slice 和 VDSQ 减少同组重新排队，阶段提示优先响应 Prefill/Mixed，队列回退、有限抢占和 pending safety 则维持 work-conserving 与系统活性。</w:t>
      </w:r>
    </w:p>
    <w:p w14:paraId="00C1296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在 128 input token、256 output token 的双模型异步正式实验中，Phase-Aware Dirty Lease 相对 CFS 在 c=2、4、8 下分别提高 TPS 54.9%、30.7% 和 25.6%，将注入请求平均 TTFT 分别降低 39.0%、42.0% 和 42.2%，将 p95 TTFT 分别降低 38.6%、42.3% 和 42.5%。Observe 消融已经获得主要吞吐收益，Phase-Aware 在吞吐变化不超过 0.4% 的情况下，又将 p95 TTFT 降低 14.9%、24.1% 和 15.3%，说明阶段提示主要改善新请求获得计算资源的顺序。通用上下文切换同时减少 93.1%～96.4%，但定制内核消融表明，切换或寄存器搬运计数下降不是吞吐提升的充分条件，收益应归因于整体执行相位和资源分配改善。</w:t>
      </w:r>
    </w:p>
    <w:p w14:paraId="345EAC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同步双负载下，Phase-Aware 达到静态 4+4 经验理想吞吐的 99.20%，说明主要稳态吞吐空间已被利用，同时仍保留异步场景动态使用全部核心和降低新请求 TTFT 的能力。</w:t>
      </w:r>
    </w:p>
    <w:p w14:paraId="4C318B1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5192D78A">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22" w:name="_Toc5"/>
      <w:r>
        <w:rPr>
          <w:rFonts w:hint="eastAsia" w:ascii="黑体" w:hAnsi="黑体" w:eastAsia="黑体" w:cs="黑体"/>
          <w:b w:val="0"/>
          <w:bCs/>
          <w:sz w:val="28"/>
          <w:szCs w:val="28"/>
        </w:rPr>
        <w:t>6.3  局限与后续工作</w:t>
      </w:r>
      <w:bookmarkEnd w:id="22"/>
    </w:p>
    <w:p w14:paraId="4D52621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当前最可靠的 worker/team/phase 信息来自 patched llama.cpp。虽然接口不可用时可以通过 RVV Dirty 回退并保持原程序运行，但其他推理框架需要实现相同语义 ABI 才能使用完整 Phase-Aware 能力。后续可将 worker 注册和阶段提示整理为更通用的用户态库，减少推理框架接入代码，并研究基于标准 tracepoint、uprobe 或运行时接口的低侵入适配方式。</w:t>
      </w:r>
    </w:p>
    <w:p w14:paraId="668C2A6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6794AC80">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23" w:name="_Toc11610"/>
      <w:r>
        <w:rPr>
          <w:rFonts w:hint="eastAsia" w:ascii="黑体" w:hAnsi="黑体" w:eastAsia="黑体" w:cs="黑体"/>
          <w:b w:val="0"/>
          <w:bCs/>
          <w:sz w:val="28"/>
          <w:szCs w:val="28"/>
        </w:rPr>
        <w:t>6.4  开源项目致谢</w:t>
      </w:r>
      <w:bookmarkEnd w:id="23"/>
    </w:p>
    <w:p w14:paraId="1177228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本项目使用 Linux、sched-ext/scx-kernel-releases、llama.cpp、libbpf、bpftool 和 elfutils 等开源项目，并保留、遵循其版权声明和许可证。具体来源与引用范围见 2.3 节及补丁说明，在此感谢相关社区和开发者。</w:t>
      </w:r>
    </w:p>
    <w:p w14:paraId="58A8DC2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689AC4A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sz w:val="32"/>
          <w:szCs w:val="32"/>
        </w:rPr>
      </w:pPr>
      <w:r>
        <w:rPr>
          <w:rFonts w:hint="eastAsia" w:ascii="黑体" w:hAnsi="黑体" w:eastAsia="黑体" w:cs="黑体"/>
          <w:sz w:val="32"/>
          <w:szCs w:val="32"/>
        </w:rPr>
        <w:t>参考</w:t>
      </w:r>
    </w:p>
    <w:p w14:paraId="17F509B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387D12D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RISC-V International. 2021. RISC-V “V” Vector Extension, Version 1.0 [EB/OL]. </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"https://github.com/riscvarchive/riscv-v-spec/releases/tag/v1.0"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https://github.com/riscvarchive/riscv-v-spec/releases/tag/v1.0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t xml:space="preserve"> [2026-07-25].</w:t>
      </w:r>
    </w:p>
    <w:p w14:paraId="12281C7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5A9C108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sched-ext project. 2023. scx-kernel-releases: v6.6.4-scx2 [CP/OL]. </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"https://github.com/sched-ext/scx-kernel-releases/tree/v6.6.4-scx2"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https://github.com/sched-ext/scx-kernel-releases/tree/v6.6.4-scx2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t xml:space="preserve"> [2026-07-25].</w:t>
      </w:r>
    </w:p>
    <w:p w14:paraId="4726452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22D0FEC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Linux Kernel Contributors. 2024. Extensible Scheduler Class [EB/OL]. </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"https://docs.kernel.org/scheduler/sched-ext.html"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https://docs.kernel.org/scheduler/sched-ext.html</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t xml:space="preserve"> [2026-07-25].</w:t>
      </w:r>
    </w:p>
    <w:p w14:paraId="71AEC2D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00FD352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ggml-org. 2023. llama.cpp [CP/OL]. </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"https://github.com/ggml-org/llama.cpp"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https://github.com/ggml-org/llama.cpp</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t xml:space="preserve"> [2026-07-25].</w:t>
      </w:r>
    </w:p>
    <w:p w14:paraId="4AA614D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3E3309A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SON D. 2026. Elastic Gang: Per-Token Membership Change for a Hard-Barriered LLM Inference Gang Co-Scheduled with OS Processes [EB/OL]. arXiv:2607.04668. </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"https://doi.org/10.48550/arXiv.2607.04668"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https://doi.org/10.48550/arXiv.2607.04668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t xml:space="preserve"> [2026-07-25].</w:t>
      </w:r>
    </w:p>
    <w:p w14:paraId="2684E07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46CD708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XU Y, HAN X, LI Y, CHE W. 2026. ArcLight: A Lightweight LLM Inference Architecture for Many-Core CPUs [C]//Proceedings of the 64th Annual Meeting of the Association for Computational Linguistics (Volume 3: System Demonstrations). Association for Computational Linguistics: 178-186.</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"https://doi.org/10.18653/v1/2026.acl-demo.18"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 xml:space="preserve"> https://doi.org/10.18653/v1/2026.acl-demo.18.</w:t>
      </w:r>
      <w:r>
        <w:rPr>
          <w:rFonts w:hint="eastAsia" w:asciiTheme="majorEastAsia" w:hAnsiTheme="majorEastAsia" w:eastAsiaTheme="majorEastAsia" w:cstheme="majorEastAsia"/>
          <w:sz w:val="24"/>
          <w:szCs w:val="24"/>
        </w:rPr>
        <w:fldChar w:fldCharType="end"/>
      </w:r>
    </w:p>
    <w:p w14:paraId="152C754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7DAC30A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ROCA A, BELTRAN V. 2026. Rethinking Thread Scheduling under Oversubscription: A User-Space Framework for Coordinating Multi-runtime and Multi-process Workloads [C]//Proceedings of the 31st ACM SIGPLAN Annual Symposium on Principles and Practice of Parallel Programming. ACM: 53-67. </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"https://doi.org/10.1145/3774934.3786451"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https://doi.org/10.1145/3774934.3786451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t>.</w:t>
      </w:r>
    </w:p>
    <w:p w14:paraId="67AEF0A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7E30D9D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GOTTSCHLAG M, BRANTSCH P, BELLOSA F. 2020. Automatic Core Specialization for AVX-512 Applications [C]//Proceedings of the 13th ACM International Systems and Storage Conference. ACM: 25-35. </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"https://doi.org/10.1145/3383669.3398282"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https://doi.org/10.1145/3383669.3398282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t>.</w:t>
      </w:r>
    </w:p>
    <w:p w14:paraId="577E394F">
      <w:pPr>
        <w:rPr>
          <w:rFonts w:hint="eastAsia" w:asciiTheme="majorEastAsia" w:hAnsiTheme="majorEastAsia" w:eastAsiaTheme="majorEastAsia" w:cstheme="majorEastAsia"/>
          <w:sz w:val="24"/>
          <w:szCs w:val="24"/>
        </w:rPr>
      </w:pPr>
    </w:p>
    <w:sectPr>
      <w:headerReference r:id="rId7" w:type="default"/>
      <w:footerReference r:id="rId8"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2900"/>
    </w:sdtPr>
    <w:sdtContent>
      <w:p w14:paraId="1AB44B7F">
        <w:pPr>
          <w:pStyle w:val="5"/>
          <w:ind w:firstLine="480"/>
          <w:jc w:val="center"/>
        </w:pPr>
        <w:r>
          <w:fldChar w:fldCharType="begin"/>
        </w:r>
        <w:r>
          <w:instrText xml:space="preserve">PAGE   \* MERGEFORMAT</w:instrText>
        </w:r>
        <w:r>
          <w:fldChar w:fldCharType="separate"/>
        </w:r>
        <w:r>
          <w:rPr>
            <w:lang w:val="zh-CN"/>
          </w:rPr>
          <w:t>2</w:t>
        </w:r>
        <w:r>
          <w:fldChar w:fldCharType="end"/>
        </w:r>
      </w:p>
    </w:sdtContent>
  </w:sdt>
  <w:p w14:paraId="59D36504">
    <w:pPr>
      <w:pStyle w:val="5"/>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869AC">
    <w:pPr>
      <w:pStyle w:val="5"/>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7045687"/>
    </w:sdtPr>
    <w:sdtContent>
      <w:p w14:paraId="6A674E14">
        <w:pPr>
          <w:pStyle w:val="5"/>
          <w:ind w:firstLine="480"/>
          <w:jc w:val="center"/>
        </w:pPr>
        <w:r>
          <w:fldChar w:fldCharType="begin"/>
        </w:r>
        <w:r>
          <w:instrText xml:space="preserve">PAGE   \* MERGEFORMAT</w:instrText>
        </w:r>
        <w:r>
          <w:fldChar w:fldCharType="separate"/>
        </w:r>
        <w:r>
          <w:rPr>
            <w:lang w:val="zh-CN"/>
          </w:rPr>
          <w:t>2</w:t>
        </w:r>
        <w:r>
          <w:fldChar w:fldCharType="end"/>
        </w:r>
      </w:p>
    </w:sdtContent>
  </w:sdt>
  <w:p w14:paraId="182B369A">
    <w:pPr>
      <w:pStyle w:val="5"/>
      <w:ind w:firstLine="48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F80D6">
    <w:pPr>
      <w:pStyle w:val="6"/>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A2AD6">
    <w:pPr>
      <w:pStyle w:val="6"/>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3EB42">
    <w:pPr>
      <w:pStyle w:val="6"/>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D50FF8"/>
    <w:multiLevelType w:val="multilevel"/>
    <w:tmpl w:val="4ED50FF8"/>
    <w:lvl w:ilvl="0" w:tentative="0">
      <w:start w:val="1"/>
      <w:numFmt w:val="decimal"/>
      <w:pStyle w:val="2"/>
      <w:suff w:val="space"/>
      <w:lvlText w:val="第 %1 章"/>
      <w:lvlJc w:val="left"/>
      <w:pPr>
        <w:ind w:left="360" w:hanging="36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suff w:val="space"/>
      <w:lvlText w:val="%1.%2.%3.%4.%5.%6"/>
      <w:lvlJc w:val="left"/>
      <w:pPr>
        <w:ind w:left="0" w:firstLine="0"/>
      </w:pPr>
      <w:rPr>
        <w:rFonts w:hint="eastAsia"/>
      </w:rPr>
    </w:lvl>
    <w:lvl w:ilvl="6" w:tentative="0">
      <w:start w:val="1"/>
      <w:numFmt w:val="decimal"/>
      <w:suff w:val="space"/>
      <w:lvlText w:val="%1.%2.%3.%4.%5.%6.%7."/>
      <w:lvlJc w:val="left"/>
      <w:pPr>
        <w:ind w:left="0" w:firstLine="0"/>
      </w:pPr>
      <w:rPr>
        <w:rFonts w:hint="eastAsia"/>
      </w:rPr>
    </w:lvl>
    <w:lvl w:ilvl="7" w:tentative="0">
      <w:start w:val="1"/>
      <w:numFmt w:val="decimal"/>
      <w:suff w:val="space"/>
      <w:lvlText w:val="%1.%2.%3.%4.%5.%6.%7.%8."/>
      <w:lvlJc w:val="left"/>
      <w:pPr>
        <w:ind w:left="0" w:firstLine="0"/>
      </w:pPr>
      <w:rPr>
        <w:rFonts w:hint="eastAsia"/>
      </w:rPr>
    </w:lvl>
    <w:lvl w:ilvl="8" w:tentative="0">
      <w:start w:val="1"/>
      <w:numFmt w:val="decimal"/>
      <w:suff w:val="space"/>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243616"/>
    <w:rsid w:val="04DD3F64"/>
    <w:rsid w:val="05B227CB"/>
    <w:rsid w:val="064A034B"/>
    <w:rsid w:val="097A5497"/>
    <w:rsid w:val="09DC163D"/>
    <w:rsid w:val="106070A6"/>
    <w:rsid w:val="1D3B2A5F"/>
    <w:rsid w:val="1F3E6180"/>
    <w:rsid w:val="1F9D093A"/>
    <w:rsid w:val="29E60A89"/>
    <w:rsid w:val="34A32E56"/>
    <w:rsid w:val="34ED654D"/>
    <w:rsid w:val="35385C24"/>
    <w:rsid w:val="3B5D497D"/>
    <w:rsid w:val="44CC241F"/>
    <w:rsid w:val="45243616"/>
    <w:rsid w:val="46411FA1"/>
    <w:rsid w:val="4B9C053B"/>
    <w:rsid w:val="4DF33732"/>
    <w:rsid w:val="530044BD"/>
    <w:rsid w:val="546952B4"/>
    <w:rsid w:val="5853066F"/>
    <w:rsid w:val="5B5D1A07"/>
    <w:rsid w:val="5C23541B"/>
    <w:rsid w:val="5CBE1F61"/>
    <w:rsid w:val="5E777287"/>
    <w:rsid w:val="614F510D"/>
    <w:rsid w:val="622C3C23"/>
    <w:rsid w:val="64C3025B"/>
    <w:rsid w:val="66096A26"/>
    <w:rsid w:val="71F11C6E"/>
    <w:rsid w:val="752A372A"/>
    <w:rsid w:val="75C67411"/>
    <w:rsid w:val="761B7822"/>
    <w:rsid w:val="76523701"/>
    <w:rsid w:val="77CC3A1C"/>
    <w:rsid w:val="7A823BF3"/>
    <w:rsid w:val="7B9A0793"/>
    <w:rsid w:val="7E374D98"/>
    <w:rsid w:val="7F87589E"/>
    <w:rsid w:val="7FAE1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9"/>
    <w:pPr>
      <w:keepNext/>
      <w:keepLines/>
      <w:numPr>
        <w:ilvl w:val="0"/>
        <w:numId w:val="1"/>
      </w:numPr>
      <w:spacing w:before="50" w:beforeLines="50" w:after="50" w:afterLines="50" w:line="400" w:lineRule="exact"/>
      <w:jc w:val="center"/>
      <w:outlineLvl w:val="0"/>
    </w:pPr>
    <w:rPr>
      <w:rFonts w:hint="default" w:ascii="Times New Roman" w:hAnsi="Times New Roman" w:eastAsia="黑体" w:cstheme="majorBidi"/>
      <w:color w:val="000000" w:themeColor="text1"/>
      <w:sz w:val="32"/>
      <w:szCs w:val="32"/>
      <w:lang w:val="en-US" w:eastAsia="zh-CN" w:bidi="ar-SA"/>
      <w14:textFill>
        <w14:solidFill>
          <w14:schemeClr w14:val="tx1"/>
        </w14:solidFill>
      </w14:textFill>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footer"/>
    <w:basedOn w:val="1"/>
    <w:unhideWhenUsed/>
    <w:qFormat/>
    <w:uiPriority w:val="99"/>
    <w:pPr>
      <w:tabs>
        <w:tab w:val="center" w:pos="4320"/>
        <w:tab w:val="right" w:pos="8640"/>
      </w:tabs>
      <w:spacing w:line="240" w:lineRule="auto"/>
    </w:pPr>
  </w:style>
  <w:style w:type="paragraph" w:styleId="6">
    <w:name w:val="header"/>
    <w:basedOn w:val="1"/>
    <w:unhideWhenUsed/>
    <w:qFormat/>
    <w:uiPriority w:val="99"/>
    <w:pPr>
      <w:tabs>
        <w:tab w:val="center" w:pos="4320"/>
        <w:tab w:val="right" w:pos="8640"/>
      </w:tabs>
      <w:spacing w:line="240" w:lineRule="auto"/>
    </w:pPr>
  </w:style>
  <w:style w:type="paragraph" w:styleId="7">
    <w:name w:val="toc 1"/>
    <w:basedOn w:val="1"/>
    <w:next w:val="1"/>
    <w:qFormat/>
    <w:uiPriority w:val="0"/>
  </w:style>
  <w:style w:type="paragraph" w:styleId="8">
    <w:name w:val="toc 2"/>
    <w:basedOn w:val="1"/>
    <w:next w:val="1"/>
    <w:qFormat/>
    <w:uiPriority w:val="0"/>
    <w:pPr>
      <w:ind w:left="420" w:leftChars="200"/>
    </w:pPr>
  </w:style>
  <w:style w:type="character" w:styleId="11">
    <w:name w:val="Hyperlink"/>
    <w:basedOn w:val="10"/>
    <w:qFormat/>
    <w:uiPriority w:val="0"/>
    <w:rPr>
      <w:color w:val="0000FF"/>
      <w:u w:val="single"/>
    </w:rPr>
  </w:style>
  <w:style w:type="paragraph" w:customStyle="1" w:styleId="12">
    <w:name w:val="封面类型标题"/>
    <w:basedOn w:val="13"/>
    <w:qFormat/>
    <w:uiPriority w:val="0"/>
    <w:pPr>
      <w:spacing w:before="960" w:beforeLines="400" w:after="960" w:afterLines="400"/>
    </w:pPr>
    <w:rPr>
      <w:rFonts w:eastAsia="楷体"/>
      <w:b/>
      <w:sz w:val="48"/>
      <w:szCs w:val="48"/>
    </w:rPr>
  </w:style>
  <w:style w:type="paragraph" w:customStyle="1" w:styleId="13">
    <w:name w:val="封面标题"/>
    <w:basedOn w:val="1"/>
    <w:qFormat/>
    <w:uiPriority w:val="0"/>
    <w:pPr>
      <w:spacing w:before="1920" w:beforeLines="800" w:after="3840" w:afterLines="1600" w:line="240" w:lineRule="auto"/>
      <w:ind w:firstLine="0"/>
      <w:jc w:val="center"/>
    </w:pPr>
    <w:rPr>
      <w:rFonts w:eastAsia="黑体"/>
      <w:sz w:val="44"/>
      <w:szCs w:val="44"/>
    </w:rPr>
  </w:style>
  <w:style w:type="paragraph" w:customStyle="1" w:styleId="14">
    <w:name w:val="标题 1 无章节"/>
    <w:basedOn w:val="2"/>
    <w:next w:val="1"/>
    <w:qFormat/>
    <w:uiPriority w:val="0"/>
    <w:pPr>
      <w:numPr>
        <w:numId w:val="0"/>
      </w:numP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svg"/><Relationship Id="rId12" Type="http://schemas.openxmlformats.org/officeDocument/2006/relationships/image" Target="media/image3.png"/><Relationship Id="rId11" Type="http://schemas.openxmlformats.org/officeDocument/2006/relationships/image" Target="media/image2.sv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229</Words>
  <Characters>302</Characters>
  <Lines>0</Lines>
  <Paragraphs>0</Paragraphs>
  <TotalTime>0</TotalTime>
  <ScaleCrop>false</ScaleCrop>
  <LinksUpToDate>false</LinksUpToDate>
  <CharactersWithSpaces>400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2026-07-27T11:20:00Z</dcterms:created>
  <dc:creator>世上第一老猩猩</dc:creator>
  <cp:lastModifiedBy>世上第一老猩猩</cp:lastModifiedBy>
  <dcterms:modified xsi:type="dcterms:W3CDTF">2026-07-29T13:50:24Z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0BDBC5D4CE074954AC4E1EE4AEE2B32F_11</vt:lpwstr>
  </property>
  <property fmtid="{D5CDD505-2E9C-101B-9397-08002B2CF9AE}" pid="4" name="KSOTemplateDocerSaveRecord">
    <vt:lpwstr>eyJoZGlkIjoiMTFjYjllZGIxNzVmZTY4YjRiYjY3ZTg0NGFlYWM2MzYiLCJ1c2VySWQiOiI4OTg2ODE2NzUifQ==</vt:lpwstr>
  </property>
</Properties>
</file>