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FF590">
      <w:pPr>
        <w:pStyle w:val="12"/>
      </w:pPr>
      <w:r>
        <w:rPr>
          <w:rFonts w:hint="eastAsia"/>
        </w:rPr>
        <w:t>中国研究生操作系统开源创新大赛</w:t>
      </w:r>
    </w:p>
    <w:p w14:paraId="1B5BF116">
      <w:pPr>
        <w:pStyle w:val="12"/>
        <w:ind w:firstLine="480"/>
      </w:pPr>
      <w:r>
        <w:rPr>
          <w:rFonts w:hint="eastAsia"/>
        </w:rPr>
        <w:t>项目说明书</w:t>
      </w:r>
    </w:p>
    <w:p w14:paraId="409E1F7F">
      <w:pPr>
        <w:pStyle w:val="13"/>
        <w:ind w:firstLine="480"/>
      </w:pPr>
    </w:p>
    <w:tbl>
      <w:tblPr>
        <w:tblStyle w:val="9"/>
        <w:tblW w:w="0" w:type="auto"/>
        <w:jc w:val="center"/>
        <w:tblLayout w:type="fixed"/>
        <w:tblCellMar>
          <w:top w:w="0" w:type="dxa"/>
          <w:left w:w="108" w:type="dxa"/>
          <w:bottom w:w="0" w:type="dxa"/>
          <w:right w:w="108" w:type="dxa"/>
        </w:tblCellMar>
      </w:tblPr>
      <w:tblGrid>
        <w:gridCol w:w="2439"/>
        <w:gridCol w:w="3949"/>
      </w:tblGrid>
      <w:tr w14:paraId="7D038452">
        <w:tblPrEx>
          <w:tblCellMar>
            <w:top w:w="0" w:type="dxa"/>
            <w:left w:w="108" w:type="dxa"/>
            <w:bottom w:w="0" w:type="dxa"/>
            <w:right w:w="108" w:type="dxa"/>
          </w:tblCellMar>
        </w:tblPrEx>
        <w:trPr>
          <w:jc w:val="center"/>
        </w:trPr>
        <w:tc>
          <w:tcPr>
            <w:tcW w:w="2439" w:type="dxa"/>
          </w:tcPr>
          <w:p w14:paraId="32F966C1">
            <w:pPr>
              <w:ind w:firstLine="0"/>
              <w:rPr>
                <w:rFonts w:ascii="宋体" w:hAnsi="宋体" w:cs="宋体"/>
                <w:b/>
                <w:bCs/>
                <w:sz w:val="32"/>
                <w:szCs w:val="32"/>
                <w:lang w:val="zh-CN"/>
              </w:rPr>
            </w:pPr>
            <w:r>
              <w:rPr>
                <w:rFonts w:hint="eastAsia" w:ascii="宋体" w:hAnsi="宋体" w:cs="宋体"/>
                <w:b/>
                <w:bCs/>
                <w:sz w:val="32"/>
                <w:szCs w:val="32"/>
                <w:lang w:val="en-US" w:eastAsia="zh-CN"/>
              </w:rPr>
              <w:t>作 品 名 称</w:t>
            </w:r>
            <w:r>
              <w:rPr>
                <w:rFonts w:hint="eastAsia" w:ascii="宋体" w:hAnsi="宋体" w:cs="宋体"/>
                <w:b/>
                <w:bCs/>
                <w:sz w:val="32"/>
                <w:szCs w:val="32"/>
                <w:lang w:val="zh-CN"/>
              </w:rPr>
              <w:t>：</w:t>
            </w:r>
          </w:p>
        </w:tc>
        <w:tc>
          <w:tcPr>
            <w:tcW w:w="3949" w:type="dxa"/>
            <w:tcBorders>
              <w:bottom w:val="single" w:color="auto" w:sz="4" w:space="0"/>
            </w:tcBorders>
            <w:vAlign w:val="bottom"/>
          </w:tcPr>
          <w:p w14:paraId="1B512310">
            <w:pPr>
              <w:ind w:firstLine="628"/>
              <w:rPr>
                <w:rFonts w:hint="default" w:ascii="宋体" w:hAnsi="宋体" w:eastAsia="宋体" w:cs="宋体"/>
                <w:b/>
                <w:bCs/>
                <w:sz w:val="32"/>
                <w:szCs w:val="32"/>
                <w:lang w:val="en-US" w:eastAsia="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VectorLease</w:t>
            </w:r>
          </w:p>
        </w:tc>
      </w:tr>
      <w:tr w14:paraId="7C2A04B7">
        <w:tblPrEx>
          <w:tblCellMar>
            <w:top w:w="0" w:type="dxa"/>
            <w:left w:w="108" w:type="dxa"/>
            <w:bottom w:w="0" w:type="dxa"/>
            <w:right w:w="108" w:type="dxa"/>
          </w:tblCellMar>
        </w:tblPrEx>
        <w:trPr>
          <w:jc w:val="center"/>
        </w:trPr>
        <w:tc>
          <w:tcPr>
            <w:tcW w:w="2439" w:type="dxa"/>
          </w:tcPr>
          <w:p w14:paraId="6F807C55">
            <w:pPr>
              <w:ind w:firstLine="0"/>
              <w:rPr>
                <w:rFonts w:ascii="宋体" w:hAnsi="宋体" w:cs="宋体"/>
                <w:b/>
                <w:bCs/>
                <w:sz w:val="32"/>
                <w:szCs w:val="32"/>
                <w:lang w:val="zh-CN"/>
              </w:rPr>
            </w:pPr>
            <w:r>
              <w:rPr>
                <w:rFonts w:hint="eastAsia" w:ascii="宋体" w:hAnsi="宋体" w:cs="宋体"/>
                <w:b/>
                <w:bCs/>
                <w:sz w:val="32"/>
                <w:szCs w:val="32"/>
                <w:lang w:val="zh-CN"/>
              </w:rPr>
              <w:t>参 赛 队 伍：</w:t>
            </w:r>
          </w:p>
        </w:tc>
        <w:tc>
          <w:tcPr>
            <w:tcW w:w="3949" w:type="dxa"/>
            <w:tcBorders>
              <w:top w:val="single" w:color="auto" w:sz="4" w:space="0"/>
              <w:bottom w:val="single" w:color="auto" w:sz="4" w:space="0"/>
            </w:tcBorders>
            <w:vAlign w:val="bottom"/>
          </w:tcPr>
          <w:p w14:paraId="5E658261">
            <w:pPr>
              <w:ind w:firstLine="628"/>
              <w:rPr>
                <w:rFonts w:ascii="宋体" w:hAnsi="宋体" w:cs="宋体"/>
                <w:b/>
                <w:bCs/>
                <w:sz w:val="32"/>
                <w:szCs w:val="32"/>
                <w:lang w:val="zh-CN"/>
              </w:rPr>
            </w:pPr>
            <w:r>
              <w:rPr>
                <w:rFonts w:hint="eastAsia" w:ascii="宋体" w:hAnsi="宋体" w:cs="宋体"/>
                <w:b/>
                <w:bCs/>
                <w:sz w:val="32"/>
                <w:szCs w:val="32"/>
                <w:lang w:val="zh-CN"/>
              </w:rPr>
              <w:t xml:space="preserve"> </w:t>
            </w:r>
            <w:r>
              <w:rPr>
                <w:rFonts w:ascii="宋体" w:hAnsi="宋体" w:cs="宋体"/>
                <w:b/>
                <w:bCs/>
                <w:sz w:val="32"/>
                <w:szCs w:val="32"/>
                <w:lang w:val="zh-CN"/>
              </w:rPr>
              <w:t xml:space="preserve"> </w:t>
            </w:r>
            <w:r>
              <w:rPr>
                <w:rFonts w:hint="eastAsia" w:ascii="宋体" w:hAnsi="宋体" w:cs="宋体"/>
                <w:b/>
                <w:bCs/>
                <w:sz w:val="32"/>
                <w:szCs w:val="32"/>
                <w:lang w:val="zh-CN"/>
              </w:rPr>
              <w:t>锐s刻五代</w:t>
            </w:r>
          </w:p>
        </w:tc>
      </w:tr>
      <w:tr w14:paraId="2866AAB0">
        <w:tblPrEx>
          <w:tblCellMar>
            <w:top w:w="0" w:type="dxa"/>
            <w:left w:w="108" w:type="dxa"/>
            <w:bottom w:w="0" w:type="dxa"/>
            <w:right w:w="108" w:type="dxa"/>
          </w:tblCellMar>
        </w:tblPrEx>
        <w:trPr>
          <w:jc w:val="center"/>
        </w:trPr>
        <w:tc>
          <w:tcPr>
            <w:tcW w:w="2439" w:type="dxa"/>
          </w:tcPr>
          <w:p w14:paraId="5540558C">
            <w:pPr>
              <w:ind w:firstLine="0"/>
              <w:rPr>
                <w:rFonts w:ascii="宋体" w:hAnsi="宋体" w:cs="宋体"/>
                <w:b/>
                <w:bCs/>
                <w:sz w:val="32"/>
                <w:szCs w:val="32"/>
                <w:lang w:val="zh-CN"/>
              </w:rPr>
            </w:pPr>
            <w:r>
              <w:rPr>
                <w:rFonts w:hint="eastAsia" w:ascii="宋体" w:hAnsi="宋体" w:cs="宋体"/>
                <w:b/>
                <w:bCs/>
                <w:sz w:val="32"/>
                <w:szCs w:val="32"/>
                <w:lang w:val="zh-CN"/>
              </w:rPr>
              <w:t>完 成 日 期：</w:t>
            </w:r>
          </w:p>
        </w:tc>
        <w:tc>
          <w:tcPr>
            <w:tcW w:w="3949" w:type="dxa"/>
            <w:tcBorders>
              <w:top w:val="single" w:color="auto" w:sz="4" w:space="0"/>
              <w:bottom w:val="single" w:color="auto" w:sz="4" w:space="0"/>
            </w:tcBorders>
            <w:vAlign w:val="bottom"/>
          </w:tcPr>
          <w:p w14:paraId="5CD24A1F">
            <w:pPr>
              <w:ind w:firstLine="964"/>
              <w:rPr>
                <w:rFonts w:ascii="宋体" w:hAnsi="宋体" w:cs="宋体"/>
                <w:b/>
                <w:bCs/>
                <w:sz w:val="32"/>
                <w:szCs w:val="32"/>
                <w:lang w:val="zh-CN"/>
              </w:rPr>
            </w:pPr>
            <w:r>
              <w:rPr>
                <w:rFonts w:hint="eastAsia" w:ascii="宋体" w:hAnsi="宋体" w:cs="宋体"/>
                <w:b/>
                <w:bCs/>
                <w:sz w:val="32"/>
                <w:szCs w:val="32"/>
                <w:lang w:val="zh-CN"/>
              </w:rPr>
              <w:t>20</w:t>
            </w:r>
            <w:r>
              <w:rPr>
                <w:rFonts w:hint="eastAsia" w:ascii="宋体" w:hAnsi="宋体" w:cs="宋体"/>
                <w:b/>
                <w:bCs/>
                <w:sz w:val="32"/>
                <w:szCs w:val="32"/>
              </w:rPr>
              <w:t>2</w:t>
            </w:r>
            <w:r>
              <w:rPr>
                <w:rFonts w:hint="eastAsia" w:ascii="宋体" w:hAnsi="宋体" w:cs="宋体"/>
                <w:b/>
                <w:bCs/>
                <w:sz w:val="32"/>
                <w:szCs w:val="32"/>
                <w:lang w:val="en-US" w:eastAsia="zh-CN"/>
              </w:rPr>
              <w:t>6</w:t>
            </w:r>
            <w:r>
              <w:rPr>
                <w:rFonts w:hint="eastAsia" w:ascii="宋体" w:hAnsi="宋体" w:cs="宋体"/>
                <w:b/>
                <w:bCs/>
                <w:sz w:val="32"/>
                <w:szCs w:val="32"/>
                <w:lang w:val="zh-CN"/>
              </w:rPr>
              <w:t>年</w:t>
            </w:r>
            <w:r>
              <w:rPr>
                <w:rFonts w:hint="eastAsia" w:ascii="宋体" w:hAnsi="宋体" w:cs="宋体"/>
                <w:b/>
                <w:bCs/>
                <w:sz w:val="32"/>
                <w:szCs w:val="32"/>
                <w:lang w:val="en-US" w:eastAsia="zh-CN"/>
              </w:rPr>
              <w:t>7</w:t>
            </w:r>
            <w:r>
              <w:rPr>
                <w:rFonts w:hint="eastAsia" w:ascii="宋体" w:hAnsi="宋体" w:cs="宋体"/>
                <w:b/>
                <w:bCs/>
                <w:sz w:val="32"/>
                <w:szCs w:val="32"/>
                <w:lang w:val="zh-CN"/>
              </w:rPr>
              <w:t>月</w:t>
            </w:r>
          </w:p>
        </w:tc>
      </w:tr>
    </w:tbl>
    <w:p w14:paraId="3D5CD5F2">
      <w:pPr>
        <w:ind w:firstLine="0"/>
        <w:rPr>
          <w:rFonts w:hint="eastAsia" w:asciiTheme="majorEastAsia" w:hAnsiTheme="majorEastAsia" w:eastAsiaTheme="majorEastAsia" w:cstheme="majorEastAsia"/>
          <w:i/>
          <w:iCs/>
          <w:sz w:val="24"/>
          <w:szCs w:val="24"/>
        </w:rPr>
      </w:pPr>
    </w:p>
    <w:p w14:paraId="33B416F3">
      <w:pPr>
        <w:ind w:firstLine="0"/>
        <w:rPr>
          <w:rFonts w:hint="eastAsia" w:asciiTheme="majorEastAsia" w:hAnsiTheme="majorEastAsia" w:eastAsiaTheme="majorEastAsia" w:cstheme="majorEastAsia"/>
          <w:i/>
          <w:iCs/>
          <w:sz w:val="24"/>
          <w:szCs w:val="24"/>
        </w:rPr>
      </w:pPr>
    </w:p>
    <w:p w14:paraId="787DDCB4">
      <w:pPr>
        <w:ind w:firstLine="0"/>
        <w:rPr>
          <w:i/>
          <w:iCs/>
        </w:rPr>
      </w:pPr>
    </w:p>
    <w:p w14:paraId="09D7D356">
      <w:pPr>
        <w:ind w:firstLine="0"/>
        <w:rPr>
          <w:i/>
          <w:iCs/>
        </w:rPr>
      </w:pPr>
    </w:p>
    <w:p w14:paraId="060A024C">
      <w:pPr>
        <w:ind w:firstLine="0"/>
        <w:rPr>
          <w:i/>
          <w:iCs/>
        </w:rPr>
      </w:pPr>
    </w:p>
    <w:p w14:paraId="45280A84">
      <w:pPr>
        <w:pStyle w:val="14"/>
        <w:spacing w:before="120" w:after="120"/>
      </w:pPr>
      <w:bookmarkStart w:id="0" w:name="_Toc23602"/>
      <w:r>
        <w:rPr>
          <w:rFonts w:hint="eastAsia"/>
        </w:rPr>
        <w:t>目 录</w:t>
      </w:r>
      <w:bookmarkEnd w:id="0"/>
    </w:p>
    <w:p w14:paraId="543D425D">
      <w:pPr>
        <w:rPr>
          <w:rFonts w:hint="eastAsia" w:ascii="宋体" w:hAnsi="宋体"/>
          <w:szCs w:val="20"/>
        </w:rPr>
      </w:pPr>
    </w:p>
    <w:sdt>
      <w:sdtPr>
        <w:rPr>
          <w:rFonts w:ascii="宋体" w:hAnsi="宋体" w:eastAsia="宋体" w:cstheme="minorBidi"/>
          <w:kern w:val="2"/>
          <w:sz w:val="21"/>
          <w:szCs w:val="24"/>
          <w:lang w:val="en-US" w:eastAsia="zh-CN" w:bidi="ar-SA"/>
        </w:rPr>
        <w:id w:val="147472821"/>
        <w15:color w:val="DBDBDB"/>
        <w:docPartObj>
          <w:docPartGallery w:val="Table of Contents"/>
          <w:docPartUnique/>
        </w:docPartObj>
      </w:sdtPr>
      <w:sdtEndPr>
        <w:rPr>
          <w:rFonts w:hint="eastAsia" w:ascii="宋体" w:hAnsi="宋体" w:eastAsiaTheme="minorEastAsia" w:cstheme="minorBidi"/>
          <w:kern w:val="2"/>
          <w:sz w:val="21"/>
          <w:szCs w:val="20"/>
          <w:lang w:val="en-US" w:eastAsia="zh-CN" w:bidi="ar-SA"/>
        </w:rPr>
      </w:sdtEndPr>
      <w:sdtContent>
        <w:p w14:paraId="0F68F10C">
          <w:pPr>
            <w:spacing w:before="0" w:beforeLines="0" w:after="0" w:afterLines="0" w:line="240" w:lineRule="auto"/>
            <w:ind w:left="0" w:leftChars="0" w:right="0" w:rightChars="0" w:firstLine="0" w:firstLineChars="0"/>
            <w:jc w:val="center"/>
          </w:pPr>
        </w:p>
        <w:p w14:paraId="0A6B0808">
          <w:pPr>
            <w:pStyle w:val="7"/>
            <w:tabs>
              <w:tab w:val="right" w:leader="dot" w:pos="9404"/>
            </w:tabs>
          </w:pPr>
          <w:r>
            <w:rPr>
              <w:rFonts w:hint="eastAsia" w:ascii="宋体" w:hAnsi="宋体"/>
              <w:szCs w:val="20"/>
            </w:rPr>
            <w:fldChar w:fldCharType="begin"/>
          </w:r>
          <w:r>
            <w:rPr>
              <w:rFonts w:hint="eastAsia" w:ascii="宋体" w:hAnsi="宋体"/>
              <w:szCs w:val="20"/>
            </w:rPr>
            <w:instrText xml:space="preserve">TOC \o "1-2" \h \u </w:instrText>
          </w:r>
          <w:r>
            <w:rPr>
              <w:rFonts w:hint="eastAsia" w:ascii="宋体" w:hAnsi="宋体"/>
              <w:szCs w:val="20"/>
            </w:rPr>
            <w:fldChar w:fldCharType="separate"/>
          </w:r>
          <w:r>
            <w:rPr>
              <w:rFonts w:hint="eastAsia" w:ascii="宋体" w:hAnsi="宋体"/>
              <w:szCs w:val="20"/>
            </w:rPr>
            <w:fldChar w:fldCharType="begin"/>
          </w:r>
          <w:r>
            <w:rPr>
              <w:rFonts w:hint="eastAsia" w:ascii="宋体" w:hAnsi="宋体"/>
              <w:szCs w:val="20"/>
            </w:rPr>
            <w:instrText xml:space="preserve"> HYPERLINK \l _Toc23602 </w:instrText>
          </w:r>
          <w:r>
            <w:rPr>
              <w:rFonts w:hint="eastAsia" w:ascii="宋体" w:hAnsi="宋体"/>
              <w:szCs w:val="20"/>
            </w:rPr>
            <w:fldChar w:fldCharType="separate"/>
          </w:r>
          <w:r>
            <w:rPr>
              <w:rFonts w:hint="eastAsia"/>
            </w:rPr>
            <w:t>目 录</w:t>
          </w:r>
          <w:r>
            <w:tab/>
          </w:r>
          <w:r>
            <w:fldChar w:fldCharType="begin"/>
          </w:r>
          <w:r>
            <w:instrText xml:space="preserve"> PAGEREF _Toc23602 \h </w:instrText>
          </w:r>
          <w:r>
            <w:fldChar w:fldCharType="separate"/>
          </w:r>
          <w:r>
            <w:t>2</w:t>
          </w:r>
          <w:r>
            <w:fldChar w:fldCharType="end"/>
          </w:r>
          <w:r>
            <w:rPr>
              <w:rFonts w:hint="eastAsia" w:ascii="宋体" w:hAnsi="宋体"/>
              <w:szCs w:val="20"/>
            </w:rPr>
            <w:fldChar w:fldCharType="end"/>
          </w:r>
        </w:p>
        <w:p w14:paraId="1BF716F6">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_Toc21799 </w:instrText>
          </w:r>
          <w:r>
            <w:rPr>
              <w:rFonts w:hint="eastAsia" w:ascii="宋体" w:hAnsi="宋体"/>
              <w:szCs w:val="20"/>
            </w:rPr>
            <w:fldChar w:fldCharType="separate"/>
          </w:r>
          <w:r>
            <w:rPr>
              <w:rFonts w:hint="eastAsia"/>
            </w:rPr>
            <w:t>第 1 章 绪 论</w:t>
          </w:r>
          <w:r>
            <w:tab/>
          </w:r>
          <w:r>
            <w:fldChar w:fldCharType="begin"/>
          </w:r>
          <w:r>
            <w:instrText xml:space="preserve"> PAGEREF _Toc21799 \h </w:instrText>
          </w:r>
          <w:r>
            <w:fldChar w:fldCharType="separate"/>
          </w:r>
          <w:r>
            <w:t>3</w:t>
          </w:r>
          <w:r>
            <w:fldChar w:fldCharType="end"/>
          </w:r>
          <w:r>
            <w:rPr>
              <w:rFonts w:hint="eastAsia" w:ascii="宋体" w:hAnsi="宋体"/>
              <w:szCs w:val="20"/>
            </w:rPr>
            <w:fldChar w:fldCharType="end"/>
          </w:r>
        </w:p>
        <w:p w14:paraId="019A488D">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_Toc31035 </w:instrText>
          </w:r>
          <w:r>
            <w:rPr>
              <w:rFonts w:hint="eastAsia" w:ascii="宋体" w:hAnsi="宋体"/>
              <w:szCs w:val="20"/>
            </w:rPr>
            <w:fldChar w:fldCharType="separate"/>
          </w:r>
          <w:r>
            <w:rPr>
              <w:rFonts w:hint="eastAsia" w:ascii="黑体" w:hAnsi="黑体" w:eastAsia="黑体" w:cs="黑体"/>
              <w:bCs/>
              <w:szCs w:val="28"/>
            </w:rPr>
            <w:t>1.1  目的与意义</w:t>
          </w:r>
          <w:r>
            <w:tab/>
          </w:r>
          <w:r>
            <w:fldChar w:fldCharType="begin"/>
          </w:r>
          <w:r>
            <w:instrText xml:space="preserve"> PAGEREF _Toc31035 \h </w:instrText>
          </w:r>
          <w:r>
            <w:fldChar w:fldCharType="separate"/>
          </w:r>
          <w:r>
            <w:t>3</w:t>
          </w:r>
          <w:r>
            <w:fldChar w:fldCharType="end"/>
          </w:r>
          <w:r>
            <w:rPr>
              <w:rFonts w:hint="eastAsia" w:ascii="宋体" w:hAnsi="宋体"/>
              <w:szCs w:val="20"/>
            </w:rPr>
            <w:fldChar w:fldCharType="end"/>
          </w:r>
        </w:p>
        <w:p w14:paraId="0D14A328">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_Toc28372 </w:instrText>
          </w:r>
          <w:r>
            <w:rPr>
              <w:rFonts w:hint="eastAsia" w:ascii="宋体" w:hAnsi="宋体"/>
              <w:szCs w:val="20"/>
            </w:rPr>
            <w:fldChar w:fldCharType="separate"/>
          </w:r>
          <w:r>
            <w:rPr>
              <w:rFonts w:hint="eastAsia" w:ascii="黑体" w:hAnsi="黑体" w:eastAsia="黑体" w:cs="黑体"/>
              <w:bCs/>
              <w:szCs w:val="28"/>
            </w:rPr>
            <w:t>1.2  项目背景</w:t>
          </w:r>
          <w:r>
            <w:tab/>
          </w:r>
          <w:r>
            <w:fldChar w:fldCharType="begin"/>
          </w:r>
          <w:r>
            <w:instrText xml:space="preserve"> PAGEREF _Toc28372 \h </w:instrText>
          </w:r>
          <w:r>
            <w:fldChar w:fldCharType="separate"/>
          </w:r>
          <w:r>
            <w:t>3</w:t>
          </w:r>
          <w:r>
            <w:fldChar w:fldCharType="end"/>
          </w:r>
          <w:r>
            <w:rPr>
              <w:rFonts w:hint="eastAsia" w:ascii="宋体" w:hAnsi="宋体"/>
              <w:szCs w:val="20"/>
            </w:rPr>
            <w:fldChar w:fldCharType="end"/>
          </w:r>
        </w:p>
        <w:p w14:paraId="793CAFD7">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_Toc31867 </w:instrText>
          </w:r>
          <w:r>
            <w:rPr>
              <w:rFonts w:hint="eastAsia" w:ascii="宋体" w:hAnsi="宋体"/>
              <w:szCs w:val="20"/>
            </w:rPr>
            <w:fldChar w:fldCharType="separate"/>
          </w:r>
          <w:r>
            <w:rPr>
              <w:rFonts w:hint="eastAsia"/>
            </w:rPr>
            <w:t>第 2 章 技 术 理 论</w:t>
          </w:r>
          <w:r>
            <w:tab/>
          </w:r>
          <w:r>
            <w:fldChar w:fldCharType="begin"/>
          </w:r>
          <w:r>
            <w:instrText xml:space="preserve"> PAGEREF _Toc31867 \h </w:instrText>
          </w:r>
          <w:r>
            <w:fldChar w:fldCharType="separate"/>
          </w:r>
          <w:r>
            <w:t>4</w:t>
          </w:r>
          <w:r>
            <w:fldChar w:fldCharType="end"/>
          </w:r>
          <w:r>
            <w:rPr>
              <w:rFonts w:hint="eastAsia" w:ascii="宋体" w:hAnsi="宋体"/>
              <w:szCs w:val="20"/>
            </w:rPr>
            <w:fldChar w:fldCharType="end"/>
          </w:r>
        </w:p>
        <w:p w14:paraId="31746CF6">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_Toc3165 </w:instrText>
          </w:r>
          <w:r>
            <w:rPr>
              <w:rFonts w:hint="eastAsia" w:ascii="宋体" w:hAnsi="宋体"/>
              <w:szCs w:val="20"/>
            </w:rPr>
            <w:fldChar w:fldCharType="separate"/>
          </w:r>
          <w:r>
            <w:rPr>
              <w:rFonts w:hint="eastAsia" w:ascii="黑体" w:hAnsi="黑体" w:eastAsia="黑体" w:cs="黑体"/>
              <w:bCs/>
              <w:szCs w:val="28"/>
            </w:rPr>
            <w:t>2.1  设计思想</w:t>
          </w:r>
          <w:r>
            <w:tab/>
          </w:r>
          <w:r>
            <w:fldChar w:fldCharType="begin"/>
          </w:r>
          <w:r>
            <w:instrText xml:space="preserve"> PAGEREF _Toc3165 \h </w:instrText>
          </w:r>
          <w:r>
            <w:fldChar w:fldCharType="separate"/>
          </w:r>
          <w:r>
            <w:t>4</w:t>
          </w:r>
          <w:r>
            <w:fldChar w:fldCharType="end"/>
          </w:r>
          <w:r>
            <w:rPr>
              <w:rFonts w:hint="eastAsia" w:ascii="宋体" w:hAnsi="宋体"/>
              <w:szCs w:val="20"/>
            </w:rPr>
            <w:fldChar w:fldCharType="end"/>
          </w:r>
        </w:p>
        <w:p w14:paraId="004DFF52">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_Toc26020 </w:instrText>
          </w:r>
          <w:r>
            <w:rPr>
              <w:rFonts w:hint="eastAsia" w:ascii="宋体" w:hAnsi="宋体"/>
              <w:szCs w:val="20"/>
            </w:rPr>
            <w:fldChar w:fldCharType="separate"/>
          </w:r>
          <w:r>
            <w:rPr>
              <w:rFonts w:hint="eastAsia" w:ascii="黑体" w:hAnsi="黑体" w:eastAsia="黑体" w:cs="黑体"/>
              <w:bCs/>
              <w:szCs w:val="28"/>
            </w:rPr>
            <w:t>2.2  技术路线</w:t>
          </w:r>
          <w:r>
            <w:tab/>
          </w:r>
          <w:r>
            <w:fldChar w:fldCharType="begin"/>
          </w:r>
          <w:r>
            <w:instrText xml:space="preserve"> PAGEREF _Toc26020 \h </w:instrText>
          </w:r>
          <w:r>
            <w:fldChar w:fldCharType="separate"/>
          </w:r>
          <w:r>
            <w:t>6</w:t>
          </w:r>
          <w:r>
            <w:fldChar w:fldCharType="end"/>
          </w:r>
          <w:r>
            <w:rPr>
              <w:rFonts w:hint="eastAsia" w:ascii="宋体" w:hAnsi="宋体"/>
              <w:szCs w:val="20"/>
            </w:rPr>
            <w:fldChar w:fldCharType="end"/>
          </w:r>
        </w:p>
        <w:p w14:paraId="636A4BAD">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_Toc25782 </w:instrText>
          </w:r>
          <w:r>
            <w:rPr>
              <w:rFonts w:hint="eastAsia" w:ascii="宋体" w:hAnsi="宋体"/>
              <w:szCs w:val="20"/>
            </w:rPr>
            <w:fldChar w:fldCharType="separate"/>
          </w:r>
          <w:r>
            <w:rPr>
              <w:rFonts w:hint="eastAsia" w:ascii="黑体" w:hAnsi="黑体" w:eastAsia="黑体" w:cs="黑体"/>
              <w:bCs/>
              <w:szCs w:val="28"/>
            </w:rPr>
            <w:t>2.3  代码原创说明</w:t>
          </w:r>
          <w:r>
            <w:tab/>
          </w:r>
          <w:r>
            <w:fldChar w:fldCharType="begin"/>
          </w:r>
          <w:r>
            <w:instrText xml:space="preserve"> PAGEREF _Toc25782 \h </w:instrText>
          </w:r>
          <w:r>
            <w:fldChar w:fldCharType="separate"/>
          </w:r>
          <w:r>
            <w:t>7</w:t>
          </w:r>
          <w:r>
            <w:fldChar w:fldCharType="end"/>
          </w:r>
          <w:r>
            <w:rPr>
              <w:rFonts w:hint="eastAsia" w:ascii="宋体" w:hAnsi="宋体"/>
              <w:szCs w:val="20"/>
            </w:rPr>
            <w:fldChar w:fldCharType="end"/>
          </w:r>
        </w:p>
        <w:p w14:paraId="0C0C4CFF">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_Toc5565 </w:instrText>
          </w:r>
          <w:r>
            <w:rPr>
              <w:rFonts w:hint="eastAsia" w:ascii="宋体" w:hAnsi="宋体"/>
              <w:szCs w:val="20"/>
            </w:rPr>
            <w:fldChar w:fldCharType="separate"/>
          </w:r>
          <w:r>
            <w:rPr>
              <w:rFonts w:hint="eastAsia"/>
            </w:rPr>
            <w:t>第 3 章 项目介绍</w:t>
          </w:r>
          <w:r>
            <w:tab/>
          </w:r>
          <w:r>
            <w:fldChar w:fldCharType="begin"/>
          </w:r>
          <w:r>
            <w:instrText xml:space="preserve"> PAGEREF _Toc5565 \h </w:instrText>
          </w:r>
          <w:r>
            <w:fldChar w:fldCharType="separate"/>
          </w:r>
          <w:r>
            <w:t>8</w:t>
          </w:r>
          <w:r>
            <w:fldChar w:fldCharType="end"/>
          </w:r>
          <w:r>
            <w:rPr>
              <w:rFonts w:hint="eastAsia" w:ascii="宋体" w:hAnsi="宋体"/>
              <w:szCs w:val="20"/>
            </w:rPr>
            <w:fldChar w:fldCharType="end"/>
          </w:r>
        </w:p>
        <w:p w14:paraId="1AFC900A">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_Toc19239 </w:instrText>
          </w:r>
          <w:r>
            <w:rPr>
              <w:rFonts w:hint="eastAsia" w:ascii="宋体" w:hAnsi="宋体"/>
              <w:szCs w:val="20"/>
            </w:rPr>
            <w:fldChar w:fldCharType="separate"/>
          </w:r>
          <w:r>
            <w:rPr>
              <w:rFonts w:hint="eastAsia" w:ascii="黑体" w:hAnsi="黑体" w:eastAsia="黑体" w:cs="黑体"/>
              <w:bCs/>
              <w:szCs w:val="28"/>
            </w:rPr>
            <w:t>3.1  功能介绍</w:t>
          </w:r>
          <w:r>
            <w:tab/>
          </w:r>
          <w:r>
            <w:fldChar w:fldCharType="begin"/>
          </w:r>
          <w:r>
            <w:instrText xml:space="preserve"> PAGEREF _Toc19239 \h </w:instrText>
          </w:r>
          <w:r>
            <w:fldChar w:fldCharType="separate"/>
          </w:r>
          <w:r>
            <w:t>8</w:t>
          </w:r>
          <w:r>
            <w:fldChar w:fldCharType="end"/>
          </w:r>
          <w:r>
            <w:rPr>
              <w:rFonts w:hint="eastAsia" w:ascii="宋体" w:hAnsi="宋体"/>
              <w:szCs w:val="20"/>
            </w:rPr>
            <w:fldChar w:fldCharType="end"/>
          </w:r>
        </w:p>
        <w:p w14:paraId="370A028B">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_Toc6108 </w:instrText>
          </w:r>
          <w:r>
            <w:rPr>
              <w:rFonts w:hint="eastAsia" w:ascii="宋体" w:hAnsi="宋体"/>
              <w:szCs w:val="20"/>
            </w:rPr>
            <w:fldChar w:fldCharType="separate"/>
          </w:r>
          <w:r>
            <w:rPr>
              <w:rFonts w:hint="eastAsia"/>
            </w:rPr>
            <w:t>第 4 章 实验测试</w:t>
          </w:r>
          <w:r>
            <w:tab/>
          </w:r>
          <w:r>
            <w:fldChar w:fldCharType="begin"/>
          </w:r>
          <w:r>
            <w:instrText xml:space="preserve"> PAGEREF _Toc6108 \h </w:instrText>
          </w:r>
          <w:r>
            <w:fldChar w:fldCharType="separate"/>
          </w:r>
          <w:r>
            <w:t>12</w:t>
          </w:r>
          <w:r>
            <w:fldChar w:fldCharType="end"/>
          </w:r>
          <w:r>
            <w:rPr>
              <w:rFonts w:hint="eastAsia" w:ascii="宋体" w:hAnsi="宋体"/>
              <w:szCs w:val="20"/>
            </w:rPr>
            <w:fldChar w:fldCharType="end"/>
          </w:r>
        </w:p>
        <w:p w14:paraId="64353F7D">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_Toc22417 </w:instrText>
          </w:r>
          <w:r>
            <w:rPr>
              <w:rFonts w:hint="eastAsia" w:ascii="宋体" w:hAnsi="宋体"/>
              <w:szCs w:val="20"/>
            </w:rPr>
            <w:fldChar w:fldCharType="separate"/>
          </w:r>
          <w:r>
            <w:rPr>
              <w:rFonts w:hint="eastAsia" w:ascii="黑体" w:hAnsi="黑体" w:eastAsia="黑体" w:cs="黑体"/>
              <w:bCs/>
              <w:szCs w:val="28"/>
            </w:rPr>
            <w:t>4.1  测试说明</w:t>
          </w:r>
          <w:r>
            <w:tab/>
          </w:r>
          <w:r>
            <w:fldChar w:fldCharType="begin"/>
          </w:r>
          <w:r>
            <w:instrText xml:space="preserve"> PAGEREF _Toc22417 \h </w:instrText>
          </w:r>
          <w:r>
            <w:fldChar w:fldCharType="separate"/>
          </w:r>
          <w:r>
            <w:t>12</w:t>
          </w:r>
          <w:r>
            <w:fldChar w:fldCharType="end"/>
          </w:r>
          <w:r>
            <w:rPr>
              <w:rFonts w:hint="eastAsia" w:ascii="宋体" w:hAnsi="宋体"/>
              <w:szCs w:val="20"/>
            </w:rPr>
            <w:fldChar w:fldCharType="end"/>
          </w:r>
        </w:p>
        <w:p w14:paraId="687F155F">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_Toc8417 </w:instrText>
          </w:r>
          <w:r>
            <w:rPr>
              <w:rFonts w:hint="eastAsia" w:ascii="宋体" w:hAnsi="宋体"/>
              <w:szCs w:val="20"/>
            </w:rPr>
            <w:fldChar w:fldCharType="separate"/>
          </w:r>
          <w:r>
            <w:rPr>
              <w:rFonts w:hint="eastAsia" w:ascii="黑体" w:hAnsi="黑体" w:eastAsia="黑体" w:cs="黑体"/>
              <w:bCs/>
              <w:szCs w:val="28"/>
            </w:rPr>
            <w:t>4.2  测试结果</w:t>
          </w:r>
          <w:r>
            <w:tab/>
          </w:r>
          <w:r>
            <w:fldChar w:fldCharType="begin"/>
          </w:r>
          <w:r>
            <w:instrText xml:space="preserve"> PAGEREF _Toc8417 \h </w:instrText>
          </w:r>
          <w:r>
            <w:fldChar w:fldCharType="separate"/>
          </w:r>
          <w:r>
            <w:t>14</w:t>
          </w:r>
          <w:r>
            <w:fldChar w:fldCharType="end"/>
          </w:r>
          <w:r>
            <w:rPr>
              <w:rFonts w:hint="eastAsia" w:ascii="宋体" w:hAnsi="宋体"/>
              <w:szCs w:val="20"/>
            </w:rPr>
            <w:fldChar w:fldCharType="end"/>
          </w:r>
        </w:p>
        <w:p w14:paraId="67AB957C">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_Toc32212 </w:instrText>
          </w:r>
          <w:r>
            <w:rPr>
              <w:rFonts w:hint="eastAsia" w:ascii="宋体" w:hAnsi="宋体"/>
              <w:szCs w:val="20"/>
            </w:rPr>
            <w:fldChar w:fldCharType="separate"/>
          </w:r>
          <w:r>
            <w:rPr>
              <w:rFonts w:hint="eastAsia" w:ascii="黑体" w:hAnsi="黑体" w:eastAsia="黑体" w:cs="黑体"/>
              <w:bCs/>
              <w:szCs w:val="28"/>
            </w:rPr>
            <w:t>4.3  额外实验</w:t>
          </w:r>
          <w:r>
            <w:tab/>
          </w:r>
          <w:r>
            <w:fldChar w:fldCharType="begin"/>
          </w:r>
          <w:r>
            <w:instrText xml:space="preserve"> PAGEREF _Toc32212 \h </w:instrText>
          </w:r>
          <w:r>
            <w:fldChar w:fldCharType="separate"/>
          </w:r>
          <w:r>
            <w:t>18</w:t>
          </w:r>
          <w:r>
            <w:fldChar w:fldCharType="end"/>
          </w:r>
          <w:r>
            <w:rPr>
              <w:rFonts w:hint="eastAsia" w:ascii="宋体" w:hAnsi="宋体"/>
              <w:szCs w:val="20"/>
            </w:rPr>
            <w:fldChar w:fldCharType="end"/>
          </w:r>
        </w:p>
        <w:p w14:paraId="1D3C5174">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_Toc1473 </w:instrText>
          </w:r>
          <w:r>
            <w:rPr>
              <w:rFonts w:hint="eastAsia" w:ascii="宋体" w:hAnsi="宋体"/>
              <w:szCs w:val="20"/>
            </w:rPr>
            <w:fldChar w:fldCharType="separate"/>
          </w:r>
          <w:r>
            <w:rPr>
              <w:rFonts w:hint="eastAsia"/>
            </w:rPr>
            <w:t>第 5 章 实现难点说明</w:t>
          </w:r>
          <w:r>
            <w:tab/>
          </w:r>
          <w:r>
            <w:fldChar w:fldCharType="begin"/>
          </w:r>
          <w:r>
            <w:instrText xml:space="preserve"> PAGEREF _Toc1473 \h </w:instrText>
          </w:r>
          <w:r>
            <w:fldChar w:fldCharType="separate"/>
          </w:r>
          <w:r>
            <w:t>21</w:t>
          </w:r>
          <w:r>
            <w:fldChar w:fldCharType="end"/>
          </w:r>
          <w:r>
            <w:rPr>
              <w:rFonts w:hint="eastAsia" w:ascii="宋体" w:hAnsi="宋体"/>
              <w:szCs w:val="20"/>
            </w:rPr>
            <w:fldChar w:fldCharType="end"/>
          </w:r>
        </w:p>
        <w:p w14:paraId="07C40890">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_Toc30043 </w:instrText>
          </w:r>
          <w:r>
            <w:rPr>
              <w:rFonts w:hint="eastAsia" w:ascii="宋体" w:hAnsi="宋体"/>
              <w:szCs w:val="20"/>
            </w:rPr>
            <w:fldChar w:fldCharType="separate"/>
          </w:r>
          <w:r>
            <w:rPr>
              <w:rFonts w:hint="eastAsia" w:ascii="黑体" w:hAnsi="黑体" w:eastAsia="黑体" w:cs="黑体"/>
              <w:bCs/>
              <w:szCs w:val="28"/>
            </w:rPr>
            <w:t>5.1  sched_ext 向 K1 Linux 6.6 的移植</w:t>
          </w:r>
          <w:r>
            <w:tab/>
          </w:r>
          <w:r>
            <w:fldChar w:fldCharType="begin"/>
          </w:r>
          <w:r>
            <w:instrText xml:space="preserve"> PAGEREF _Toc30043 \h </w:instrText>
          </w:r>
          <w:r>
            <w:fldChar w:fldCharType="separate"/>
          </w:r>
          <w:r>
            <w:t>21</w:t>
          </w:r>
          <w:r>
            <w:fldChar w:fldCharType="end"/>
          </w:r>
          <w:r>
            <w:rPr>
              <w:rFonts w:hint="eastAsia" w:ascii="宋体" w:hAnsi="宋体"/>
              <w:szCs w:val="20"/>
            </w:rPr>
            <w:fldChar w:fldCharType="end"/>
          </w:r>
        </w:p>
        <w:p w14:paraId="0A5A4BE5">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_Toc9565 </w:instrText>
          </w:r>
          <w:r>
            <w:rPr>
              <w:rFonts w:hint="eastAsia" w:ascii="宋体" w:hAnsi="宋体"/>
              <w:szCs w:val="20"/>
            </w:rPr>
            <w:fldChar w:fldCharType="separate"/>
          </w:r>
          <w:r>
            <w:rPr>
              <w:rFonts w:hint="eastAsia" w:ascii="黑体" w:hAnsi="黑体" w:eastAsia="黑体" w:cs="黑体"/>
              <w:bCs/>
              <w:szCs w:val="28"/>
            </w:rPr>
            <w:t>5.3  性能采集、归因与口径控制</w:t>
          </w:r>
          <w:r>
            <w:tab/>
          </w:r>
          <w:r>
            <w:fldChar w:fldCharType="begin"/>
          </w:r>
          <w:r>
            <w:instrText xml:space="preserve"> PAGEREF _Toc9565 \h </w:instrText>
          </w:r>
          <w:r>
            <w:fldChar w:fldCharType="separate"/>
          </w:r>
          <w:r>
            <w:t>22</w:t>
          </w:r>
          <w:r>
            <w:fldChar w:fldCharType="end"/>
          </w:r>
          <w:r>
            <w:rPr>
              <w:rFonts w:hint="eastAsia" w:ascii="宋体" w:hAnsi="宋体"/>
              <w:szCs w:val="20"/>
            </w:rPr>
            <w:fldChar w:fldCharType="end"/>
          </w:r>
        </w:p>
        <w:p w14:paraId="7BAAD7C0">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_Toc6682 </w:instrText>
          </w:r>
          <w:r>
            <w:rPr>
              <w:rFonts w:hint="eastAsia" w:ascii="宋体" w:hAnsi="宋体"/>
              <w:szCs w:val="20"/>
            </w:rPr>
            <w:fldChar w:fldCharType="separate"/>
          </w:r>
          <w:r>
            <w:rPr>
              <w:rFonts w:hint="eastAsia" w:ascii="黑体" w:hAnsi="黑体" w:eastAsia="黑体" w:cs="黑体"/>
              <w:bCs/>
              <w:szCs w:val="28"/>
            </w:rPr>
            <w:t>5.4  用户态阶段提示与内核调度协同</w:t>
          </w:r>
          <w:r>
            <w:tab/>
          </w:r>
          <w:r>
            <w:fldChar w:fldCharType="begin"/>
          </w:r>
          <w:r>
            <w:instrText xml:space="preserve"> PAGEREF _Toc6682 \h </w:instrText>
          </w:r>
          <w:r>
            <w:fldChar w:fldCharType="separate"/>
          </w:r>
          <w:r>
            <w:t>22</w:t>
          </w:r>
          <w:r>
            <w:fldChar w:fldCharType="end"/>
          </w:r>
          <w:r>
            <w:rPr>
              <w:rFonts w:hint="eastAsia" w:ascii="宋体" w:hAnsi="宋体"/>
              <w:szCs w:val="20"/>
            </w:rPr>
            <w:fldChar w:fldCharType="end"/>
          </w:r>
        </w:p>
        <w:p w14:paraId="317FB03F">
          <w:pPr>
            <w:pStyle w:val="7"/>
            <w:tabs>
              <w:tab w:val="right" w:leader="dot" w:pos="9404"/>
            </w:tabs>
          </w:pPr>
          <w:r>
            <w:rPr>
              <w:rFonts w:hint="eastAsia" w:ascii="宋体" w:hAnsi="宋体"/>
              <w:szCs w:val="20"/>
            </w:rPr>
            <w:fldChar w:fldCharType="begin"/>
          </w:r>
          <w:r>
            <w:rPr>
              <w:rFonts w:hint="eastAsia" w:ascii="宋体" w:hAnsi="宋体"/>
              <w:szCs w:val="20"/>
            </w:rPr>
            <w:instrText xml:space="preserve"> HYPERLINK \l _Toc27141 </w:instrText>
          </w:r>
          <w:r>
            <w:rPr>
              <w:rFonts w:hint="eastAsia" w:ascii="宋体" w:hAnsi="宋体"/>
              <w:szCs w:val="20"/>
            </w:rPr>
            <w:fldChar w:fldCharType="separate"/>
          </w:r>
          <w:r>
            <w:rPr>
              <w:rFonts w:hint="eastAsia"/>
            </w:rPr>
            <w:t>第 6 章 总 结</w:t>
          </w:r>
          <w:r>
            <w:tab/>
          </w:r>
          <w:r>
            <w:fldChar w:fldCharType="begin"/>
          </w:r>
          <w:r>
            <w:instrText xml:space="preserve"> PAGEREF _Toc27141 \h </w:instrText>
          </w:r>
          <w:r>
            <w:fldChar w:fldCharType="separate"/>
          </w:r>
          <w:r>
            <w:t>22</w:t>
          </w:r>
          <w:r>
            <w:fldChar w:fldCharType="end"/>
          </w:r>
          <w:r>
            <w:rPr>
              <w:rFonts w:hint="eastAsia" w:ascii="宋体" w:hAnsi="宋体"/>
              <w:szCs w:val="20"/>
            </w:rPr>
            <w:fldChar w:fldCharType="end"/>
          </w:r>
        </w:p>
        <w:p w14:paraId="7E4CF95C">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_Toc31372 </w:instrText>
          </w:r>
          <w:r>
            <w:rPr>
              <w:rFonts w:hint="eastAsia" w:ascii="宋体" w:hAnsi="宋体"/>
              <w:szCs w:val="20"/>
            </w:rPr>
            <w:fldChar w:fldCharType="separate"/>
          </w:r>
          <w:r>
            <w:rPr>
              <w:rFonts w:hint="eastAsia" w:ascii="黑体" w:hAnsi="黑体" w:eastAsia="黑体" w:cs="黑体"/>
              <w:bCs/>
              <w:szCs w:val="28"/>
            </w:rPr>
            <w:t>6.1  项目完成情况</w:t>
          </w:r>
          <w:r>
            <w:tab/>
          </w:r>
          <w:r>
            <w:fldChar w:fldCharType="begin"/>
          </w:r>
          <w:r>
            <w:instrText xml:space="preserve"> PAGEREF _Toc31372 \h </w:instrText>
          </w:r>
          <w:r>
            <w:fldChar w:fldCharType="separate"/>
          </w:r>
          <w:r>
            <w:t>22</w:t>
          </w:r>
          <w:r>
            <w:fldChar w:fldCharType="end"/>
          </w:r>
          <w:r>
            <w:rPr>
              <w:rFonts w:hint="eastAsia" w:ascii="宋体" w:hAnsi="宋体"/>
              <w:szCs w:val="20"/>
            </w:rPr>
            <w:fldChar w:fldCharType="end"/>
          </w:r>
        </w:p>
        <w:p w14:paraId="77A1C61B">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_Toc26640 </w:instrText>
          </w:r>
          <w:r>
            <w:rPr>
              <w:rFonts w:hint="eastAsia" w:ascii="宋体" w:hAnsi="宋体"/>
              <w:szCs w:val="20"/>
            </w:rPr>
            <w:fldChar w:fldCharType="separate"/>
          </w:r>
          <w:r>
            <w:rPr>
              <w:rFonts w:hint="eastAsia" w:ascii="黑体" w:hAnsi="黑体" w:eastAsia="黑体" w:cs="黑体"/>
              <w:bCs/>
              <w:szCs w:val="28"/>
            </w:rPr>
            <w:t>6.2  核心结论与项目贡献</w:t>
          </w:r>
          <w:r>
            <w:tab/>
          </w:r>
          <w:r>
            <w:fldChar w:fldCharType="begin"/>
          </w:r>
          <w:r>
            <w:instrText xml:space="preserve"> PAGEREF _Toc26640 \h </w:instrText>
          </w:r>
          <w:r>
            <w:fldChar w:fldCharType="separate"/>
          </w:r>
          <w:r>
            <w:t>23</w:t>
          </w:r>
          <w:r>
            <w:fldChar w:fldCharType="end"/>
          </w:r>
          <w:r>
            <w:rPr>
              <w:rFonts w:hint="eastAsia" w:ascii="宋体" w:hAnsi="宋体"/>
              <w:szCs w:val="20"/>
            </w:rPr>
            <w:fldChar w:fldCharType="end"/>
          </w:r>
        </w:p>
        <w:p w14:paraId="62F0C44E">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_Toc8806 </w:instrText>
          </w:r>
          <w:r>
            <w:rPr>
              <w:rFonts w:hint="eastAsia" w:ascii="宋体" w:hAnsi="宋体"/>
              <w:szCs w:val="20"/>
            </w:rPr>
            <w:fldChar w:fldCharType="separate"/>
          </w:r>
          <w:r>
            <w:rPr>
              <w:rFonts w:hint="eastAsia" w:ascii="黑体" w:hAnsi="黑体" w:eastAsia="黑体" w:cs="黑体"/>
              <w:bCs/>
              <w:szCs w:val="28"/>
            </w:rPr>
            <w:t>6.3  局限与后续工作</w:t>
          </w:r>
          <w:r>
            <w:tab/>
          </w:r>
          <w:r>
            <w:fldChar w:fldCharType="begin"/>
          </w:r>
          <w:r>
            <w:instrText xml:space="preserve"> PAGEREF _Toc8806 \h </w:instrText>
          </w:r>
          <w:r>
            <w:fldChar w:fldCharType="separate"/>
          </w:r>
          <w:r>
            <w:t>23</w:t>
          </w:r>
          <w:r>
            <w:fldChar w:fldCharType="end"/>
          </w:r>
          <w:r>
            <w:rPr>
              <w:rFonts w:hint="eastAsia" w:ascii="宋体" w:hAnsi="宋体"/>
              <w:szCs w:val="20"/>
            </w:rPr>
            <w:fldChar w:fldCharType="end"/>
          </w:r>
        </w:p>
        <w:p w14:paraId="307377DE">
          <w:pPr>
            <w:pStyle w:val="8"/>
            <w:tabs>
              <w:tab w:val="right" w:leader="dot" w:pos="9404"/>
            </w:tabs>
          </w:pPr>
          <w:r>
            <w:rPr>
              <w:rFonts w:hint="eastAsia" w:ascii="宋体" w:hAnsi="宋体"/>
              <w:szCs w:val="20"/>
            </w:rPr>
            <w:fldChar w:fldCharType="begin"/>
          </w:r>
          <w:r>
            <w:rPr>
              <w:rFonts w:hint="eastAsia" w:ascii="宋体" w:hAnsi="宋体"/>
              <w:szCs w:val="20"/>
            </w:rPr>
            <w:instrText xml:space="preserve"> HYPERLINK \l _Toc2609 </w:instrText>
          </w:r>
          <w:r>
            <w:rPr>
              <w:rFonts w:hint="eastAsia" w:ascii="宋体" w:hAnsi="宋体"/>
              <w:szCs w:val="20"/>
            </w:rPr>
            <w:fldChar w:fldCharType="separate"/>
          </w:r>
          <w:r>
            <w:rPr>
              <w:rFonts w:hint="eastAsia" w:ascii="黑体" w:hAnsi="黑体" w:eastAsia="黑体" w:cs="黑体"/>
              <w:bCs/>
              <w:szCs w:val="28"/>
            </w:rPr>
            <w:t>6.4  开源项目致谢</w:t>
          </w:r>
          <w:r>
            <w:tab/>
          </w:r>
          <w:r>
            <w:fldChar w:fldCharType="begin"/>
          </w:r>
          <w:r>
            <w:instrText xml:space="preserve"> PAGEREF _Toc2609 \h </w:instrText>
          </w:r>
          <w:r>
            <w:fldChar w:fldCharType="separate"/>
          </w:r>
          <w:r>
            <w:t>23</w:t>
          </w:r>
          <w:r>
            <w:fldChar w:fldCharType="end"/>
          </w:r>
          <w:r>
            <w:rPr>
              <w:rFonts w:hint="eastAsia" w:ascii="宋体" w:hAnsi="宋体"/>
              <w:szCs w:val="20"/>
            </w:rPr>
            <w:fldChar w:fldCharType="end"/>
          </w:r>
        </w:p>
        <w:p w14:paraId="18D4472B">
          <w:pPr>
            <w:ind w:firstLine="480"/>
            <w:rPr>
              <w:rFonts w:hint="eastAsia" w:ascii="宋体" w:hAnsi="宋体" w:eastAsiaTheme="minorEastAsia" w:cstheme="minorBidi"/>
              <w:kern w:val="2"/>
              <w:sz w:val="21"/>
              <w:szCs w:val="20"/>
              <w:lang w:val="en-US" w:eastAsia="zh-CN" w:bidi="ar-SA"/>
            </w:rPr>
          </w:pPr>
          <w:r>
            <w:rPr>
              <w:rFonts w:hint="eastAsia" w:ascii="宋体" w:hAnsi="宋体"/>
              <w:szCs w:val="20"/>
            </w:rPr>
            <w:fldChar w:fldCharType="end"/>
          </w:r>
        </w:p>
      </w:sdtContent>
    </w:sdt>
    <w:p w14:paraId="6CD98B0A">
      <w:pPr>
        <w:ind w:firstLine="480"/>
        <w:rPr>
          <w:rFonts w:hint="eastAsia" w:ascii="宋体" w:hAnsi="宋体" w:eastAsiaTheme="minorEastAsia" w:cstheme="minorBidi"/>
          <w:kern w:val="2"/>
          <w:sz w:val="21"/>
          <w:szCs w:val="20"/>
          <w:lang w:val="en-US" w:eastAsia="zh-CN" w:bidi="ar-SA"/>
        </w:rPr>
        <w:sectPr>
          <w:headerReference r:id="rId4" w:type="first"/>
          <w:footerReference r:id="rId6" w:type="first"/>
          <w:headerReference r:id="rId3" w:type="default"/>
          <w:footerReference r:id="rId5" w:type="default"/>
          <w:pgSz w:w="12240" w:h="15840"/>
          <w:pgMar w:top="1701" w:right="1418" w:bottom="1134" w:left="1418" w:header="720" w:footer="720" w:gutter="0"/>
          <w:cols w:space="720" w:num="1"/>
          <w:titlePg/>
        </w:sectPr>
      </w:pPr>
      <w:bookmarkStart w:id="23" w:name="_GoBack"/>
      <w:bookmarkEnd w:id="23"/>
    </w:p>
    <w:p w14:paraId="2974E29D">
      <w:pPr>
        <w:rPr>
          <w:rFonts w:hint="eastAsia" w:asciiTheme="majorEastAsia" w:hAnsiTheme="majorEastAsia" w:eastAsiaTheme="majorEastAsia" w:cstheme="majorEastAsia"/>
          <w:sz w:val="24"/>
          <w:szCs w:val="24"/>
        </w:rPr>
      </w:pPr>
    </w:p>
    <w:p w14:paraId="27D772B5">
      <w:pPr>
        <w:pStyle w:val="2"/>
        <w:bidi w:val="0"/>
        <w:rPr>
          <w:rFonts w:hint="eastAsia"/>
        </w:rPr>
      </w:pPr>
      <w:r>
        <w:rPr>
          <w:rFonts w:hint="eastAsia"/>
        </w:rPr>
        <w:t xml:space="preserve"> </w:t>
      </w:r>
      <w:bookmarkStart w:id="1" w:name="_Toc21799"/>
      <w:r>
        <w:rPr>
          <w:rFonts w:hint="eastAsia"/>
        </w:rPr>
        <w:t>绪 论</w:t>
      </w:r>
      <w:bookmarkEnd w:id="1"/>
    </w:p>
    <w:p w14:paraId="47794562">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 w:name="_Toc31035"/>
      <w:r>
        <w:rPr>
          <w:rFonts w:hint="eastAsia" w:ascii="黑体" w:hAnsi="黑体" w:eastAsia="黑体" w:cs="黑体"/>
          <w:b w:val="0"/>
          <w:bCs/>
          <w:sz w:val="28"/>
          <w:szCs w:val="28"/>
        </w:rPr>
        <w:t>1.1  目的与意义</w:t>
      </w:r>
      <w:bookmarkEnd w:id="2"/>
    </w:p>
    <w:p w14:paraId="0667447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随着大语言模型（LLM）在边缘端部署需求的增长，如何在有限 CPU 资源下高效运行推理服务成为关键工程问题。RISC-V 架构的向量扩展（RVV；RISC-V International，2021）提供了重要的 SIMD 加速能力，但 Linux 默认公平调度器对推理负载中工作线程的同步关系与向量计算状态均无感知：工作线程在执行并行计算图时频繁通过 futex 进行同步，调度器因不了解线程间的协作依赖，可能将同组线程分时调度甚至跨核迁移，使先完成计算的线程在同步点长时间空等落伍者，严重降低了计算图的执行效率。本作品旨在通过内核级调度策略的定制化设计，提升 RISC-V 平台上 LLM 推理服务的吞吐与响应延迟。</w:t>
      </w:r>
    </w:p>
    <w:p w14:paraId="094AB7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81CC3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为此，本作品基于 Linux sched_ext 可编程内核调度框架（sched-ext project，2023；Linux Kernel Contributors，2024），设计并实现了一套感知 RVV 向量计算状态的调度系统。系统在运行时识别使用向量扩展的推理工作线程，为其建立稳定 CPU 映射和专用向量调度队列；同时接收推理框架注入的阶段提示（Prefill／Decode），对计算特征不同的推理阶段实施差异化调度。</w:t>
      </w:r>
    </w:p>
    <w:p w14:paraId="65D3FD8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31188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本作品的意义主要体现在以下方面：（1）为 RISC-V 等新兴架构上 LLM 推理的调度优化提供了可复现的内核级工程方案；（2）验证了 sched_ext 框架在 AI 推理场景中的可行性与有效性，拓展了可编程内核调度的应用边界；（3）构建了完整的跨编译、端到端 Benchmark 体系，可为后续研究提供标准化测试基础设施。</w:t>
      </w:r>
    </w:p>
    <w:p w14:paraId="335B5E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E582B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34D6131">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3" w:name="_Toc28372"/>
      <w:r>
        <w:rPr>
          <w:rFonts w:hint="eastAsia" w:ascii="黑体" w:hAnsi="黑体" w:eastAsia="黑体" w:cs="黑体"/>
          <w:b w:val="0"/>
          <w:bCs/>
          <w:sz w:val="28"/>
          <w:szCs w:val="28"/>
        </w:rPr>
        <w:t>1.2  项目背景</w:t>
      </w:r>
      <w:bookmarkEnd w:id="3"/>
    </w:p>
    <w:p w14:paraId="0F99C2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CPU 侧 LLM 推理引擎（如 ggml-org（2023）开源的 llama.cpp）通过工作线程池并行执行计算图，多个工作线程在每层算子处理前后通过 futex 屏障进行同步。默认公平调度器不了解这些线程间的协作关系，将各 worker 当作独立任务分时调度。当某个 worker 被抢占时，同组其余线程全部在 barrier 处阻塞等待，计算图的整体推进节奏受制于最慢的线程。</w:t>
      </w:r>
    </w:p>
    <w:p w14:paraId="152148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08441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近年来，该方向涌现了若干探索性工作。Son（2026）提出的 Elastic Gang 在自研 Anima OS 内核中实现了推理 worker 的 gang 协同调度，但其并非基于 Linux，且实验使用自研推理引擎。Xu 等（2026）提出的 ArcLight 在推理框架内重构了 NUMA 感知的线程调度，相对 llama.cpp 最高取得约 46% 的吞吐提升，但调度位于应用层，OS 仍将各 worker 当作独立任务。Roca 和 Beltran（2026）在 PPoPP 2026 提出的 SCHED_COOP 通过扩展 glibc 在用户态统一接管 pthread 与 OpenMP 的调度决策，使线程仅在阻塞或主动 yield 时交出核心，在过载测试中最高取得约 2.4 倍提升，其实验证据表明默认公平调度在大量 barrier 同步负载下会严重失效。此外，Gottschlag 等（2020）提出的 Automatic Core Specialization 等 SIMD 感知工作通过指令异常检测向量任务并将其隔离至专用核心，但目标是为普通任务消除降频干扰而非加速推理本身。</w:t>
      </w:r>
    </w:p>
    <w:p w14:paraId="0F6AF1D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02DCF9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综合分析现有工作，该领域存在若干不足。其一，多数工作运行于 x86-64 平台，面向 RISC-V 及其向量扩展的调度优化尚未见系统性探索。其二，调度层次两极分化：Elastic Gang 和 ArcLight 分别走向自研内核与纯应用层两个极端，SCHED_COOP 依赖修改 C 运行库，三者均未利用 Linux sched_ext——一个可在标准内核中加载 BPF 程序实现自定义调度策略、兼具内核级控制力与生态兼容性的框架。其三，缺乏向量计算线程的细粒度区分：SCHED_COOP 统一视任务为协作实体，Elastic Gang 以 gang 为粒度整体调度，均不了解单个 worker 是否正在执行向量计算。其四，用户态与内核态的调度语义协同尚未充分探索：推理框架知晓 Prefill／Decode 阶段，内核调度器掌握 CPU 负载与任务状态，二者之间缺乏低开销的信息通路。</w:t>
      </w:r>
    </w:p>
    <w:p w14:paraId="5BDAFA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A5866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综上，现有研究仍缺少一种运行于标准 Linux、面向 RISC-V 向量扩展，并结合线程协作关系、向量状态和推理阶段进行调度的完整方案。本项目据此设计负载感知的 sched_ext 调度系统，通过 RVV 线程识别、稳定 CPU 映射、分组向量队列和阶段提示减少运行偏斜与同步开销。双模型异步实验表明，该方案可同时提升吞吐、降低首 Token 延迟并大幅减少上下文切换，具体结果见第 4 章。</w:t>
      </w:r>
    </w:p>
    <w:p w14:paraId="6F7D18C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BAFCA43">
      <w:pPr>
        <w:pStyle w:val="2"/>
        <w:bidi w:val="0"/>
        <w:rPr>
          <w:rFonts w:hint="eastAsia"/>
        </w:rPr>
      </w:pPr>
      <w:bookmarkStart w:id="4" w:name="_Toc31867"/>
      <w:r>
        <w:rPr>
          <w:rFonts w:hint="eastAsia"/>
        </w:rPr>
        <w:t>技 术 理 论</w:t>
      </w:r>
      <w:bookmarkEnd w:id="4"/>
    </w:p>
    <w:p w14:paraId="5EA2C66E">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5" w:name="_Toc3165"/>
      <w:r>
        <w:rPr>
          <w:rFonts w:hint="eastAsia" w:ascii="黑体" w:hAnsi="黑体" w:eastAsia="黑体" w:cs="黑体"/>
          <w:b w:val="0"/>
          <w:bCs/>
          <w:sz w:val="28"/>
          <w:szCs w:val="28"/>
        </w:rPr>
        <w:t>2.1  设计思想</w:t>
      </w:r>
      <w:bookmarkEnd w:id="5"/>
    </w:p>
    <w:p w14:paraId="165D99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采用测量驱动、假设验证的迭代式性能工程方法，围绕"建立基线—提出瓶颈假设—估算优化上界—实施控制变量测试—消融归因"的闭环推进设计。每项调度机制先通过独立参数开关实现，与默认调度器进行同负载对比，满足系统稳定性、请求完整性后，再进行多轮验证。性能评估综合考察吞吐、延迟和调度开销的多个维度，避免仅凭单一指标判断策略优劣。</w:t>
      </w:r>
    </w:p>
    <w:p w14:paraId="155BD7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0473A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项目初期假设 RISC-V Vector 上下文搬运是主要瓶颈。单个 llama.cpp 实例以 8 个计算线程占用 8 个 CPU 核心时，处理器平均利用率已达 98.75%，消除全部调度间隙的理论收益仅约 1.26%；部署 RVV restore-elision 定制内核后，完整 restore 省略率达到 93.6%，完整 Vector 数据操作总量减少约 48.4%，但 TPS 变化不足 0.1%，处于噪声水平。两组独立测量共同推翻了"寄存器恢复主导推理性能"的初始假设。</w:t>
      </w:r>
    </w:p>
    <w:p w14:paraId="0F71D14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CCF75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除寄存器开销外，工作线程之间的同步关系更能影响调度效果。llama.cpp 通过 OpenMP 创建与 CPU 核心数相等的工作线程，每层算子计算完成后所有线程在 barrier 处同步再进入下一层，这一过程在一个 token 的生成中重复数百次。futex waker 追踪显示，默认公平调度器不了解这种协作关系，可能将同组 worker 分时调度或跨核迁移，使先到达 barrier 的线程长时间睡眠等待被抢占的线程，形成高频 futex 唤醒/睡眠循环。这一效应在单实例 8 线程场景中不易暴露，因为 CPU 利用率已达 98.75%，调度器几乎没有任务选择空间。本项目的基准负载因此采用双 llama.cpp 实例共置的设计：两个服务各 8 个计算线程共享 8 个核心，共 16 个推理线程竞争，并通过异步请求注入形成任务选择、实例间资源分配和调度相位协调的完整决策空间。</w:t>
      </w:r>
    </w:p>
    <w:p w14:paraId="20F523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817B17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针对上述负载，调度器在线程切出时检测 RISC-V Vector 寄存器的 Dirty 状态，并结合 llama.cpp 通过 mmap 注册的 worker 身份识别推理线程。识别完成后，调度器为每个 V worker 建立稳定 CPU 映射，使用 100 ms vector slice 延长连续计算，并引入 per-team/per-CPU vector DSQ（VDSQ）；global DSQ 继续服务普通任务和内核线程。阶段性实验显示，稳定映射和长 slice 能减少短周期睡眠、唤醒和重新排队；虽然累计 futex blocked worker-time 基本不变，双实例共置场景的吞吐仍明显提升，说明收益来自阻塞时间分布和执行相位的改善，而非简单消除同步工作量。</w:t>
      </w:r>
    </w:p>
    <w:p w14:paraId="7C83C6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18DD8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稳定核心映射和长时间片主要解决同一实例内部的推进相位。在多实例共置场景中，新到达的请求以 Prefill 阶段开始，需与正在执行 Decode 的 worker 竞争 CPU，导致首 Token 延迟显著增加。为缩短 TTFT，调度器需要对处于 Prefill 阶段的 V worker 给予优先调度。为此，llama.cpp 向调度器发布 Prefill、Decode、Mixed 和 Idle 四种阶段提示，内核为每个实例维护独立的 per-team/per-CPU VDSQ。调度器在选择下一任务时，优先选取处于 Prefill 或 Mixed 阶段的队列，使计算密集阶段优先获得 CPU 资源。仅在 preferred worker 唤醒且同核正在运行另一组 V worker 时执行定向抢占。最终等长负载实验中，Phase-Aware 相对只读取提示而不改变调度的 Observe 对照，注入请求平均 TTFT 进一步降低 12.9%、21.5% 和 13.7%，p95 TTFT 进一步降低 14.9%、24.1% 和 15.3%。由此形成贯穿整个策略的设计主线：以稳定映射和适度长时间片保持组内连续推进，再以 phase-aware VDSQ 在几乎不损失吞吐的前提下协调不同实例之间的执行顺序。</w:t>
      </w:r>
    </w:p>
    <w:p w14:paraId="0CA4BA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167AB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在软件架构上，本项目遵循低侵入、分层协同和模块解耦原则。sched_ext BPF 程序负责读取任务状态、分配 CPU、维护 VDSQ 并执行调度决策；用户态 loader 和控制工具负责加载、配置及在线参数调整；llama.cpp 只增加 worker 注册和 Prefill、Decode、Mixed、Idle 阶段提示，不接管内核调度；独立观测工具采集调度事件、RVV 上下文和 futex 同步等待数据。各模块通过版本化 BPF map 和标准内核接口通信，使推理框架、调度器、观测工具和 benchmark 可以独立替换和验证。</w:t>
      </w:r>
    </w:p>
    <w:p w14:paraId="569CE1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0C67C73">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6" w:name="_Toc26020"/>
      <w:r>
        <w:rPr>
          <w:rFonts w:hint="eastAsia" w:ascii="黑体" w:hAnsi="黑体" w:eastAsia="黑体" w:cs="黑体"/>
          <w:b w:val="0"/>
          <w:bCs/>
          <w:sz w:val="28"/>
          <w:szCs w:val="28"/>
        </w:rPr>
        <w:t>2.2  技术路线</w:t>
      </w:r>
      <w:bookmarkEnd w:id="6"/>
    </w:p>
    <w:p w14:paraId="2FE434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本项目采用“Linux sched_ext/eBPF 可编程调度、llama.cpp 用户态语义提示、RISC-V Vector 状态感知”相结合的技术框架。用户态推理框架提供 worker 身份和 Prefill、Decode 等应用语义，内核态调度器提供任务可运行状态、CPU 执行状态和调度队列控制能力，两者通过 BPF map 交换信息，由内核完成最终调度决策。</w:t>
      </w:r>
    </w:p>
    <w:p w14:paraId="64FB8F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815D1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内核侧以移植到 K1 Linux 6.6 的 sched_ext 为基础，通过 BPF struct_ops 和 CO-RE eBPF 实现调度回调。程序借助目标内核 BTF 读取 task_struct 中的 RISC-V Vector 状态，并使用 DSQ、CPU kick 等调度原语；策略退出后任务由默认调度器继续管理。</w:t>
      </w:r>
    </w:p>
    <w:p w14:paraId="0E519D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713E1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用户态通过 mmapable BPF map 发布 worker 身份和 Prefill、Decode、Mixed、Idle 阶段；loader 和控制工具通过 config map 完成加载与在线配置。接口不可用或校验失败时，llama.cpp 保持原有流程，调度器回退到 RVV Dirty 状态识别。</w:t>
      </w:r>
    </w:p>
    <w:p w14:paraId="3658DC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F05F7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核心调度策略采用 Phase-Aware Dirty Lease。eBPF 程序结合用户态 worker 注册与 sstatus.VS=Dirty 状态识别向量计算线程，为同一实例的 worker 建立稳定 CPU 映射，并使用 per-team/per-CPU VDSQ 组织两组推理任务。sched_ext local/global DSQ 保留本地执行和普通任务服务路径，VDSQ 负责存放 RVV worker；调度器依据 phase hint 优先选择处于 Prefill 或 Mixed 阶段的 team，并通过有限的 preferred-wakeup 定向抢占和 pending safety 兼顾首 Token 响应与任务活性。具体队列路径和抢占条件在 3.1.2 节说明。</w:t>
      </w:r>
    </w:p>
    <w:p w14:paraId="530AB7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23F37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独立的 CO-RE eBPF 观测工具和自动化 Benchmark 分别采集调度指标与统一测试流程，仅用于验证功能、性能和稳定性。</w:t>
      </w:r>
    </w:p>
    <w:p w14:paraId="3D35780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F120F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BC8F59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B80A3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351DB1F">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7" w:name="_Toc25782"/>
      <w:r>
        <w:rPr>
          <w:rFonts w:hint="eastAsia" w:ascii="黑体" w:hAnsi="黑体" w:eastAsia="黑体" w:cs="黑体"/>
          <w:b w:val="0"/>
          <w:bCs/>
          <w:sz w:val="28"/>
          <w:szCs w:val="28"/>
        </w:rPr>
        <w:t>2.3  代码原创说明</w:t>
      </w:r>
      <w:bookmarkEnd w:id="7"/>
    </w:p>
    <w:p w14:paraId="47791F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sched_ext 模块的调度框架来自 sched-ext/scx-kernel-releases 开源项目 v6.6.4-scx2 tag，通过 2 个内核补丁完全引用 kernel/sched/ext.c（4510 行）、include/linux/sched/ext.h（716 行）、kernel/sched/ext.h（269 行），共计 5495 行（版权：Meta Platforms / Tejun Heo / David Vernet，GPL-2.0）。</w:t>
      </w:r>
    </w:p>
    <w:p w14:paraId="0EA7DF0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推理引擎的调度提示发布功能通过 patch 修改了 llama.cpp 开源项目 678d43d7 基线的 11 个文件（7 个上游源文件修改 + 4 个新增文件），共计 +897 行 / -6 行（MIT License，版权：The ggml authors）。</w:t>
      </w:r>
    </w:p>
    <w:p w14:paraId="75BAF6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sched_ext 调度器的用户态 loader 和 eBPF 端程序(scx_llm_pin)调用了 libbpf 开源组件库（来自 Linux 内核 tools/lib/bpf/，LGPL-2.1 OR BSD-2-Clause）。</w:t>
      </w:r>
    </w:p>
    <w:p w14:paraId="18AF6F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RVV/调度观测工具(rvv_sched_cost)调用了 libbpf 开源组件库，构建依赖 libelf（elfutils）组件库。</w:t>
      </w:r>
    </w:p>
    <w:p w14:paraId="717F2B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sched_ext 调度器和观测工具的 CO-RE 类型定义头文件 vmlinux.h（各 180639 行）由 bpftool 从目标板卡运行中的 Linux 内核 BTF（/sys/kernel/btf/vmlinux）自动生成，内核类型定义来源为 Linux 内核源码树。</w:t>
      </w:r>
    </w:p>
    <w:p w14:paraId="5AE4EE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0D396ED">
      <w:pPr>
        <w:pStyle w:val="2"/>
        <w:bidi w:val="0"/>
        <w:rPr>
          <w:rFonts w:hint="eastAsia"/>
        </w:rPr>
      </w:pPr>
      <w:bookmarkStart w:id="8" w:name="_Toc5565"/>
      <w:r>
        <w:rPr>
          <w:rFonts w:hint="eastAsia"/>
        </w:rPr>
        <w:t>项目介绍</w:t>
      </w:r>
      <w:bookmarkEnd w:id="8"/>
    </w:p>
    <w:p w14:paraId="75997251">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9" w:name="_Toc19239"/>
      <w:r>
        <w:rPr>
          <w:rFonts w:hint="eastAsia" w:ascii="黑体" w:hAnsi="黑体" w:eastAsia="黑体" w:cs="黑体"/>
          <w:b w:val="0"/>
          <w:bCs/>
          <w:sz w:val="28"/>
          <w:szCs w:val="28"/>
        </w:rPr>
        <w:t>3.1  功能介绍</w:t>
      </w:r>
      <w:bookmarkEnd w:id="9"/>
    </w:p>
    <w:p w14:paraId="067EDF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本系统是一套面向 RISC-V CPU 大语言模型推理负载的可编程调度软件。系统在已移植 sched_ext 的 K1 Linux 6.6 内核上运行，通过 patched llama.cpp 提供工作线程身份和推理阶段语义，通过 eBPF 调度器获取内核任务状态并实施 CPU 调度。其主要功能包括 RVV 计算线程识别、稳定 CPU 映射、分组向量队列调度、Prefill 阶段优先响应、在线参数控制、运行状态观测以及可复现的端到端性能测试。</w:t>
      </w:r>
    </w:p>
    <w:p w14:paraId="6BBEE6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BBC64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系统采用用户态语义发布、共享状态通信、内核态策略决策和 Linux 调度核心执行的分层架构。llama-server、loader 和控制工具不直接操作 CPU runqueue，而是通过 pinned BPF maps 和 BPF struct_ops 与内核协作；调度器卸载或异常退出后，任务可以回到 Linux 默认调度器。总体通信关系如图 3-1 所示。</w:t>
      </w:r>
    </w:p>
    <w:p w14:paraId="66BF1E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lang w:eastAsia="zh-CN"/>
        </w:rPr>
        <w:drawing>
          <wp:anchor distT="0" distB="0" distL="114300" distR="114300" simplePos="0" relativeHeight="251659264" behindDoc="0" locked="0" layoutInCell="1" allowOverlap="1">
            <wp:simplePos x="0" y="0"/>
            <wp:positionH relativeFrom="column">
              <wp:posOffset>46990</wp:posOffset>
            </wp:positionH>
            <wp:positionV relativeFrom="paragraph">
              <wp:posOffset>250825</wp:posOffset>
            </wp:positionV>
            <wp:extent cx="5272405" cy="3444240"/>
            <wp:effectExtent l="0" t="0" r="4445" b="3810"/>
            <wp:wrapTopAndBottom/>
            <wp:docPr id="1" name="图片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2405" cy="3444240"/>
                    </a:xfrm>
                    <a:prstGeom prst="rect">
                      <a:avLst/>
                    </a:prstGeom>
                  </pic:spPr>
                </pic:pic>
              </a:graphicData>
            </a:graphic>
          </wp:anchor>
        </w:drawing>
      </w:r>
    </w:p>
    <w:p w14:paraId="5DB1653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3-1 RVV-aware sched_ext 用户态与 Linux 内核通信架构</w:t>
      </w:r>
    </w:p>
    <w:p w14:paraId="36687D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lang w:eastAsia="zh-CN"/>
        </w:rPr>
      </w:pPr>
    </w:p>
    <w:p w14:paraId="18C5BD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按照功能和数据流，系统划分为推理语义发布、调度加载与在线控制、共享状态通信、Phase-Aware Dirty Lease 调度、Linux sched_ext 执行以及观测与测试六个模块。</w:t>
      </w:r>
    </w:p>
    <w:p w14:paraId="43DB62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1DA4705">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3.1.1  用户态语义与控制模块</w:t>
      </w:r>
    </w:p>
    <w:p w14:paraId="344762F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2CE5C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该模块由 patched llama-server、llama_context 和 GGML CPU 后端组成。OpenMP worker 启动后，模块注册线程的 TID、TGID、线程序号 ith 和所属实例；推理过程中根据当前 batch 中 prompt token 与 generation token 的组成，发布 Prefill、Decode、Mixed 或 Idle 阶段。阶段和 worker 信息通过 mmap 直接写入 workers map，不改变模型计算、采样和请求处理逻辑。当控制 map 不存在、接口版本不匹配或 sched_ext 未启用时，提示接口自动退化为空操作，同一个 llama-server 二进制仍可使用 Linux 默认调度器运行。</w:t>
      </w:r>
    </w:p>
    <w:p w14:paraId="3952E3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B4254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workers map 和 config map 构成用户态与 eBPF 调度器之间的低开销通信通道。前者保存 worker 身份、ith、team、phase、epoch 和会话状态，后者保存时间片、窗口、识别阈值、CPU 映射及策略开关。llama.cpp 通过 mmap 更新高频语义，loader 和控制工具通过 BPF 系统调用读写低频配置；版本和会话校验可阻止失效或不完整的提示参与调度。</w:t>
      </w:r>
    </w:p>
    <w:p w14:paraId="598FB2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8B443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scx_llm_pin loader 负责加载 CO-RE eBPF object、初始化并 pin maps、写入目标 TGID 和调度参数，再将 BPF struct_ops 附加到 sched_ext。运行期间，rvv_lease_ctl 可读取 worker 注册、CPU 映射和 team phase，并在线调整 vector slice、window、dirty threshold、CPU map 和控制模式。loader 退出时卸载调度器并清理其创建的 maps，使系统恢复默认调度状态。</w:t>
      </w:r>
    </w:p>
    <w:p w14:paraId="65C75AB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4C70EBF">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3.1.2  Phase-Aware Dirty Lease 调度模块</w:t>
      </w:r>
    </w:p>
    <w:p w14:paraId="5B7C83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F47F3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该模块是系统的核心功能。它不直接创建新的执行实体，而是对 sched_ext 管理的 runnable task 进行分类、入队和选取。每个 CPU 都拥有一个内核 local DSQ，两组 llama-server 分别拥有 VDSQ(A,i) 和 VDSQ(B,i)；图 3-2 只展示 CPU i，实际系统在 CPU0～CPU7 上重复相同结构。</w:t>
      </w:r>
    </w:p>
    <w:p w14:paraId="61829A5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811F51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anchor distT="0" distB="0" distL="114300" distR="114300" simplePos="0" relativeHeight="251660288" behindDoc="0" locked="0" layoutInCell="1" allowOverlap="1">
            <wp:simplePos x="0" y="0"/>
            <wp:positionH relativeFrom="column">
              <wp:posOffset>-85090</wp:posOffset>
            </wp:positionH>
            <wp:positionV relativeFrom="paragraph">
              <wp:posOffset>49530</wp:posOffset>
            </wp:positionV>
            <wp:extent cx="5273040" cy="2702560"/>
            <wp:effectExtent l="0" t="0" r="3810" b="2540"/>
            <wp:wrapTopAndBottom/>
            <wp:docPr id="2" name="图片 2" descr="phase-awa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hase-aware-lease"/>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73040" cy="2702560"/>
                    </a:xfrm>
                    <a:prstGeom prst="rect">
                      <a:avLst/>
                    </a:prstGeom>
                  </pic:spPr>
                </pic:pic>
              </a:graphicData>
            </a:graphic>
          </wp:anchor>
        </w:drawing>
      </w:r>
      <w:r>
        <w:rPr>
          <w:rFonts w:hint="eastAsia" w:asciiTheme="majorEastAsia" w:hAnsiTheme="majorEastAsia" w:eastAsiaTheme="majorEastAsia" w:cstheme="majorEastAsia"/>
          <w:sz w:val="24"/>
          <w:szCs w:val="24"/>
        </w:rPr>
        <w:t>图 3-2 Phase-Aware Dirty Lease 单 CPU 调度路径</w:t>
      </w:r>
    </w:p>
    <w:p w14:paraId="7DD4CC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E3567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具体调度过程如下。</w:t>
      </w:r>
    </w:p>
    <w:p w14:paraId="72B99E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89D78A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（1）识别 worker 并建立稳定映射。eBPF 程序先按 TGID 判断 team，再通过 workers map 中的 TID/ith 确认 OpenMP worker；提示不可用时，以累计命中 sstatus.VS=Dirty 作为回退识别。调度器优先使用 ith→CPU map，否则为该 team 原子分配尚未使用的 CPU。两组 worker 可共享 CPU0～CPU7，但同组 worker 保持唯一映射；启动阶段可暂时 direct-local，识别完成后统一进入 VDSQ。</w:t>
      </w:r>
    </w:p>
    <w:p w14:paraId="6EA364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（2）按照任务类型入队。普通进程、辅助线程和内核线程进入 SCX_DSQ_GLOBAL；V worker 获得 100 ms vector slice，并按“team + 映射 CPU”进入 VDSQ(A,i) 或 VDSQ(B,i)。普通唤醒和时间片耗尽后均返回所属 VDSQ，同时记录 pending 起始时间。</w:t>
      </w:r>
    </w:p>
    <w:p w14:paraId="17898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（3）由 Linux 调度核心执行任务。CPU 只运行 local DSQ；local 为空时先服务 global DSQ，仍无任务才调用 BPF dispatch，从该 CPU 的两条 VDSQ 中转入一个 worker。当前任务在可运行且 slice 未耗尽时继续执行，阻塞、让出或耗尽后才重新选择。</w:t>
      </w:r>
    </w:p>
    <w:p w14:paraId="102BC0A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（4）依据 phase 选择 VDSQ。通过校验的 Prefill/Mixed team 在另一组不处于延迟敏感阶段时成为 preferred team。调度器优先消费其 VDSQ，队列为空则立即回退另一组；两组阶段相同或都延迟敏感时，按 per-CPU next-team 轮换。每次 dispatch 只转入一个 worker，保持 work-conserving。</w:t>
      </w:r>
    </w:p>
    <w:p w14:paraId="497B20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6BF80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（5）处理延迟敏感唤醒。preferred worker 唤醒且目标 CPU 正运行另一组 V worker 时，调度器才以 SCX_ENQ_PREEMPT direct-local 请求抢占。相同 team、普通入队、时间片耗尽以及非 V 任务均不触发该路径。</w:t>
      </w:r>
    </w:p>
    <w:p w14:paraId="77FBA2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（6）维持活性。worker 在 barrier 执行 futex wait 时立即释放 CPU，stopping 清除 running-team 状态，后续唤醒再进入 VDSQ。V worker 连续等待 1 秒后，pending safety 优先消费等待最久的 team；phase 失效、首选队列为空或 worker 睡眠时均回退到其他可运行任务。</w:t>
      </w:r>
    </w:p>
    <w:p w14:paraId="4DD6A0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以 A 组 Decode、B 组 Prefill 为例，local 为空时优先转入 B_i；若 A_i 正在运行且 B_i 从 barrier 唤醒，B_i 可定向抢占；若 B_i 尚不可运行，则继续运行 A_i。策略由此在保持 work-conserving 的同时缩短 Prefill 等待。</w:t>
      </w:r>
    </w:p>
    <w:p w14:paraId="4F413F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6D10D41">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3.1.3  Linux sched_ext 执行模块</w:t>
      </w:r>
    </w:p>
    <w:p w14:paraId="6758A0A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79D14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该模块由移植到 K1 Linux 6.6 的 sched_ext 调度类提供。Linux 调度核心调用 eBPF 实现的 select_cpu、enqueue、dispatch、running 和 stopping 等 struct_ops 回调，并负责 DSQ、runqueue、CPU 运行及实际上下文切换。任务最终从目标 CPU 的 local DSQ 运行；local DSQ 无任务时，内核先服务 global DSQ，再调用 BPF dispatch 从 VDSQ 补充计算 worker。sched_ext 的退出与 watchdog 机制为调度器提供统一回退边界，BPF 策略退出后任务重新由默认调度类管理。</w:t>
      </w:r>
    </w:p>
    <w:p w14:paraId="2F4C67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13F1EC3">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3.1.4  观测与测试模块</w:t>
      </w:r>
    </w:p>
    <w:p w14:paraId="08DCC2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7DA84F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该模块不参与调度决策。rvv_sched_cost 使用 CO-RE eBPF 采集上下文切换、RVV save/restore 候选、wake-to-run 延迟以及 futex wait/wake 和 blocked time，并输出文本与 JSON 结果。Benchmark 负责服务启动、预热、策略加载、流式请求、系统采样、结果汇总和环境恢复，提供单 llama-server 对照测试及双 llama-server 异步竞争测试。测试框架记录 TPS、逐请求 TTFT、pooled p95 TTFT、公平性和上下文切换，并对请求完整性、worker 数量、DSQ 收支、CPU 频率、温度、内存和内核 watchdog 进行有效性检查。</w:t>
      </w:r>
    </w:p>
    <w:p w14:paraId="36E06F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6A10C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5F0B8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DDA926E">
      <w:pPr>
        <w:pStyle w:val="2"/>
        <w:bidi w:val="0"/>
        <w:rPr>
          <w:rFonts w:hint="eastAsia"/>
        </w:rPr>
      </w:pPr>
      <w:bookmarkStart w:id="10" w:name="_Toc6108"/>
      <w:r>
        <w:rPr>
          <w:rFonts w:hint="eastAsia"/>
        </w:rPr>
        <w:t>实验测试</w:t>
      </w:r>
      <w:bookmarkEnd w:id="10"/>
    </w:p>
    <w:p w14:paraId="765E84F7">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黑体" w:hAnsi="黑体" w:eastAsia="黑体" w:cs="黑体"/>
          <w:b w:val="0"/>
          <w:bCs/>
          <w:sz w:val="28"/>
          <w:szCs w:val="28"/>
        </w:rPr>
      </w:pPr>
      <w:bookmarkStart w:id="11" w:name="_Toc22417"/>
      <w:r>
        <w:rPr>
          <w:rFonts w:hint="eastAsia" w:ascii="黑体" w:hAnsi="黑体" w:eastAsia="黑体" w:cs="黑体"/>
          <w:b w:val="0"/>
          <w:bCs/>
          <w:sz w:val="28"/>
          <w:szCs w:val="28"/>
        </w:rPr>
        <w:t>4.1  测试说明</w:t>
      </w:r>
      <w:bookmarkEnd w:id="11"/>
    </w:p>
    <w:p w14:paraId="5677FE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E4D7B1D">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4.1.1  测试环境</w:t>
      </w:r>
    </w:p>
    <w:p w14:paraId="28182C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A45308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实验环境见表 4-1。各策略使用相同模型和 llama-server，仅切换 CFS 与 sched_ext；CPU 固定为 1.6 GHz，Swap 关闭。</w:t>
      </w:r>
    </w:p>
    <w:p w14:paraId="4231BB0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4-1  测试环境</w:t>
      </w:r>
    </w:p>
    <w:tbl>
      <w:tblPr>
        <w:tblW w:w="9881" w:type="dxa"/>
        <w:tblInd w:w="-431"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12"/>
        <w:gridCol w:w="7969"/>
      </w:tblGrid>
      <w:tr w14:paraId="23A454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trPr>
        <w:tc>
          <w:tcPr>
            <w:tcW w:w="191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3DA46B77">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类别</w:t>
            </w:r>
          </w:p>
        </w:tc>
        <w:tc>
          <w:tcPr>
            <w:tcW w:w="7969"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6DB71BD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配置</w:t>
            </w:r>
          </w:p>
        </w:tc>
      </w:tr>
      <w:tr w14:paraId="325781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22AF8B2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开发板</w:t>
            </w:r>
          </w:p>
        </w:tc>
        <w:tc>
          <w:tcPr>
            <w:tcW w:w="7969" w:type="dxa"/>
            <w:tcBorders>
              <w:top w:val="single" w:color="auto" w:sz="4" w:space="0"/>
              <w:left w:val="single" w:color="auto" w:sz="4" w:space="0"/>
            </w:tcBorders>
            <w:shd w:val="clear" w:color="auto" w:fill="FFFFFF"/>
            <w:tcMar>
              <w:top w:w="150" w:type="dxa"/>
              <w:left w:w="240" w:type="dxa"/>
              <w:bottom w:w="150" w:type="dxa"/>
              <w:right w:w="0" w:type="dxa"/>
            </w:tcMar>
            <w:vAlign w:val="center"/>
          </w:tcPr>
          <w:p w14:paraId="3DA9288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Milk-V Jupiter</w:t>
            </w:r>
          </w:p>
        </w:tc>
      </w:tr>
      <w:tr w14:paraId="418BE7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4EB3CA1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处理器</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57C3DD7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SpacemiT K1，8 核 RISC-V，支持 RVV 1.0</w:t>
            </w:r>
          </w:p>
        </w:tc>
      </w:tr>
      <w:tr w14:paraId="240F5C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51E4D1C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内存</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7C4EF02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15.5 GiB，Swap 关闭</w:t>
            </w:r>
          </w:p>
        </w:tc>
      </w:tr>
      <w:tr w14:paraId="12E951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27EB73A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操作系统</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712D3D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Bianbu Linux，K1 厂商 Linux 6.6.63+，移植 sched_ext</w:t>
            </w:r>
          </w:p>
        </w:tc>
      </w:tr>
      <w:tr w14:paraId="7DB06F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0FFFC4F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CPU 频率</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5FD7E33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performance governor，固定 1.6 GHz</w:t>
            </w:r>
          </w:p>
        </w:tc>
      </w:tr>
      <w:tr w14:paraId="0FE523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252593F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推理引擎</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5477066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patched llama.cpp，基线提交 678d43d7205cffc3a8a026cb60b1de3868cc70a2</w:t>
            </w:r>
          </w:p>
        </w:tc>
      </w:tr>
      <w:tr w14:paraId="6B3CEE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34D1816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模型</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7C90033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Llama-3.2-3B-Instruct-Q4_K_M.gguf</w:t>
            </w:r>
          </w:p>
        </w:tc>
      </w:tr>
      <w:tr w14:paraId="49141E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5FA20A5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服务配置</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480F4A6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两个独立 llama-server，各使用 8 个计算线程，上下文长度 4096</w:t>
            </w:r>
          </w:p>
        </w:tc>
      </w:tr>
      <w:tr w14:paraId="489E81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12" w:type="dxa"/>
            <w:tcBorders>
              <w:right w:val="single" w:color="auto" w:sz="4" w:space="0"/>
            </w:tcBorders>
            <w:shd w:val="clear" w:color="auto" w:fill="FFFFFF"/>
            <w:tcMar>
              <w:top w:w="150" w:type="dxa"/>
              <w:left w:w="0" w:type="dxa"/>
              <w:bottom w:w="150" w:type="dxa"/>
              <w:right w:w="240" w:type="dxa"/>
            </w:tcMar>
            <w:vAlign w:val="center"/>
          </w:tcPr>
          <w:p w14:paraId="5432BE3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调度程序</w:t>
            </w:r>
          </w:p>
        </w:tc>
        <w:tc>
          <w:tcPr>
            <w:tcW w:w="7969" w:type="dxa"/>
            <w:tcBorders>
              <w:left w:val="single" w:color="auto" w:sz="4" w:space="0"/>
            </w:tcBorders>
            <w:shd w:val="clear" w:color="auto" w:fill="FFFFFF"/>
            <w:tcMar>
              <w:top w:w="150" w:type="dxa"/>
              <w:left w:w="240" w:type="dxa"/>
              <w:bottom w:w="150" w:type="dxa"/>
              <w:right w:w="0" w:type="dxa"/>
            </w:tcMar>
            <w:vAlign w:val="center"/>
          </w:tcPr>
          <w:p w14:paraId="1839874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scx_llm_pin，CO-RE eBPF struct_ops 调度器</w:t>
            </w:r>
          </w:p>
        </w:tc>
      </w:tr>
    </w:tbl>
    <w:p w14:paraId="77C1EB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E111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632027A">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4.1.2  测试负载与对照策略</w:t>
      </w:r>
    </w:p>
    <w:p w14:paraId="176414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5FD87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实验采用双模型异步竞争场景：两个 8-worker llama-server 共享 CPU0～CPU7。每轮先向 A 发送 incumbent 请求，待其均输出第 4 个 Token 后，再以 1 s 间隔向 B 注入等量请求；c=2、4、8 分别对应两侧 1∶1、2∶2、4∶4。该时序使 B 的 Prefill 与 A 的 Decode 重叠，可同时测量吞吐和竞争下的新请求延迟。</w:t>
      </w:r>
    </w:p>
    <w:p w14:paraId="2CE85C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BA0C4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Prompt 内容不同且无共同长前缀，统一补齐为 128 input token；每请求固定输出 256 Token，并设置 temperature=0、seed=1234、cache_prompt=false。预热后通过流式接口记录逐 Token 到达时间。</w:t>
      </w:r>
    </w:p>
    <w:p w14:paraId="7B52E9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9A930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三种策略见表 4-2。Observe 与完整策略仅在是否依据阶段提示改变调度顺序上存在关键差异，因此 CFS→Observe 衡量基础 Dirty Lease，Observe→Phase-Aware 衡量阶段感知机制。</w:t>
      </w:r>
    </w:p>
    <w:p w14:paraId="699F33E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F89B48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4-2  对照策略与关键配置</w:t>
      </w:r>
    </w:p>
    <w:tbl>
      <w:tblPr>
        <w:tblW w:w="8939"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06"/>
        <w:gridCol w:w="5414"/>
        <w:gridCol w:w="1719"/>
      </w:tblGrid>
      <w:tr w14:paraId="1D6219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3" w:hRule="atLeast"/>
          <w:tblHeader/>
        </w:trPr>
        <w:tc>
          <w:tcPr>
            <w:tcW w:w="0" w:type="auto"/>
            <w:tcBorders>
              <w:bottom w:val="single" w:color="auto" w:sz="4" w:space="0"/>
            </w:tcBorders>
            <w:shd w:val="clear" w:color="auto" w:fill="FFFFFF"/>
            <w:tcMar>
              <w:top w:w="150" w:type="dxa"/>
              <w:left w:w="0" w:type="dxa"/>
              <w:bottom w:w="150" w:type="dxa"/>
              <w:right w:w="240" w:type="dxa"/>
            </w:tcMar>
            <w:vAlign w:val="center"/>
          </w:tcPr>
          <w:p w14:paraId="10268A4C">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策略</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783736E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调度配置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0C1C040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实验作用</w:t>
            </w:r>
          </w:p>
        </w:tc>
      </w:tr>
      <w:tr w14:paraId="5BFA3C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53" w:hRule="atLeast"/>
        </w:trPr>
        <w:tc>
          <w:tcPr>
            <w:tcW w:w="0" w:type="auto"/>
            <w:tcBorders>
              <w:top w:val="single" w:color="auto" w:sz="4" w:space="0"/>
            </w:tcBorders>
            <w:shd w:val="clear" w:color="auto" w:fill="FFFFFF"/>
            <w:tcMar>
              <w:top w:w="150" w:type="dxa"/>
              <w:left w:w="0" w:type="dxa"/>
              <w:bottom w:w="150" w:type="dxa"/>
              <w:right w:w="240" w:type="dxa"/>
            </w:tcMar>
            <w:vAlign w:val="center"/>
          </w:tcPr>
          <w:p w14:paraId="36ED290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CFS</w:t>
            </w:r>
          </w:p>
        </w:tc>
        <w:tc>
          <w:tcPr>
            <w:tcW w:w="0" w:type="auto"/>
            <w:tcBorders>
              <w:top w:val="single" w:color="auto" w:sz="4" w:space="0"/>
            </w:tcBorders>
            <w:shd w:val="clear" w:color="auto" w:fill="FFFFFF"/>
            <w:tcMar>
              <w:top w:w="150" w:type="dxa"/>
              <w:left w:w="240" w:type="dxa"/>
              <w:bottom w:w="150" w:type="dxa"/>
              <w:right w:w="240" w:type="dxa"/>
            </w:tcMar>
            <w:vAlign w:val="center"/>
          </w:tcPr>
          <w:p w14:paraId="0320104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Linux 默认公平调度，两个服务共享 8 核</w:t>
            </w:r>
          </w:p>
        </w:tc>
        <w:tc>
          <w:tcPr>
            <w:tcW w:w="0" w:type="auto"/>
            <w:tcBorders>
              <w:top w:val="single" w:color="auto" w:sz="4" w:space="0"/>
            </w:tcBorders>
            <w:shd w:val="clear" w:color="auto" w:fill="FFFFFF"/>
            <w:tcMar>
              <w:top w:w="150" w:type="dxa"/>
              <w:left w:w="240" w:type="dxa"/>
              <w:bottom w:w="150" w:type="dxa"/>
              <w:right w:w="0" w:type="dxa"/>
            </w:tcMar>
            <w:vAlign w:val="center"/>
          </w:tcPr>
          <w:p w14:paraId="0CDD504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基线</w:t>
            </w:r>
          </w:p>
        </w:tc>
      </w:tr>
      <w:tr w14:paraId="73D748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675" w:hRule="atLeast"/>
        </w:trPr>
        <w:tc>
          <w:tcPr>
            <w:tcW w:w="0" w:type="auto"/>
            <w:shd w:val="clear" w:color="auto" w:fill="FFFFFF"/>
            <w:tcMar>
              <w:top w:w="150" w:type="dxa"/>
              <w:left w:w="0" w:type="dxa"/>
              <w:bottom w:w="150" w:type="dxa"/>
              <w:right w:w="240" w:type="dxa"/>
            </w:tcMar>
            <w:vAlign w:val="center"/>
          </w:tcPr>
          <w:p w14:paraId="61DCACD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Dirty Lease Observe</w:t>
            </w:r>
          </w:p>
        </w:tc>
        <w:tc>
          <w:tcPr>
            <w:tcW w:w="0" w:type="auto"/>
            <w:shd w:val="clear" w:color="auto" w:fill="FFFFFF"/>
            <w:tcMar>
              <w:top w:w="150" w:type="dxa"/>
              <w:left w:w="240" w:type="dxa"/>
              <w:bottom w:w="150" w:type="dxa"/>
              <w:right w:w="240" w:type="dxa"/>
            </w:tcMar>
            <w:vAlign w:val="center"/>
          </w:tcPr>
          <w:p w14:paraId="68E2771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dirty threshold=2，vector slice=100 ms，window=500 ms，vector-local-wakeup=off，读取 hint 但不改变队列选择</w:t>
            </w:r>
          </w:p>
        </w:tc>
        <w:tc>
          <w:tcPr>
            <w:tcW w:w="0" w:type="auto"/>
            <w:shd w:val="clear" w:color="auto" w:fill="FFFFFF"/>
            <w:tcMar>
              <w:top w:w="150" w:type="dxa"/>
              <w:left w:w="240" w:type="dxa"/>
              <w:bottom w:w="150" w:type="dxa"/>
              <w:right w:w="0" w:type="dxa"/>
            </w:tcMar>
            <w:vAlign w:val="center"/>
          </w:tcPr>
          <w:p w14:paraId="4278AC6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消融阶段感知机制，评价基础 Dirty Lease</w:t>
            </w:r>
          </w:p>
        </w:tc>
      </w:tr>
      <w:tr w14:paraId="18A9DC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55EB472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Phase-Aware Dirty Lease</w:t>
            </w:r>
          </w:p>
        </w:tc>
        <w:tc>
          <w:tcPr>
            <w:tcW w:w="0" w:type="auto"/>
            <w:shd w:val="clear" w:color="auto" w:fill="FFFFFF"/>
            <w:tcMar>
              <w:top w:w="150" w:type="dxa"/>
              <w:left w:w="240" w:type="dxa"/>
              <w:bottom w:w="150" w:type="dxa"/>
              <w:right w:w="240" w:type="dxa"/>
            </w:tcMar>
            <w:vAlign w:val="center"/>
          </w:tcPr>
          <w:p w14:paraId="2856741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在 Observe 配置上启用 prefill-lease、1 s pending safety 和 Prefill wakeup 定向抢占</w:t>
            </w:r>
          </w:p>
        </w:tc>
        <w:tc>
          <w:tcPr>
            <w:tcW w:w="0" w:type="auto"/>
            <w:shd w:val="clear" w:color="auto" w:fill="FFFFFF"/>
            <w:tcMar>
              <w:top w:w="150" w:type="dxa"/>
              <w:left w:w="240" w:type="dxa"/>
              <w:bottom w:w="150" w:type="dxa"/>
              <w:right w:w="0" w:type="dxa"/>
            </w:tcMar>
            <w:vAlign w:val="center"/>
          </w:tcPr>
          <w:p w14:paraId="3C611F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完整策略</w:t>
            </w:r>
          </w:p>
        </w:tc>
      </w:tr>
    </w:tbl>
    <w:p w14:paraId="64450CD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CF76B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67A251D">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4.1.3  指标与统计方法</w:t>
      </w:r>
    </w:p>
    <w:p w14:paraId="34A3CA3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B32BE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Aggregate TPS 按一轮实际输出 Token 总数除以真实 makespan 计算；TTFT 为请求发送至首 Token 到达的时间，仅统计后注入到 B 的请求；p95 使用同策略、同并发全部注入样本的 nearest-rank 结果。</w:t>
      </w:r>
    </w:p>
    <w:p w14:paraId="2DDD4C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0FAEE8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每种策略在 c=2、4、8 下分别执行 60、30、15 个有效轮次，均获得 60 个注入请求样本。TPS 按轮统计均值与标准差，TTFT 按 pooled 单请求统计；高并发下的多峰和较大标准差主要来自不同注入位置的排队差异。</w:t>
      </w:r>
    </w:p>
    <w:p w14:paraId="11815C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A7FEA17">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2" w:name="_Toc8417"/>
      <w:r>
        <w:rPr>
          <w:rFonts w:hint="eastAsia" w:ascii="黑体" w:hAnsi="黑体" w:eastAsia="黑体" w:cs="黑体"/>
          <w:b w:val="0"/>
          <w:bCs/>
          <w:sz w:val="28"/>
          <w:szCs w:val="28"/>
        </w:rPr>
        <w:t>4.2  测试结果</w:t>
      </w:r>
      <w:bookmarkEnd w:id="12"/>
    </w:p>
    <w:p w14:paraId="17FBFD47">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4.2.1  吞吐、首 Token 延迟与调度开销</w:t>
      </w:r>
    </w:p>
    <w:p w14:paraId="4F0E26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BD282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 汇总 c=2、4、8 时的 Aggregate TPS、注入请求平均 TTFT 和 p95 TTFT。括号内为相对同并发 CFS 的变化。</w:t>
      </w:r>
    </w:p>
    <w:p w14:paraId="3BF558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3EA5067">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w:t>
      </w:r>
      <w:r>
        <w:rPr>
          <w:rFonts w:hint="eastAsia" w:asciiTheme="majorEastAsia" w:hAnsiTheme="majorEastAsia" w:eastAsiaTheme="majorEastAsia" w:cstheme="majorEastAsia"/>
          <w:sz w:val="24"/>
          <w:szCs w:val="24"/>
          <w:lang w:val="en-US" w:eastAsia="zh-CN"/>
        </w:rPr>
        <w:t>-1</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lang w:val="en-US" w:eastAsia="zh-CN"/>
        </w:rPr>
        <w:t>c=2</w:t>
      </w:r>
      <w:r>
        <w:rPr>
          <w:rFonts w:hint="eastAsia" w:asciiTheme="majorEastAsia" w:hAnsiTheme="majorEastAsia" w:eastAsiaTheme="majorEastAsia" w:cstheme="majorEastAsia"/>
          <w:sz w:val="24"/>
          <w:szCs w:val="24"/>
        </w:rPr>
        <w:t>实验性能结果</w:t>
      </w:r>
    </w:p>
    <w:tbl>
      <w:tblPr>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2"/>
        <w:gridCol w:w="2556"/>
        <w:gridCol w:w="2329"/>
        <w:gridCol w:w="1729"/>
      </w:tblGrid>
      <w:tr w14:paraId="2C173B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402" w:hRule="atLeast"/>
          <w:tblHeader/>
        </w:trPr>
        <w:tc>
          <w:tcPr>
            <w:tcW w:w="0" w:type="auto"/>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519A6F44">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策略</w:t>
            </w:r>
          </w:p>
        </w:tc>
        <w:tc>
          <w:tcPr>
            <w:tcW w:w="0" w:type="auto"/>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75CED51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Aggregate TPS（均值 ± 标准差）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6731F1D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注入 TTFT（均值 ± 标准差）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4CBA7DC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注入 TTFT p95</w:t>
            </w:r>
          </w:p>
        </w:tc>
      </w:tr>
      <w:tr w14:paraId="02BB2E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0" w:type="auto"/>
            <w:tcBorders>
              <w:top w:val="single" w:color="auto" w:sz="4" w:space="0"/>
              <w:right w:val="single" w:color="auto" w:sz="4" w:space="0"/>
            </w:tcBorders>
            <w:shd w:val="clear" w:color="auto" w:fill="FFFFFF"/>
            <w:tcMar>
              <w:top w:w="150" w:type="dxa"/>
              <w:left w:w="0" w:type="dxa"/>
              <w:bottom w:w="150" w:type="dxa"/>
              <w:right w:w="240" w:type="dxa"/>
            </w:tcMar>
            <w:vAlign w:val="center"/>
          </w:tcPr>
          <w:p w14:paraId="652B5C8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CFS</w:t>
            </w:r>
          </w:p>
        </w:tc>
        <w:tc>
          <w:tcPr>
            <w:tcW w:w="0" w:type="auto"/>
            <w:tcBorders>
              <w:top w:val="single" w:color="auto" w:sz="4" w:space="0"/>
              <w:left w:val="single" w:color="auto" w:sz="4" w:space="0"/>
            </w:tcBorders>
            <w:shd w:val="clear" w:color="auto" w:fill="FFFFFF"/>
            <w:tcMar>
              <w:top w:w="150" w:type="dxa"/>
              <w:left w:w="240" w:type="dxa"/>
              <w:bottom w:w="150" w:type="dxa"/>
              <w:right w:w="240" w:type="dxa"/>
            </w:tcMar>
            <w:vAlign w:val="center"/>
          </w:tcPr>
          <w:p w14:paraId="25B7B52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1.6300 ± 0.0340</w:t>
            </w:r>
          </w:p>
        </w:tc>
        <w:tc>
          <w:tcPr>
            <w:tcW w:w="0" w:type="auto"/>
            <w:tcBorders>
              <w:top w:val="single" w:color="auto" w:sz="4" w:space="0"/>
            </w:tcBorders>
            <w:shd w:val="clear" w:color="auto" w:fill="FFFFFF"/>
            <w:tcMar>
              <w:top w:w="150" w:type="dxa"/>
              <w:left w:w="240" w:type="dxa"/>
              <w:bottom w:w="150" w:type="dxa"/>
              <w:right w:w="240" w:type="dxa"/>
            </w:tcMar>
            <w:vAlign w:val="center"/>
          </w:tcPr>
          <w:p w14:paraId="78E440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22.786 ± 0.291 s</w:t>
            </w:r>
          </w:p>
        </w:tc>
        <w:tc>
          <w:tcPr>
            <w:tcW w:w="0" w:type="auto"/>
            <w:tcBorders>
              <w:top w:val="single" w:color="auto" w:sz="4" w:space="0"/>
            </w:tcBorders>
            <w:shd w:val="clear" w:color="auto" w:fill="FFFFFF"/>
            <w:tcMar>
              <w:top w:w="150" w:type="dxa"/>
              <w:left w:w="240" w:type="dxa"/>
              <w:bottom w:w="150" w:type="dxa"/>
              <w:right w:w="0" w:type="dxa"/>
            </w:tcMar>
            <w:vAlign w:val="center"/>
          </w:tcPr>
          <w:p w14:paraId="38B33D3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23.195 s</w:t>
            </w:r>
          </w:p>
        </w:tc>
      </w:tr>
      <w:tr w14:paraId="4BE65D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0" w:type="auto"/>
            <w:tcBorders>
              <w:right w:val="single" w:color="auto" w:sz="4" w:space="0"/>
            </w:tcBorders>
            <w:shd w:val="clear" w:color="auto" w:fill="FFFFFF"/>
            <w:tcMar>
              <w:top w:w="150" w:type="dxa"/>
              <w:left w:w="0" w:type="dxa"/>
              <w:bottom w:w="150" w:type="dxa"/>
              <w:right w:w="240" w:type="dxa"/>
            </w:tcMar>
            <w:vAlign w:val="center"/>
          </w:tcPr>
          <w:p w14:paraId="436065E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Dirty Lease Observe</w:t>
            </w:r>
          </w:p>
        </w:tc>
        <w:tc>
          <w:tcPr>
            <w:tcW w:w="0" w:type="auto"/>
            <w:tcBorders>
              <w:left w:val="single" w:color="auto" w:sz="4" w:space="0"/>
            </w:tcBorders>
            <w:shd w:val="clear" w:color="auto" w:fill="FFFFFF"/>
            <w:tcMar>
              <w:top w:w="150" w:type="dxa"/>
              <w:left w:w="240" w:type="dxa"/>
              <w:bottom w:w="150" w:type="dxa"/>
              <w:right w:w="240" w:type="dxa"/>
            </w:tcMar>
            <w:vAlign w:val="center"/>
          </w:tcPr>
          <w:p w14:paraId="5770A4D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2.5347 ± 0.0227（+55.5%）</w:t>
            </w:r>
          </w:p>
        </w:tc>
        <w:tc>
          <w:tcPr>
            <w:tcW w:w="0" w:type="auto"/>
            <w:shd w:val="clear" w:color="auto" w:fill="FFFFFF"/>
            <w:tcMar>
              <w:top w:w="150" w:type="dxa"/>
              <w:left w:w="240" w:type="dxa"/>
              <w:bottom w:w="150" w:type="dxa"/>
              <w:right w:w="240" w:type="dxa"/>
            </w:tcMar>
            <w:vAlign w:val="center"/>
          </w:tcPr>
          <w:p w14:paraId="354F65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15.956 ± 0.483 s（-30.0%）</w:t>
            </w:r>
          </w:p>
        </w:tc>
        <w:tc>
          <w:tcPr>
            <w:tcW w:w="0" w:type="auto"/>
            <w:shd w:val="clear" w:color="auto" w:fill="FFFFFF"/>
            <w:tcMar>
              <w:top w:w="150" w:type="dxa"/>
              <w:left w:w="240" w:type="dxa"/>
              <w:bottom w:w="150" w:type="dxa"/>
              <w:right w:w="0" w:type="dxa"/>
            </w:tcMar>
            <w:vAlign w:val="center"/>
          </w:tcPr>
          <w:p w14:paraId="0E042F5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16.747 s（-27.8%）</w:t>
            </w:r>
          </w:p>
        </w:tc>
      </w:tr>
      <w:tr w14:paraId="07B2E8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right w:val="single" w:color="auto" w:sz="4" w:space="0"/>
            </w:tcBorders>
            <w:shd w:val="clear" w:color="auto" w:fill="FFFFFF"/>
            <w:tcMar>
              <w:top w:w="150" w:type="dxa"/>
              <w:left w:w="0" w:type="dxa"/>
              <w:bottom w:w="150" w:type="dxa"/>
              <w:right w:w="240" w:type="dxa"/>
            </w:tcMar>
            <w:vAlign w:val="center"/>
          </w:tcPr>
          <w:p w14:paraId="5343164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Phase-Aware Dirty Lease</w:t>
            </w:r>
          </w:p>
        </w:tc>
        <w:tc>
          <w:tcPr>
            <w:tcW w:w="0" w:type="auto"/>
            <w:tcBorders>
              <w:left w:val="single" w:color="auto" w:sz="4" w:space="0"/>
            </w:tcBorders>
            <w:shd w:val="clear" w:color="auto" w:fill="FFFFFF"/>
            <w:tcMar>
              <w:top w:w="150" w:type="dxa"/>
              <w:left w:w="240" w:type="dxa"/>
              <w:bottom w:w="150" w:type="dxa"/>
              <w:right w:w="240" w:type="dxa"/>
            </w:tcMar>
            <w:vAlign w:val="center"/>
          </w:tcPr>
          <w:p w14:paraId="34B0C5A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2.5250 ± 0.0168（+54.9%）</w:t>
            </w:r>
          </w:p>
        </w:tc>
        <w:tc>
          <w:tcPr>
            <w:tcW w:w="0" w:type="auto"/>
            <w:shd w:val="clear" w:color="auto" w:fill="FFFFFF"/>
            <w:tcMar>
              <w:top w:w="150" w:type="dxa"/>
              <w:left w:w="240" w:type="dxa"/>
              <w:bottom w:w="150" w:type="dxa"/>
              <w:right w:w="240" w:type="dxa"/>
            </w:tcMar>
            <w:vAlign w:val="center"/>
          </w:tcPr>
          <w:p w14:paraId="39179B5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13.904 ± 0.181 s（-39.0%）</w:t>
            </w:r>
          </w:p>
        </w:tc>
        <w:tc>
          <w:tcPr>
            <w:tcW w:w="0" w:type="auto"/>
            <w:shd w:val="clear" w:color="auto" w:fill="FFFFFF"/>
            <w:tcMar>
              <w:top w:w="150" w:type="dxa"/>
              <w:left w:w="240" w:type="dxa"/>
              <w:bottom w:w="150" w:type="dxa"/>
              <w:right w:w="0" w:type="dxa"/>
            </w:tcMar>
            <w:vAlign w:val="center"/>
          </w:tcPr>
          <w:p w14:paraId="38FC718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14.253 s（-38.6%）</w:t>
            </w:r>
          </w:p>
        </w:tc>
      </w:tr>
    </w:tbl>
    <w:p w14:paraId="166881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853134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25DBA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w:t>
      </w:r>
      <w:r>
        <w:rPr>
          <w:rFonts w:hint="eastAsia" w:asciiTheme="majorEastAsia" w:hAnsiTheme="majorEastAsia" w:eastAsiaTheme="majorEastAsia" w:cstheme="majorEastAsia"/>
          <w:sz w:val="24"/>
          <w:szCs w:val="24"/>
          <w:lang w:val="en-US" w:eastAsia="zh-CN"/>
        </w:rPr>
        <w:t>-2</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lang w:val="en-US" w:eastAsia="zh-CN"/>
        </w:rPr>
        <w:t>c=4</w:t>
      </w:r>
      <w:r>
        <w:rPr>
          <w:rFonts w:hint="eastAsia" w:asciiTheme="majorEastAsia" w:hAnsiTheme="majorEastAsia" w:eastAsiaTheme="majorEastAsia" w:cstheme="majorEastAsia"/>
          <w:sz w:val="24"/>
          <w:szCs w:val="24"/>
        </w:rPr>
        <w:t>实验性能结果</w:t>
      </w: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2"/>
        <w:gridCol w:w="2556"/>
        <w:gridCol w:w="2329"/>
        <w:gridCol w:w="1729"/>
      </w:tblGrid>
      <w:tr w14:paraId="4CAF9E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402" w:hRule="atLeast"/>
          <w:tblHeader/>
        </w:trPr>
        <w:tc>
          <w:tcPr>
            <w:tcW w:w="193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3BEEE17E">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策略</w:t>
            </w:r>
          </w:p>
        </w:tc>
        <w:tc>
          <w:tcPr>
            <w:tcW w:w="2556"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471EC72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TPS（均值 ± 标准差）</w:t>
            </w:r>
          </w:p>
        </w:tc>
        <w:tc>
          <w:tcPr>
            <w:tcW w:w="2329" w:type="dxa"/>
            <w:tcBorders>
              <w:bottom w:val="single" w:color="auto" w:sz="4" w:space="0"/>
            </w:tcBorders>
            <w:shd w:val="clear" w:color="auto" w:fill="FFFFFF"/>
            <w:tcMar>
              <w:top w:w="150" w:type="dxa"/>
              <w:left w:w="240" w:type="dxa"/>
              <w:bottom w:w="150" w:type="dxa"/>
              <w:right w:w="240" w:type="dxa"/>
            </w:tcMar>
            <w:vAlign w:val="center"/>
          </w:tcPr>
          <w:p w14:paraId="0B63E52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TTFT（均值 ± 标准差）</w:t>
            </w:r>
          </w:p>
        </w:tc>
        <w:tc>
          <w:tcPr>
            <w:tcW w:w="1729" w:type="dxa"/>
            <w:tcBorders>
              <w:bottom w:val="single" w:color="auto" w:sz="4" w:space="0"/>
            </w:tcBorders>
            <w:shd w:val="clear" w:color="auto" w:fill="FFFFFF"/>
            <w:tcMar>
              <w:top w:w="150" w:type="dxa"/>
              <w:left w:w="240" w:type="dxa"/>
              <w:bottom w:w="150" w:type="dxa"/>
              <w:right w:w="240" w:type="dxa"/>
            </w:tcMar>
            <w:vAlign w:val="center"/>
          </w:tcPr>
          <w:p w14:paraId="44B6521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 p95</w:t>
            </w:r>
          </w:p>
        </w:tc>
      </w:tr>
      <w:tr w14:paraId="7CD95E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3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22E0984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2556"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493AB06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2.0701 ± 0.0244</w:t>
            </w:r>
          </w:p>
        </w:tc>
        <w:tc>
          <w:tcPr>
            <w:tcW w:w="2329" w:type="dxa"/>
            <w:tcBorders>
              <w:top w:val="single" w:color="auto" w:sz="4" w:space="0"/>
            </w:tcBorders>
            <w:shd w:val="clear" w:color="auto" w:fill="FFFFFF"/>
            <w:tcMar>
              <w:top w:w="150" w:type="dxa"/>
              <w:left w:w="240" w:type="dxa"/>
              <w:bottom w:w="150" w:type="dxa"/>
              <w:right w:w="240" w:type="dxa"/>
            </w:tcMar>
            <w:vAlign w:val="center"/>
          </w:tcPr>
          <w:p w14:paraId="1E2AEDE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36.513 ± 12.556 s</w:t>
            </w:r>
          </w:p>
        </w:tc>
        <w:tc>
          <w:tcPr>
            <w:tcW w:w="1729" w:type="dxa"/>
            <w:tcBorders>
              <w:top w:val="single" w:color="auto" w:sz="4" w:space="0"/>
            </w:tcBorders>
            <w:shd w:val="clear" w:color="auto" w:fill="FFFFFF"/>
            <w:tcMar>
              <w:top w:w="150" w:type="dxa"/>
              <w:left w:w="240" w:type="dxa"/>
              <w:bottom w:w="150" w:type="dxa"/>
              <w:right w:w="0" w:type="dxa"/>
            </w:tcMar>
            <w:vAlign w:val="center"/>
          </w:tcPr>
          <w:p w14:paraId="5127EF7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49.724 s</w:t>
            </w:r>
          </w:p>
        </w:tc>
      </w:tr>
      <w:tr w14:paraId="6BB1AF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932" w:type="dxa"/>
            <w:tcBorders>
              <w:right w:val="single" w:color="auto" w:sz="4" w:space="0"/>
            </w:tcBorders>
            <w:shd w:val="clear" w:color="auto" w:fill="FFFFFF"/>
            <w:tcMar>
              <w:top w:w="150" w:type="dxa"/>
              <w:left w:w="0" w:type="dxa"/>
              <w:bottom w:w="150" w:type="dxa"/>
              <w:right w:w="240" w:type="dxa"/>
            </w:tcMar>
            <w:vAlign w:val="center"/>
          </w:tcPr>
          <w:p w14:paraId="4557191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037A665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2.6995 ± 0.0176（+30.4%）</w:t>
            </w:r>
          </w:p>
        </w:tc>
        <w:tc>
          <w:tcPr>
            <w:tcW w:w="2329" w:type="dxa"/>
            <w:shd w:val="clear" w:color="auto" w:fill="FFFFFF"/>
            <w:tcMar>
              <w:top w:w="150" w:type="dxa"/>
              <w:left w:w="240" w:type="dxa"/>
              <w:bottom w:w="150" w:type="dxa"/>
              <w:right w:w="240" w:type="dxa"/>
            </w:tcMar>
            <w:vAlign w:val="center"/>
          </w:tcPr>
          <w:p w14:paraId="59D696D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26.975 ± 9.353 s（-26.1%）</w:t>
            </w:r>
          </w:p>
        </w:tc>
        <w:tc>
          <w:tcPr>
            <w:tcW w:w="1729" w:type="dxa"/>
            <w:shd w:val="clear" w:color="auto" w:fill="FFFFFF"/>
            <w:tcMar>
              <w:top w:w="150" w:type="dxa"/>
              <w:left w:w="240" w:type="dxa"/>
              <w:bottom w:w="150" w:type="dxa"/>
              <w:right w:w="0" w:type="dxa"/>
            </w:tcMar>
            <w:vAlign w:val="center"/>
          </w:tcPr>
          <w:p w14:paraId="706D5BF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37.767 s（-24.0%）</w:t>
            </w:r>
          </w:p>
        </w:tc>
      </w:tr>
      <w:tr w14:paraId="4F056D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1932" w:type="dxa"/>
            <w:tcBorders>
              <w:right w:val="single" w:color="auto" w:sz="4" w:space="0"/>
            </w:tcBorders>
            <w:shd w:val="clear" w:color="auto" w:fill="FFFFFF"/>
            <w:tcMar>
              <w:top w:w="150" w:type="dxa"/>
              <w:left w:w="0" w:type="dxa"/>
              <w:bottom w:w="150" w:type="dxa"/>
              <w:right w:w="240" w:type="dxa"/>
            </w:tcMar>
            <w:vAlign w:val="center"/>
          </w:tcPr>
          <w:p w14:paraId="347C043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59836E3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2.7056 ± 0.0122（+30.7%）</w:t>
            </w:r>
          </w:p>
        </w:tc>
        <w:tc>
          <w:tcPr>
            <w:tcW w:w="2329" w:type="dxa"/>
            <w:shd w:val="clear" w:color="auto" w:fill="FFFFFF"/>
            <w:tcMar>
              <w:top w:w="150" w:type="dxa"/>
              <w:left w:w="240" w:type="dxa"/>
              <w:bottom w:w="150" w:type="dxa"/>
              <w:right w:w="240" w:type="dxa"/>
            </w:tcMar>
            <w:vAlign w:val="center"/>
          </w:tcPr>
          <w:p w14:paraId="130BA67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21.173 ± 7.076 s（-42.0%）</w:t>
            </w:r>
          </w:p>
        </w:tc>
        <w:tc>
          <w:tcPr>
            <w:tcW w:w="1729" w:type="dxa"/>
            <w:shd w:val="clear" w:color="auto" w:fill="FFFFFF"/>
            <w:tcMar>
              <w:top w:w="150" w:type="dxa"/>
              <w:left w:w="240" w:type="dxa"/>
              <w:bottom w:w="150" w:type="dxa"/>
              <w:right w:w="0" w:type="dxa"/>
            </w:tcMar>
            <w:vAlign w:val="center"/>
          </w:tcPr>
          <w:p w14:paraId="77973E8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28.677 s（-42.3%</w:t>
            </w:r>
          </w:p>
        </w:tc>
      </w:tr>
    </w:tbl>
    <w:p w14:paraId="23A2B3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901E0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A05B2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4-3</w:t>
      </w:r>
      <w:r>
        <w:rPr>
          <w:rFonts w:hint="eastAsia" w:asciiTheme="majorEastAsia" w:hAnsiTheme="majorEastAsia" w:eastAsiaTheme="majorEastAsia" w:cstheme="majorEastAsia"/>
          <w:sz w:val="24"/>
          <w:szCs w:val="24"/>
          <w:lang w:val="en-US" w:eastAsia="zh-CN"/>
        </w:rPr>
        <w:t>-3</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sz w:val="24"/>
          <w:szCs w:val="24"/>
          <w:lang w:val="en-US" w:eastAsia="zh-CN"/>
        </w:rPr>
        <w:t>c=8</w:t>
      </w:r>
      <w:r>
        <w:rPr>
          <w:rFonts w:hint="eastAsia" w:asciiTheme="majorEastAsia" w:hAnsiTheme="majorEastAsia" w:eastAsiaTheme="majorEastAsia" w:cstheme="majorEastAsia"/>
          <w:sz w:val="24"/>
          <w:szCs w:val="24"/>
        </w:rPr>
        <w:t>实验性能结果</w:t>
      </w: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2"/>
        <w:gridCol w:w="2556"/>
        <w:gridCol w:w="2329"/>
        <w:gridCol w:w="1729"/>
      </w:tblGrid>
      <w:tr w14:paraId="205D8F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PrEx>
        <w:trPr>
          <w:trHeight w:val="402" w:hRule="atLeast"/>
          <w:tblHeader/>
        </w:trPr>
        <w:tc>
          <w:tcPr>
            <w:tcW w:w="193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3ECC2B32">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策略</w:t>
            </w:r>
          </w:p>
        </w:tc>
        <w:tc>
          <w:tcPr>
            <w:tcW w:w="2556"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60FA54C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Aggregate TPS（均值 ± 标准差）</w:t>
            </w:r>
          </w:p>
        </w:tc>
        <w:tc>
          <w:tcPr>
            <w:tcW w:w="2329" w:type="dxa"/>
            <w:tcBorders>
              <w:bottom w:val="single" w:color="auto" w:sz="4" w:space="0"/>
            </w:tcBorders>
            <w:shd w:val="clear" w:color="auto" w:fill="FFFFFF"/>
            <w:tcMar>
              <w:top w:w="150" w:type="dxa"/>
              <w:left w:w="240" w:type="dxa"/>
              <w:bottom w:w="150" w:type="dxa"/>
              <w:right w:w="240" w:type="dxa"/>
            </w:tcMar>
            <w:vAlign w:val="center"/>
          </w:tcPr>
          <w:p w14:paraId="12A4C9A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TTFT（均值 ± 标准差）</w:t>
            </w:r>
          </w:p>
        </w:tc>
        <w:tc>
          <w:tcPr>
            <w:tcW w:w="1729" w:type="dxa"/>
            <w:tcBorders>
              <w:bottom w:val="single" w:color="auto" w:sz="4" w:space="0"/>
            </w:tcBorders>
            <w:shd w:val="clear" w:color="auto" w:fill="FFFFFF"/>
            <w:tcMar>
              <w:top w:w="150" w:type="dxa"/>
              <w:left w:w="240" w:type="dxa"/>
              <w:bottom w:w="150" w:type="dxa"/>
              <w:right w:w="240" w:type="dxa"/>
            </w:tcMar>
            <w:vAlign w:val="center"/>
          </w:tcPr>
          <w:p w14:paraId="1527EC4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注入 TTFT p95</w:t>
            </w:r>
          </w:p>
        </w:tc>
      </w:tr>
      <w:tr w14:paraId="737FD6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93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3D85E69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CFS</w:t>
            </w:r>
          </w:p>
        </w:tc>
        <w:tc>
          <w:tcPr>
            <w:tcW w:w="2556"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6DA93D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3.2008 ± 0.0288</w:t>
            </w:r>
          </w:p>
        </w:tc>
        <w:tc>
          <w:tcPr>
            <w:tcW w:w="2329" w:type="dxa"/>
            <w:tcBorders>
              <w:top w:val="single" w:color="auto" w:sz="4" w:space="0"/>
            </w:tcBorders>
            <w:shd w:val="clear" w:color="auto" w:fill="FFFFFF"/>
            <w:tcMar>
              <w:top w:w="150" w:type="dxa"/>
              <w:left w:w="240" w:type="dxa"/>
              <w:bottom w:w="150" w:type="dxa"/>
              <w:right w:w="240" w:type="dxa"/>
            </w:tcMar>
            <w:vAlign w:val="center"/>
          </w:tcPr>
          <w:p w14:paraId="12461AE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76.130 ± 30.395 s</w:t>
            </w:r>
          </w:p>
        </w:tc>
        <w:tc>
          <w:tcPr>
            <w:tcW w:w="1729" w:type="dxa"/>
            <w:tcBorders>
              <w:top w:val="single" w:color="auto" w:sz="4" w:space="0"/>
            </w:tcBorders>
            <w:shd w:val="clear" w:color="auto" w:fill="FFFFFF"/>
            <w:tcMar>
              <w:top w:w="150" w:type="dxa"/>
              <w:left w:w="240" w:type="dxa"/>
              <w:bottom w:w="150" w:type="dxa"/>
              <w:right w:w="0" w:type="dxa"/>
            </w:tcMar>
            <w:vAlign w:val="center"/>
          </w:tcPr>
          <w:p w14:paraId="5D6800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96.264 s</w:t>
            </w:r>
          </w:p>
        </w:tc>
      </w:tr>
      <w:tr w14:paraId="7F2010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7" w:hRule="atLeast"/>
        </w:trPr>
        <w:tc>
          <w:tcPr>
            <w:tcW w:w="1932" w:type="dxa"/>
            <w:tcBorders>
              <w:right w:val="single" w:color="auto" w:sz="4" w:space="0"/>
            </w:tcBorders>
            <w:shd w:val="clear" w:color="auto" w:fill="FFFFFF"/>
            <w:tcMar>
              <w:top w:w="150" w:type="dxa"/>
              <w:left w:w="0" w:type="dxa"/>
              <w:bottom w:w="150" w:type="dxa"/>
              <w:right w:w="240" w:type="dxa"/>
            </w:tcMar>
            <w:vAlign w:val="center"/>
          </w:tcPr>
          <w:p w14:paraId="7213076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Dirty Lease Observe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1C8DCC7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4.0109 ± 0.0195（+25.3%）</w:t>
            </w:r>
          </w:p>
        </w:tc>
        <w:tc>
          <w:tcPr>
            <w:tcW w:w="2329" w:type="dxa"/>
            <w:shd w:val="clear" w:color="auto" w:fill="FFFFFF"/>
            <w:tcMar>
              <w:top w:w="150" w:type="dxa"/>
              <w:left w:w="240" w:type="dxa"/>
              <w:bottom w:w="150" w:type="dxa"/>
              <w:right w:w="240" w:type="dxa"/>
            </w:tcMar>
            <w:vAlign w:val="center"/>
          </w:tcPr>
          <w:p w14:paraId="7B35D2E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50.988 ± 20.191 s（-33.0%）</w:t>
            </w:r>
          </w:p>
        </w:tc>
        <w:tc>
          <w:tcPr>
            <w:tcW w:w="1729" w:type="dxa"/>
            <w:shd w:val="clear" w:color="auto" w:fill="FFFFFF"/>
            <w:tcMar>
              <w:top w:w="150" w:type="dxa"/>
              <w:left w:w="240" w:type="dxa"/>
              <w:bottom w:w="150" w:type="dxa"/>
              <w:right w:w="0" w:type="dxa"/>
            </w:tcMar>
            <w:vAlign w:val="center"/>
          </w:tcPr>
          <w:p w14:paraId="660C5D5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65.434 s（-32.0%）</w:t>
            </w:r>
          </w:p>
        </w:tc>
      </w:tr>
      <w:tr w14:paraId="16A306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1932" w:type="dxa"/>
            <w:tcBorders>
              <w:right w:val="single" w:color="auto" w:sz="4" w:space="0"/>
            </w:tcBorders>
            <w:shd w:val="clear" w:color="auto" w:fill="FFFFFF"/>
            <w:tcMar>
              <w:top w:w="150" w:type="dxa"/>
              <w:left w:w="0" w:type="dxa"/>
              <w:bottom w:w="150" w:type="dxa"/>
              <w:right w:w="240" w:type="dxa"/>
            </w:tcMar>
            <w:vAlign w:val="center"/>
          </w:tcPr>
          <w:p w14:paraId="54BC785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Phase-Aware Dirty Lease</w:t>
            </w:r>
          </w:p>
        </w:tc>
        <w:tc>
          <w:tcPr>
            <w:tcW w:w="2556" w:type="dxa"/>
            <w:tcBorders>
              <w:left w:val="single" w:color="auto" w:sz="4" w:space="0"/>
            </w:tcBorders>
            <w:shd w:val="clear" w:color="auto" w:fill="FFFFFF"/>
            <w:tcMar>
              <w:top w:w="150" w:type="dxa"/>
              <w:left w:w="240" w:type="dxa"/>
              <w:bottom w:w="150" w:type="dxa"/>
              <w:right w:w="240" w:type="dxa"/>
            </w:tcMar>
            <w:vAlign w:val="center"/>
          </w:tcPr>
          <w:p w14:paraId="58B2E0F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4.0210 ± 0.0080（+25.6%）</w:t>
            </w:r>
          </w:p>
        </w:tc>
        <w:tc>
          <w:tcPr>
            <w:tcW w:w="2329" w:type="dxa"/>
            <w:shd w:val="clear" w:color="auto" w:fill="FFFFFF"/>
            <w:tcMar>
              <w:top w:w="150" w:type="dxa"/>
              <w:left w:w="240" w:type="dxa"/>
              <w:bottom w:w="150" w:type="dxa"/>
              <w:right w:w="240" w:type="dxa"/>
            </w:tcMar>
            <w:vAlign w:val="center"/>
          </w:tcPr>
          <w:p w14:paraId="60C9F4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43.983 ± 17.556 s（-42.2%）</w:t>
            </w:r>
          </w:p>
        </w:tc>
        <w:tc>
          <w:tcPr>
            <w:tcW w:w="1729" w:type="dxa"/>
            <w:shd w:val="clear" w:color="auto" w:fill="FFFFFF"/>
            <w:tcMar>
              <w:top w:w="150" w:type="dxa"/>
              <w:left w:w="240" w:type="dxa"/>
              <w:bottom w:w="150" w:type="dxa"/>
              <w:right w:w="0" w:type="dxa"/>
            </w:tcMar>
            <w:vAlign w:val="center"/>
          </w:tcPr>
          <w:p w14:paraId="163B3D3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55.395 s（-42.5%）</w:t>
            </w:r>
          </w:p>
        </w:tc>
      </w:tr>
    </w:tbl>
    <w:p w14:paraId="29E7AF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E9A480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lang w:eastAsia="zh-CN"/>
        </w:rPr>
      </w:pPr>
    </w:p>
    <w:p w14:paraId="6D1508C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4-1  c=8 逐请求平均 TTFT</w:t>
      </w:r>
      <w:r>
        <w:rPr>
          <w:rFonts w:hint="eastAsia" w:asciiTheme="majorEastAsia" w:hAnsiTheme="majorEastAsia" w:eastAsiaTheme="majorEastAsia" w:cstheme="majorEastAsia"/>
          <w:sz w:val="24"/>
          <w:szCs w:val="24"/>
          <w:lang w:eastAsia="zh-CN"/>
        </w:rPr>
        <w:drawing>
          <wp:anchor distT="0" distB="0" distL="114300" distR="114300" simplePos="0" relativeHeight="251661312" behindDoc="0" locked="0" layoutInCell="1" allowOverlap="1">
            <wp:simplePos x="0" y="0"/>
            <wp:positionH relativeFrom="column">
              <wp:posOffset>161925</wp:posOffset>
            </wp:positionH>
            <wp:positionV relativeFrom="paragraph">
              <wp:posOffset>34925</wp:posOffset>
            </wp:positionV>
            <wp:extent cx="5272405" cy="3163570"/>
            <wp:effectExtent l="0" t="0" r="4445" b="17780"/>
            <wp:wrapTopAndBottom/>
            <wp:docPr id="3" name="图片 3" descr="c8_per_request_mean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8_per_request_mean_ttft"/>
                    <pic:cNvPicPr>
                      <a:picLocks noChangeAspect="1"/>
                    </pic:cNvPicPr>
                  </pic:nvPicPr>
                  <pic:blipFill>
                    <a:blip r:embed="rId14"/>
                    <a:stretch>
                      <a:fillRect/>
                    </a:stretch>
                  </pic:blipFill>
                  <pic:spPr>
                    <a:xfrm>
                      <a:off x="0" y="0"/>
                      <a:ext cx="5272405" cy="3163570"/>
                    </a:xfrm>
                    <a:prstGeom prst="rect">
                      <a:avLst/>
                    </a:prstGeom>
                  </pic:spPr>
                </pic:pic>
              </a:graphicData>
            </a:graphic>
          </wp:anchor>
        </w:drawing>
      </w:r>
    </w:p>
    <w:p w14:paraId="5EA337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4-1 按请求槽位展示 c=8 的 15 轮平均 TTFT，其中 A 为 incumbent 请求，B 为后注入请求。</w:t>
      </w:r>
    </w:p>
    <w:p w14:paraId="69CFF1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1866E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D87E4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83CF0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90509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8F715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3B091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1B5BF20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4-2  c=4 B2 请求 TPS 时间曲线</w:t>
      </w:r>
    </w:p>
    <w:p w14:paraId="7DFC476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E53FDC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图 4-2 展示 c=4 时 B2 的 </w:t>
      </w:r>
      <w:r>
        <w:rPr>
          <w:rFonts w:hint="eastAsia" w:asciiTheme="majorEastAsia" w:hAnsiTheme="majorEastAsia" w:eastAsiaTheme="majorEastAsia" w:cstheme="majorEastAsia"/>
          <w:sz w:val="24"/>
          <w:szCs w:val="24"/>
        </w:rPr>
        <w:drawing>
          <wp:anchor distT="0" distB="0" distL="114300" distR="114300" simplePos="0" relativeHeight="251662336" behindDoc="0" locked="0" layoutInCell="1" allowOverlap="1">
            <wp:simplePos x="0" y="0"/>
            <wp:positionH relativeFrom="column">
              <wp:posOffset>-304800</wp:posOffset>
            </wp:positionH>
            <wp:positionV relativeFrom="paragraph">
              <wp:posOffset>-9220835</wp:posOffset>
            </wp:positionV>
            <wp:extent cx="5272405" cy="3163570"/>
            <wp:effectExtent l="0" t="0" r="4445" b="17780"/>
            <wp:wrapTopAndBottom/>
            <wp:docPr id="4" name="图片 4" descr="c4_b2_tps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4_b2_tps_over_time"/>
                    <pic:cNvPicPr>
                      <a:picLocks noChangeAspect="1"/>
                    </pic:cNvPicPr>
                  </pic:nvPicPr>
                  <pic:blipFill>
                    <a:blip r:embed="rId15"/>
                    <a:stretch>
                      <a:fillRect/>
                    </a:stretch>
                  </pic:blipFill>
                  <pic:spPr>
                    <a:xfrm>
                      <a:off x="0" y="0"/>
                      <a:ext cx="5272405" cy="3163570"/>
                    </a:xfrm>
                    <a:prstGeom prst="rect">
                      <a:avLst/>
                    </a:prstGeom>
                  </pic:spPr>
                </pic:pic>
              </a:graphicData>
            </a:graphic>
          </wp:anchor>
        </w:drawing>
      </w:r>
      <w:r>
        <w:rPr>
          <w:rFonts w:hint="eastAsia" w:asciiTheme="majorEastAsia" w:hAnsiTheme="majorEastAsia" w:eastAsiaTheme="majorEastAsia" w:cstheme="majorEastAsia"/>
          <w:sz w:val="24"/>
          <w:szCs w:val="24"/>
        </w:rPr>
        <w:t>30 轮平均窗口 TPS。Phase-Aware 与 Observe 完成时间接近，但前者更早输出，说明阶段感知主要提前 Prefill 的运行机会。</w:t>
      </w:r>
    </w:p>
    <w:p w14:paraId="545F31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CD18D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77B729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lang w:eastAsia="zh-CN"/>
        </w:rPr>
      </w:pPr>
      <w:r>
        <w:rPr>
          <w:rFonts w:hint="eastAsia" w:asciiTheme="majorEastAsia" w:hAnsiTheme="majorEastAsia" w:eastAsiaTheme="majorEastAsia" w:cstheme="majorEastAsia"/>
          <w:sz w:val="24"/>
          <w:szCs w:val="24"/>
          <w:lang w:eastAsia="zh-CN"/>
        </w:rPr>
        <w:drawing>
          <wp:anchor distT="0" distB="0" distL="114300" distR="114300" simplePos="0" relativeHeight="251663360" behindDoc="0" locked="0" layoutInCell="1" allowOverlap="1">
            <wp:simplePos x="0" y="0"/>
            <wp:positionH relativeFrom="column">
              <wp:posOffset>-114300</wp:posOffset>
            </wp:positionH>
            <wp:positionV relativeFrom="paragraph">
              <wp:posOffset>31115</wp:posOffset>
            </wp:positionV>
            <wp:extent cx="5263515" cy="4386580"/>
            <wp:effectExtent l="0" t="0" r="13335" b="13970"/>
            <wp:wrapTopAndBottom/>
            <wp:docPr id="5" name="图片 5" descr="aggregate_tps_over_time_c2_c4_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ggregate_tps_over_time_c2_c4_c8"/>
                    <pic:cNvPicPr>
                      <a:picLocks noChangeAspect="1"/>
                    </pic:cNvPicPr>
                  </pic:nvPicPr>
                  <pic:blipFill>
                    <a:blip r:embed="rId16"/>
                    <a:stretch>
                      <a:fillRect/>
                    </a:stretch>
                  </pic:blipFill>
                  <pic:spPr>
                    <a:xfrm>
                      <a:off x="0" y="0"/>
                      <a:ext cx="5263515" cy="4386580"/>
                    </a:xfrm>
                    <a:prstGeom prst="rect">
                      <a:avLst/>
                    </a:prstGeom>
                  </pic:spPr>
                </pic:pic>
              </a:graphicData>
            </a:graphic>
          </wp:anchor>
        </w:drawing>
      </w:r>
      <w:r>
        <w:rPr>
          <w:rFonts w:hint="eastAsia" w:asciiTheme="majorEastAsia" w:hAnsiTheme="majorEastAsia" w:eastAsiaTheme="majorEastAsia" w:cstheme="majorEastAsia"/>
          <w:sz w:val="24"/>
          <w:szCs w:val="24"/>
        </w:rPr>
        <w:t>图 4-3  三种策略全请求 Aggregate TPS 时间曲线</w:t>
      </w:r>
    </w:p>
    <w:p w14:paraId="395DF2B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6A007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图 4-3以每轮首个请求为时间零点，按 10 s 窗口展示两个服务的平均 Aggregate TPS；其统计对象与图 4-2 不同，横坐标不直接对应。</w:t>
      </w:r>
    </w:p>
    <w:p w14:paraId="2CC183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DBB6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相对 CFS，Phase-Aware 在三种并发下将 TPS 提高 25.6%～54.9%，平均和 p95 TTFT 分别降低 39.0%～42.2% 和 38.6%～42.5%，TPS 跨轮变异系数不超过 2.1%。Observe 已取得主要吞吐收益；Phase-Aware 相对 Observe 的 TPS 变化不超过 0.4%，但平均和 p95 TTFT 进一步降低 12.9%～21.5% 和 14.9%～24.1%，说明阶段提示主要调整 Prefill 与 Decode 获得资源的顺序，而非增加总计算能力。</w:t>
      </w:r>
    </w:p>
    <w:p w14:paraId="3DE43C5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4-4 给出两个 llama-server 进程组在单轮测试中的通用上下文切换总数。</w:t>
      </w:r>
    </w:p>
    <w:p w14:paraId="46872102">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4-4  双模型上下文切换次数（均值 ± 标准差）</w:t>
      </w:r>
    </w:p>
    <w:p w14:paraId="095E6D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4"/>
        <w:gridCol w:w="2092"/>
        <w:gridCol w:w="2759"/>
        <w:gridCol w:w="2731"/>
      </w:tblGrid>
      <w:tr w14:paraId="03DEE4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bottom w:val="single" w:color="auto" w:sz="4" w:space="0"/>
            </w:tcBorders>
            <w:shd w:val="clear" w:color="auto" w:fill="FFFFFF"/>
            <w:tcMar>
              <w:top w:w="150" w:type="dxa"/>
              <w:left w:w="0" w:type="dxa"/>
              <w:bottom w:w="150" w:type="dxa"/>
              <w:right w:w="240" w:type="dxa"/>
            </w:tcMar>
            <w:vAlign w:val="center"/>
          </w:tcPr>
          <w:p w14:paraId="374F0FC4">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总并发数</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7B1BF81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CFS</w:t>
            </w:r>
          </w:p>
        </w:tc>
        <w:tc>
          <w:tcPr>
            <w:tcW w:w="2759" w:type="dxa"/>
            <w:tcBorders>
              <w:bottom w:val="single" w:color="auto" w:sz="4" w:space="0"/>
            </w:tcBorders>
            <w:shd w:val="clear" w:color="auto" w:fill="FFFFFF"/>
            <w:tcMar>
              <w:top w:w="150" w:type="dxa"/>
              <w:left w:w="240" w:type="dxa"/>
              <w:bottom w:w="150" w:type="dxa"/>
              <w:right w:w="240" w:type="dxa"/>
            </w:tcMar>
            <w:vAlign w:val="center"/>
          </w:tcPr>
          <w:p w14:paraId="37CB6A8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Dirty Lease Observe</w:t>
            </w:r>
          </w:p>
        </w:tc>
        <w:tc>
          <w:tcPr>
            <w:tcW w:w="2731" w:type="dxa"/>
            <w:tcBorders>
              <w:bottom w:val="single" w:color="auto" w:sz="4" w:space="0"/>
            </w:tcBorders>
            <w:shd w:val="clear" w:color="auto" w:fill="FFFFFF"/>
            <w:tcMar>
              <w:top w:w="150" w:type="dxa"/>
              <w:left w:w="240" w:type="dxa"/>
              <w:bottom w:w="150" w:type="dxa"/>
              <w:right w:w="240" w:type="dxa"/>
            </w:tcMar>
            <w:vAlign w:val="center"/>
          </w:tcPr>
          <w:p w14:paraId="4D2B1A6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Phase-Aware Dirty Lease</w:t>
            </w:r>
          </w:p>
        </w:tc>
      </w:tr>
      <w:tr w14:paraId="330FD0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690" w:hRule="atLeast"/>
        </w:trPr>
        <w:tc>
          <w:tcPr>
            <w:tcW w:w="0" w:type="auto"/>
            <w:tcBorders>
              <w:top w:val="single" w:color="auto" w:sz="4" w:space="0"/>
            </w:tcBorders>
            <w:shd w:val="clear" w:color="auto" w:fill="FFFFFF"/>
            <w:tcMar>
              <w:top w:w="150" w:type="dxa"/>
              <w:left w:w="0" w:type="dxa"/>
              <w:bottom w:w="150" w:type="dxa"/>
              <w:right w:w="240" w:type="dxa"/>
            </w:tcMar>
            <w:vAlign w:val="center"/>
          </w:tcPr>
          <w:p w14:paraId="0B1AC2E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w:t>
            </w:r>
          </w:p>
        </w:tc>
        <w:tc>
          <w:tcPr>
            <w:tcW w:w="0" w:type="auto"/>
            <w:tcBorders>
              <w:top w:val="single" w:color="auto" w:sz="4" w:space="0"/>
            </w:tcBorders>
            <w:shd w:val="clear" w:color="auto" w:fill="FFFFFF"/>
            <w:tcMar>
              <w:top w:w="150" w:type="dxa"/>
              <w:left w:w="240" w:type="dxa"/>
              <w:bottom w:w="150" w:type="dxa"/>
              <w:right w:w="240" w:type="dxa"/>
            </w:tcMar>
            <w:vAlign w:val="center"/>
          </w:tcPr>
          <w:p w14:paraId="4E3A033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1,436,746 ± 65,273</w:t>
            </w:r>
          </w:p>
        </w:tc>
        <w:tc>
          <w:tcPr>
            <w:tcW w:w="2759" w:type="dxa"/>
            <w:tcBorders>
              <w:top w:val="single" w:color="auto" w:sz="4" w:space="0"/>
            </w:tcBorders>
            <w:shd w:val="clear" w:color="auto" w:fill="FFFFFF"/>
            <w:tcMar>
              <w:top w:w="150" w:type="dxa"/>
              <w:left w:w="240" w:type="dxa"/>
              <w:bottom w:w="150" w:type="dxa"/>
              <w:right w:w="240" w:type="dxa"/>
            </w:tcMar>
            <w:vAlign w:val="center"/>
          </w:tcPr>
          <w:p w14:paraId="392FE01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52,394 ± 1,508（-96.4%）</w:t>
            </w:r>
          </w:p>
        </w:tc>
        <w:tc>
          <w:tcPr>
            <w:tcW w:w="2731" w:type="dxa"/>
            <w:tcBorders>
              <w:top w:val="single" w:color="auto" w:sz="4" w:space="0"/>
            </w:tcBorders>
            <w:shd w:val="clear" w:color="auto" w:fill="FFFFFF"/>
            <w:tcMar>
              <w:top w:w="150" w:type="dxa"/>
              <w:left w:w="240" w:type="dxa"/>
              <w:bottom w:w="150" w:type="dxa"/>
              <w:right w:w="0" w:type="dxa"/>
            </w:tcMar>
            <w:vAlign w:val="center"/>
          </w:tcPr>
          <w:p w14:paraId="650700A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51,462 ± 1,652（-96.4%）</w:t>
            </w:r>
          </w:p>
        </w:tc>
      </w:tr>
      <w:tr w14:paraId="29580D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853E0E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4</w:t>
            </w:r>
          </w:p>
        </w:tc>
        <w:tc>
          <w:tcPr>
            <w:tcW w:w="0" w:type="auto"/>
            <w:shd w:val="clear" w:color="auto" w:fill="FFFFFF"/>
            <w:tcMar>
              <w:top w:w="150" w:type="dxa"/>
              <w:left w:w="240" w:type="dxa"/>
              <w:bottom w:w="150" w:type="dxa"/>
              <w:right w:w="240" w:type="dxa"/>
            </w:tcMar>
            <w:vAlign w:val="center"/>
          </w:tcPr>
          <w:p w14:paraId="3C4CF0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1,651,506 ± 41,296</w:t>
            </w:r>
          </w:p>
        </w:tc>
        <w:tc>
          <w:tcPr>
            <w:tcW w:w="2759" w:type="dxa"/>
            <w:shd w:val="clear" w:color="auto" w:fill="FFFFFF"/>
            <w:tcMar>
              <w:top w:w="150" w:type="dxa"/>
              <w:left w:w="240" w:type="dxa"/>
              <w:bottom w:w="150" w:type="dxa"/>
              <w:right w:w="240" w:type="dxa"/>
            </w:tcMar>
            <w:vAlign w:val="center"/>
          </w:tcPr>
          <w:p w14:paraId="13A193C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60,039 ± 803（-96.4%）</w:t>
            </w:r>
          </w:p>
        </w:tc>
        <w:tc>
          <w:tcPr>
            <w:tcW w:w="2731" w:type="dxa"/>
            <w:shd w:val="clear" w:color="auto" w:fill="FFFFFF"/>
            <w:tcMar>
              <w:top w:w="150" w:type="dxa"/>
              <w:left w:w="240" w:type="dxa"/>
              <w:bottom w:w="150" w:type="dxa"/>
              <w:right w:w="0" w:type="dxa"/>
            </w:tcMar>
            <w:vAlign w:val="center"/>
          </w:tcPr>
          <w:p w14:paraId="0DEB7D3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59,984 ± 798（-96.4%</w:t>
            </w:r>
            <w:r>
              <w:rPr>
                <w:rFonts w:hint="default" w:ascii="Segoe UI" w:hAnsi="Segoe UI" w:eastAsia="Segoe UI" w:cs="Segoe UI"/>
                <w:i w:val="0"/>
                <w:iCs w:val="0"/>
                <w:caps w:val="0"/>
                <w:color w:val="0F1115"/>
                <w:spacing w:val="0"/>
                <w:kern w:val="0"/>
                <w:sz w:val="22"/>
                <w:szCs w:val="22"/>
                <w:bdr w:val="none" w:color="auto" w:sz="0" w:space="0"/>
                <w:lang w:val="en-US" w:eastAsia="zh-CN" w:bidi="ar"/>
              </w:rPr>
              <w:t>）</w:t>
            </w:r>
          </w:p>
        </w:tc>
      </w:tr>
      <w:tr w14:paraId="5FDEF1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9694F6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8</w:t>
            </w:r>
          </w:p>
        </w:tc>
        <w:tc>
          <w:tcPr>
            <w:tcW w:w="0" w:type="auto"/>
            <w:shd w:val="clear" w:color="auto" w:fill="FFFFFF"/>
            <w:tcMar>
              <w:top w:w="150" w:type="dxa"/>
              <w:left w:w="240" w:type="dxa"/>
              <w:bottom w:w="150" w:type="dxa"/>
              <w:right w:w="240" w:type="dxa"/>
            </w:tcMar>
            <w:vAlign w:val="center"/>
          </w:tcPr>
          <w:p w14:paraId="0F2C654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1,995,704 ± 41,305</w:t>
            </w:r>
          </w:p>
        </w:tc>
        <w:tc>
          <w:tcPr>
            <w:tcW w:w="2759" w:type="dxa"/>
            <w:shd w:val="clear" w:color="auto" w:fill="FFFFFF"/>
            <w:tcMar>
              <w:top w:w="150" w:type="dxa"/>
              <w:left w:w="240" w:type="dxa"/>
              <w:bottom w:w="150" w:type="dxa"/>
              <w:right w:w="240" w:type="dxa"/>
            </w:tcMar>
            <w:vAlign w:val="center"/>
          </w:tcPr>
          <w:p w14:paraId="6673CAF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138,141 ± 2,628（-93.1%）</w:t>
            </w:r>
          </w:p>
        </w:tc>
        <w:tc>
          <w:tcPr>
            <w:tcW w:w="2731" w:type="dxa"/>
            <w:shd w:val="clear" w:color="auto" w:fill="FFFFFF"/>
            <w:tcMar>
              <w:top w:w="150" w:type="dxa"/>
              <w:left w:w="240" w:type="dxa"/>
              <w:bottom w:w="150" w:type="dxa"/>
              <w:right w:w="0" w:type="dxa"/>
            </w:tcMar>
            <w:vAlign w:val="center"/>
          </w:tcPr>
          <w:p w14:paraId="5FFC7D1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137,692 ± 3,357（-93.1%）</w:t>
            </w:r>
          </w:p>
        </w:tc>
      </w:tr>
    </w:tbl>
    <w:p w14:paraId="6D97EFD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68F952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完整策略相对 CFS 减少 93.1%～96.4% 的上下文切换。Observe 与其结果接近，说明切换下降主要来自稳定映射、VDSQ 和长 slice，而 Phase-Aware 的额外延迟收益来自组间顺序调整。</w:t>
      </w:r>
    </w:p>
    <w:p w14:paraId="1487E73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3015384">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4.2.2  测试结论</w:t>
      </w:r>
    </w:p>
    <w:p w14:paraId="53D0F4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完整测试矩阵共包含 315 个有效轮次</w:t>
      </w:r>
      <w:r>
        <w:rPr>
          <w:rFonts w:hint="eastAsia" w:asciiTheme="majorEastAsia" w:hAnsiTheme="majorEastAsia" w:eastAsiaTheme="majorEastAsia" w:cstheme="majorEastAsia"/>
          <w:sz w:val="24"/>
          <w:szCs w:val="24"/>
          <w:lang w:eastAsia="zh-CN"/>
        </w:rPr>
        <w:t>，</w:t>
      </w:r>
      <w:r>
        <w:rPr>
          <w:rFonts w:hint="eastAsia" w:asciiTheme="majorEastAsia" w:hAnsiTheme="majorEastAsia" w:eastAsiaTheme="majorEastAsia" w:cstheme="majorEastAsia"/>
          <w:sz w:val="24"/>
          <w:szCs w:val="24"/>
        </w:rPr>
        <w:t>实验验证了系统的两层作用：Dirty Lease 基础机制主要提升吞吐并大幅减少上下文切换，Phase-Aware 机制则利用用户态阶段提示，在保持吞吐的同时进一步降低新请求的平均与尾部 TTFT。</w:t>
      </w:r>
    </w:p>
    <w:p w14:paraId="0A6434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CA27498">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3" w:name="_Toc32212"/>
      <w:r>
        <w:rPr>
          <w:rFonts w:hint="eastAsia" w:ascii="黑体" w:hAnsi="黑体" w:eastAsia="黑体" w:cs="黑体"/>
          <w:b w:val="0"/>
          <w:bCs/>
          <w:sz w:val="28"/>
          <w:szCs w:val="28"/>
        </w:rPr>
        <w:t>4.3  额外实验</w:t>
      </w:r>
      <w:bookmarkEnd w:id="13"/>
    </w:p>
    <w:p w14:paraId="60627FC3">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b/>
          <w:sz w:val="24"/>
          <w:szCs w:val="24"/>
        </w:rPr>
        <w:t>4.3.1  定制内核 RVV 上下文搬运消融</w:t>
      </w:r>
    </w:p>
    <w:p w14:paraId="424704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93F86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为验证 RVV 寄存器搬运是否为主要瓶颈，本项目实现 restore-elision 定制内核：owner 状态有效时跳过 `v0-v31` restore，但保留 eager save 和 Vector CSR 恢复。实验使用单个 llama-server、c=4、每轮 300 s，原厂与定制内核各取 3 轮，CPU 固定为 1.6 GHz。</w:t>
      </w:r>
    </w:p>
    <w:p w14:paraId="2AC749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E92C00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4-5  CFS 与 CFS + restore-elision 对比</w:t>
      </w:r>
    </w:p>
    <w:p w14:paraId="5301FC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52"/>
        <w:gridCol w:w="1220"/>
        <w:gridCol w:w="1242"/>
        <w:gridCol w:w="1345"/>
        <w:gridCol w:w="1643"/>
        <w:gridCol w:w="1644"/>
      </w:tblGrid>
      <w:tr w14:paraId="312729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452" w:type="dxa"/>
            <w:tcBorders>
              <w:bottom w:val="single" w:color="auto" w:sz="4" w:space="0"/>
              <w:right w:val="single" w:color="auto" w:sz="4" w:space="0"/>
            </w:tcBorders>
            <w:shd w:val="clear" w:color="auto" w:fill="FFFFFF"/>
            <w:tcMar>
              <w:top w:w="150" w:type="dxa"/>
              <w:left w:w="0" w:type="dxa"/>
              <w:bottom w:w="150" w:type="dxa"/>
              <w:right w:w="240" w:type="dxa"/>
            </w:tcMar>
            <w:vAlign w:val="center"/>
          </w:tcPr>
          <w:p w14:paraId="22B57190">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配置</w:t>
            </w:r>
          </w:p>
        </w:tc>
        <w:tc>
          <w:tcPr>
            <w:tcW w:w="1220"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31D9BE3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TPS（均值 ± 标准差）</w:t>
            </w:r>
          </w:p>
        </w:tc>
        <w:tc>
          <w:tcPr>
            <w:tcW w:w="1242" w:type="dxa"/>
            <w:tcBorders>
              <w:bottom w:val="single" w:color="auto" w:sz="4" w:space="0"/>
            </w:tcBorders>
            <w:shd w:val="clear" w:color="auto" w:fill="FFFFFF"/>
            <w:tcMar>
              <w:top w:w="150" w:type="dxa"/>
              <w:left w:w="240" w:type="dxa"/>
              <w:bottom w:w="150" w:type="dxa"/>
              <w:right w:w="240" w:type="dxa"/>
            </w:tcMar>
            <w:vAlign w:val="center"/>
          </w:tcPr>
          <w:p w14:paraId="3F6B587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平均 TTFT（均值 ± 标准差）</w:t>
            </w:r>
          </w:p>
        </w:tc>
        <w:tc>
          <w:tcPr>
            <w:tcW w:w="1345" w:type="dxa"/>
            <w:tcBorders>
              <w:bottom w:val="single" w:color="auto" w:sz="4" w:space="0"/>
            </w:tcBorders>
            <w:shd w:val="clear" w:color="auto" w:fill="FFFFFF"/>
            <w:tcMar>
              <w:top w:w="150" w:type="dxa"/>
              <w:left w:w="240" w:type="dxa"/>
              <w:bottom w:w="150" w:type="dxa"/>
              <w:right w:w="240" w:type="dxa"/>
            </w:tcMar>
            <w:vAlign w:val="center"/>
          </w:tcPr>
          <w:p w14:paraId="4D9039A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p95 TTFT</w:t>
            </w:r>
          </w:p>
        </w:tc>
        <w:tc>
          <w:tcPr>
            <w:tcW w:w="1643" w:type="dxa"/>
            <w:tcBorders>
              <w:bottom w:val="single" w:color="auto" w:sz="4" w:space="0"/>
            </w:tcBorders>
            <w:shd w:val="clear" w:color="auto" w:fill="FFFFFF"/>
            <w:tcMar>
              <w:top w:w="150" w:type="dxa"/>
              <w:left w:w="240" w:type="dxa"/>
              <w:bottom w:w="150" w:type="dxa"/>
              <w:right w:w="240" w:type="dxa"/>
            </w:tcMar>
            <w:vAlign w:val="center"/>
          </w:tcPr>
          <w:p w14:paraId="3C6DD2A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RVV save+restore 候选（正式窗口）</w:t>
            </w:r>
          </w:p>
        </w:tc>
        <w:tc>
          <w:tcPr>
            <w:tcW w:w="1644" w:type="dxa"/>
            <w:tcBorders>
              <w:bottom w:val="single" w:color="auto" w:sz="4" w:space="0"/>
            </w:tcBorders>
            <w:shd w:val="clear" w:color="auto" w:fill="FFFFFF"/>
            <w:tcMar>
              <w:top w:w="150" w:type="dxa"/>
              <w:left w:w="240" w:type="dxa"/>
              <w:bottom w:w="150" w:type="dxa"/>
              <w:right w:w="240" w:type="dxa"/>
            </w:tcMar>
            <w:vAlign w:val="center"/>
          </w:tcPr>
          <w:p w14:paraId="7B6B270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实际完整 RVV save+restore</w:t>
            </w:r>
          </w:p>
        </w:tc>
      </w:tr>
      <w:tr w14:paraId="021571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1035" w:hRule="atLeast"/>
        </w:trPr>
        <w:tc>
          <w:tcPr>
            <w:tcW w:w="1452" w:type="dxa"/>
            <w:tcBorders>
              <w:top w:val="single" w:color="auto" w:sz="4" w:space="0"/>
              <w:right w:val="single" w:color="auto" w:sz="4" w:space="0"/>
            </w:tcBorders>
            <w:shd w:val="clear" w:color="auto" w:fill="FFFFFF"/>
            <w:tcMar>
              <w:top w:w="150" w:type="dxa"/>
              <w:left w:w="0" w:type="dxa"/>
              <w:bottom w:w="150" w:type="dxa"/>
              <w:right w:w="240" w:type="dxa"/>
            </w:tcMar>
            <w:vAlign w:val="center"/>
          </w:tcPr>
          <w:p w14:paraId="081AE7B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原厂 CFS</w:t>
            </w:r>
          </w:p>
        </w:tc>
        <w:tc>
          <w:tcPr>
            <w:tcW w:w="1220"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39EC762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5.671 ± 0.092</w:t>
            </w:r>
          </w:p>
        </w:tc>
        <w:tc>
          <w:tcPr>
            <w:tcW w:w="1242" w:type="dxa"/>
            <w:tcBorders>
              <w:top w:val="single" w:color="auto" w:sz="4" w:space="0"/>
            </w:tcBorders>
            <w:shd w:val="clear" w:color="auto" w:fill="FFFFFF"/>
            <w:tcMar>
              <w:top w:w="150" w:type="dxa"/>
              <w:left w:w="240" w:type="dxa"/>
              <w:bottom w:w="150" w:type="dxa"/>
              <w:right w:w="240" w:type="dxa"/>
            </w:tcMar>
            <w:vAlign w:val="center"/>
          </w:tcPr>
          <w:p w14:paraId="1BBB29F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3317.612 ± 209.135 ms</w:t>
            </w:r>
          </w:p>
        </w:tc>
        <w:tc>
          <w:tcPr>
            <w:tcW w:w="1345" w:type="dxa"/>
            <w:tcBorders>
              <w:top w:val="single" w:color="auto" w:sz="4" w:space="0"/>
            </w:tcBorders>
            <w:shd w:val="clear" w:color="auto" w:fill="FFFFFF"/>
            <w:tcMar>
              <w:top w:w="150" w:type="dxa"/>
              <w:left w:w="240" w:type="dxa"/>
              <w:bottom w:w="150" w:type="dxa"/>
              <w:right w:w="240" w:type="dxa"/>
            </w:tcMar>
            <w:vAlign w:val="center"/>
          </w:tcPr>
          <w:p w14:paraId="662404F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14264.225 ms</w:t>
            </w:r>
          </w:p>
        </w:tc>
        <w:tc>
          <w:tcPr>
            <w:tcW w:w="1643" w:type="dxa"/>
            <w:tcBorders>
              <w:top w:val="single" w:color="auto" w:sz="4" w:space="0"/>
            </w:tcBorders>
            <w:shd w:val="clear" w:color="auto" w:fill="FFFFFF"/>
            <w:tcMar>
              <w:top w:w="150" w:type="dxa"/>
              <w:left w:w="240" w:type="dxa"/>
              <w:bottom w:w="150" w:type="dxa"/>
              <w:right w:w="240" w:type="dxa"/>
            </w:tcMar>
            <w:vAlign w:val="center"/>
          </w:tcPr>
          <w:p w14:paraId="21D8E8A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124,660 ± 2,245</w:t>
            </w:r>
          </w:p>
        </w:tc>
        <w:tc>
          <w:tcPr>
            <w:tcW w:w="1644" w:type="dxa"/>
            <w:tcBorders>
              <w:top w:val="single" w:color="auto" w:sz="4" w:space="0"/>
            </w:tcBorders>
            <w:shd w:val="clear" w:color="auto" w:fill="FFFFFF"/>
            <w:tcMar>
              <w:top w:w="150" w:type="dxa"/>
              <w:left w:w="240" w:type="dxa"/>
              <w:bottom w:w="150" w:type="dxa"/>
              <w:right w:w="0" w:type="dxa"/>
            </w:tcMar>
            <w:vAlign w:val="center"/>
          </w:tcPr>
          <w:p w14:paraId="3066505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124,660 ± 2,245</w:t>
            </w:r>
          </w:p>
        </w:tc>
      </w:tr>
      <w:tr w14:paraId="06BA7C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195" w:hRule="atLeast"/>
        </w:trPr>
        <w:tc>
          <w:tcPr>
            <w:tcW w:w="1452" w:type="dxa"/>
            <w:tcBorders>
              <w:right w:val="single" w:color="auto" w:sz="4" w:space="0"/>
            </w:tcBorders>
            <w:shd w:val="clear" w:color="auto" w:fill="FFFFFF"/>
            <w:tcMar>
              <w:top w:w="150" w:type="dxa"/>
              <w:left w:w="0" w:type="dxa"/>
              <w:bottom w:w="150" w:type="dxa"/>
              <w:right w:w="240" w:type="dxa"/>
            </w:tcMar>
            <w:vAlign w:val="center"/>
          </w:tcPr>
          <w:p w14:paraId="5AFCE84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CFS + restore-elision</w:t>
            </w:r>
          </w:p>
        </w:tc>
        <w:tc>
          <w:tcPr>
            <w:tcW w:w="1220" w:type="dxa"/>
            <w:tcBorders>
              <w:left w:val="single" w:color="auto" w:sz="4" w:space="0"/>
            </w:tcBorders>
            <w:shd w:val="clear" w:color="auto" w:fill="FFFFFF"/>
            <w:tcMar>
              <w:top w:w="150" w:type="dxa"/>
              <w:left w:w="240" w:type="dxa"/>
              <w:bottom w:w="150" w:type="dxa"/>
              <w:right w:w="240" w:type="dxa"/>
            </w:tcMar>
            <w:vAlign w:val="center"/>
          </w:tcPr>
          <w:p w14:paraId="3D5818A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5.673 ± 0.070</w:t>
            </w:r>
          </w:p>
        </w:tc>
        <w:tc>
          <w:tcPr>
            <w:tcW w:w="1242" w:type="dxa"/>
            <w:shd w:val="clear" w:color="auto" w:fill="FFFFFF"/>
            <w:tcMar>
              <w:top w:w="150" w:type="dxa"/>
              <w:left w:w="240" w:type="dxa"/>
              <w:bottom w:w="150" w:type="dxa"/>
              <w:right w:w="240" w:type="dxa"/>
            </w:tcMar>
            <w:vAlign w:val="center"/>
          </w:tcPr>
          <w:p w14:paraId="2A24BC8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3090.600 ± 381.757 ms</w:t>
            </w:r>
          </w:p>
        </w:tc>
        <w:tc>
          <w:tcPr>
            <w:tcW w:w="1345" w:type="dxa"/>
            <w:shd w:val="clear" w:color="auto" w:fill="FFFFFF"/>
            <w:tcMar>
              <w:top w:w="150" w:type="dxa"/>
              <w:left w:w="240" w:type="dxa"/>
              <w:bottom w:w="150" w:type="dxa"/>
              <w:right w:w="240" w:type="dxa"/>
            </w:tcMar>
            <w:vAlign w:val="center"/>
          </w:tcPr>
          <w:p w14:paraId="4586BB9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13269.032 ± 2006.988 ms</w:t>
            </w:r>
          </w:p>
        </w:tc>
        <w:tc>
          <w:tcPr>
            <w:tcW w:w="1643" w:type="dxa"/>
            <w:shd w:val="clear" w:color="auto" w:fill="FFFFFF"/>
            <w:tcMar>
              <w:top w:w="150" w:type="dxa"/>
              <w:left w:w="240" w:type="dxa"/>
              <w:bottom w:w="150" w:type="dxa"/>
              <w:right w:w="240" w:type="dxa"/>
            </w:tcMar>
            <w:vAlign w:val="center"/>
          </w:tcPr>
          <w:p w14:paraId="36B3ACF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128,164 ± 1,906</w:t>
            </w:r>
          </w:p>
        </w:tc>
        <w:tc>
          <w:tcPr>
            <w:tcW w:w="1644" w:type="dxa"/>
            <w:shd w:val="clear" w:color="auto" w:fill="FFFFFF"/>
            <w:tcMar>
              <w:top w:w="150" w:type="dxa"/>
              <w:left w:w="240" w:type="dxa"/>
              <w:bottom w:w="150" w:type="dxa"/>
              <w:right w:w="0" w:type="dxa"/>
            </w:tcMar>
            <w:vAlign w:val="center"/>
          </w:tcPr>
          <w:p w14:paraId="16745FB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69,758 ± 949</w:t>
            </w:r>
          </w:p>
        </w:tc>
      </w:tr>
      <w:tr w14:paraId="0D96E8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1452" w:type="dxa"/>
            <w:tcBorders>
              <w:right w:val="single" w:color="auto" w:sz="4" w:space="0"/>
            </w:tcBorders>
            <w:shd w:val="clear" w:color="auto" w:fill="FFFFFF"/>
            <w:tcMar>
              <w:top w:w="150" w:type="dxa"/>
              <w:left w:w="0" w:type="dxa"/>
              <w:bottom w:w="150" w:type="dxa"/>
              <w:right w:w="240" w:type="dxa"/>
            </w:tcMar>
            <w:vAlign w:val="center"/>
          </w:tcPr>
          <w:p w14:paraId="01B68F2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相对变化</w:t>
            </w:r>
          </w:p>
        </w:tc>
        <w:tc>
          <w:tcPr>
            <w:tcW w:w="1220" w:type="dxa"/>
            <w:tcBorders>
              <w:left w:val="single" w:color="auto" w:sz="4" w:space="0"/>
            </w:tcBorders>
            <w:shd w:val="clear" w:color="auto" w:fill="FFFFFF"/>
            <w:tcMar>
              <w:top w:w="150" w:type="dxa"/>
              <w:left w:w="240" w:type="dxa"/>
              <w:bottom w:w="150" w:type="dxa"/>
              <w:right w:w="240" w:type="dxa"/>
            </w:tcMar>
            <w:vAlign w:val="center"/>
          </w:tcPr>
          <w:p w14:paraId="683384F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+0.041%</w:t>
            </w:r>
          </w:p>
        </w:tc>
        <w:tc>
          <w:tcPr>
            <w:tcW w:w="1242" w:type="dxa"/>
            <w:shd w:val="clear" w:color="auto" w:fill="FFFFFF"/>
            <w:tcMar>
              <w:top w:w="150" w:type="dxa"/>
              <w:left w:w="240" w:type="dxa"/>
              <w:bottom w:w="150" w:type="dxa"/>
              <w:right w:w="240" w:type="dxa"/>
            </w:tcMar>
            <w:vAlign w:val="center"/>
          </w:tcPr>
          <w:p w14:paraId="100FE21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-6.843%</w:t>
            </w:r>
          </w:p>
        </w:tc>
        <w:tc>
          <w:tcPr>
            <w:tcW w:w="1345" w:type="dxa"/>
            <w:shd w:val="clear" w:color="auto" w:fill="FFFFFF"/>
            <w:tcMar>
              <w:top w:w="150" w:type="dxa"/>
              <w:left w:w="240" w:type="dxa"/>
              <w:bottom w:w="150" w:type="dxa"/>
              <w:right w:w="240" w:type="dxa"/>
            </w:tcMar>
            <w:vAlign w:val="center"/>
          </w:tcPr>
          <w:p w14:paraId="7C744EF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-6.977%</w:t>
            </w:r>
          </w:p>
        </w:tc>
        <w:tc>
          <w:tcPr>
            <w:tcW w:w="1643" w:type="dxa"/>
            <w:shd w:val="clear" w:color="auto" w:fill="FFFFFF"/>
            <w:tcMar>
              <w:top w:w="150" w:type="dxa"/>
              <w:left w:w="240" w:type="dxa"/>
              <w:bottom w:w="150" w:type="dxa"/>
              <w:right w:w="240" w:type="dxa"/>
            </w:tcMar>
            <w:vAlign w:val="center"/>
          </w:tcPr>
          <w:p w14:paraId="1840F1F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+2.811%</w:t>
            </w:r>
          </w:p>
        </w:tc>
        <w:tc>
          <w:tcPr>
            <w:tcW w:w="1644" w:type="dxa"/>
            <w:shd w:val="clear" w:color="auto" w:fill="FFFFFF"/>
            <w:tcMar>
              <w:top w:w="150" w:type="dxa"/>
              <w:left w:w="240" w:type="dxa"/>
              <w:bottom w:w="150" w:type="dxa"/>
              <w:right w:w="0" w:type="dxa"/>
            </w:tcMar>
            <w:vAlign w:val="center"/>
          </w:tcPr>
          <w:p w14:paraId="29E9D38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-44.041%</w:t>
            </w:r>
          </w:p>
        </w:tc>
      </w:tr>
    </w:tbl>
    <w:p w14:paraId="5B005B1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定制内核平均省略 93.637% 的完整 restore，使 Vector 数据操作总量减少 48.354%，但 TPS 仅增加 0.041%。这否定了 Vector restore 数据加载是主要瓶颈的初始假设。</w:t>
      </w:r>
    </w:p>
    <w:p w14:paraId="43D116D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DE0CD48">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4.3.2  libgomp 自旋开销归因实验</w:t>
      </w:r>
    </w:p>
    <w:p w14:paraId="76F6F9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为定位 Dirty Lease 减少的执行路径，本实验比较 CFS、CFS + affinity 和 Dirty Lease Observe。负载为两个 8 线程 llama-server 共享 8 核，A/B 各并发 4 个请求，每请求输入 128 Token、输出 64 Token。</w:t>
      </w:r>
    </w:p>
    <w:p w14:paraId="40DD544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07290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实验以 perf stat 统计系统 instructions，以 cpu-clock:u 采样用户态 on-CPU 符号。通过 Build ID 和反汇编确认 libgomp.so.1 热点为进入 futex 前的 bounded-spin 循环。结果见表 4-6。</w:t>
      </w:r>
    </w:p>
    <w:p w14:paraId="2D0B2A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386A80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4-6  CFS、affinity 与 Dirty Lease 的 libgomp 自旋对比</w:t>
      </w:r>
    </w:p>
    <w:p w14:paraId="17EF572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799"/>
        <w:gridCol w:w="1380"/>
        <w:gridCol w:w="1337"/>
        <w:gridCol w:w="1337"/>
        <w:gridCol w:w="1167"/>
        <w:gridCol w:w="1167"/>
        <w:gridCol w:w="1359"/>
      </w:tblGrid>
      <w:tr w14:paraId="2DBA8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99"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5EB01B5">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配置</w:t>
            </w:r>
          </w:p>
        </w:tc>
        <w:tc>
          <w:tcPr>
            <w:tcW w:w="1380" w:type="dxa"/>
            <w:tcBorders>
              <w:top w:val="single" w:color="auto" w:sz="4" w:space="0"/>
              <w:left w:val="single" w:color="auto" w:sz="4" w:space="0"/>
              <w:bottom w:val="single" w:color="auto" w:sz="4" w:space="0"/>
            </w:tcBorders>
            <w:shd w:val="clear" w:color="auto" w:fill="FFFFFF"/>
            <w:tcMar>
              <w:top w:w="150" w:type="dxa"/>
              <w:left w:w="240" w:type="dxa"/>
              <w:bottom w:w="150" w:type="dxa"/>
              <w:right w:w="240" w:type="dxa"/>
            </w:tcMar>
            <w:vAlign w:val="center"/>
          </w:tcPr>
          <w:p w14:paraId="01549F1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Aggregate TPS</w:t>
            </w:r>
          </w:p>
        </w:tc>
        <w:tc>
          <w:tcPr>
            <w:tcW w:w="133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3B7991E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LLM CPU runtime</w:t>
            </w:r>
          </w:p>
        </w:tc>
        <w:tc>
          <w:tcPr>
            <w:tcW w:w="133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7592D39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系统 instructions</w:t>
            </w:r>
          </w:p>
        </w:tc>
        <w:tc>
          <w:tcPr>
            <w:tcW w:w="116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70B9330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spin-loop 用户态占比</w:t>
            </w:r>
          </w:p>
        </w:tc>
        <w:tc>
          <w:tcPr>
            <w:tcW w:w="1167" w:type="dxa"/>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1E9FAE1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spin-loop CPU 时间</w:t>
            </w:r>
          </w:p>
        </w:tc>
        <w:tc>
          <w:tcPr>
            <w:tcW w:w="1359" w:type="dxa"/>
            <w:tcBorders>
              <w:top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7FDA463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libggml-cpu samples</w:t>
            </w:r>
          </w:p>
        </w:tc>
      </w:tr>
      <w:tr w14:paraId="3C60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9" w:type="dxa"/>
            <w:tcBorders>
              <w:top w:val="single" w:color="auto" w:sz="4" w:space="0"/>
              <w:left w:val="single" w:color="auto" w:sz="4" w:space="0"/>
              <w:right w:val="single" w:color="auto" w:sz="4" w:space="0"/>
            </w:tcBorders>
            <w:shd w:val="clear" w:color="auto" w:fill="FFFFFF"/>
            <w:tcMar>
              <w:top w:w="150" w:type="dxa"/>
              <w:left w:w="0" w:type="dxa"/>
              <w:bottom w:w="150" w:type="dxa"/>
              <w:right w:w="240" w:type="dxa"/>
            </w:tcMar>
            <w:vAlign w:val="center"/>
          </w:tcPr>
          <w:p w14:paraId="0F6C8A3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CFS</w:t>
            </w:r>
          </w:p>
        </w:tc>
        <w:tc>
          <w:tcPr>
            <w:tcW w:w="1380" w:type="dxa"/>
            <w:tcBorders>
              <w:top w:val="single" w:color="auto" w:sz="4" w:space="0"/>
              <w:left w:val="single" w:color="auto" w:sz="4" w:space="0"/>
            </w:tcBorders>
            <w:shd w:val="clear" w:color="auto" w:fill="FFFFFF"/>
            <w:tcMar>
              <w:top w:w="150" w:type="dxa"/>
              <w:left w:w="240" w:type="dxa"/>
              <w:bottom w:w="150" w:type="dxa"/>
              <w:right w:w="240" w:type="dxa"/>
            </w:tcMar>
            <w:vAlign w:val="center"/>
          </w:tcPr>
          <w:p w14:paraId="5A2EA3E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2.1131</w:t>
            </w:r>
          </w:p>
        </w:tc>
        <w:tc>
          <w:tcPr>
            <w:tcW w:w="1337" w:type="dxa"/>
            <w:tcBorders>
              <w:top w:val="single" w:color="auto" w:sz="4" w:space="0"/>
            </w:tcBorders>
            <w:shd w:val="clear" w:color="auto" w:fill="FFFFFF"/>
            <w:tcMar>
              <w:top w:w="150" w:type="dxa"/>
              <w:left w:w="240" w:type="dxa"/>
              <w:bottom w:w="150" w:type="dxa"/>
              <w:right w:w="240" w:type="dxa"/>
            </w:tcMar>
            <w:vAlign w:val="center"/>
          </w:tcPr>
          <w:p w14:paraId="7603B3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1799.24 s</w:t>
            </w:r>
          </w:p>
        </w:tc>
        <w:tc>
          <w:tcPr>
            <w:tcW w:w="1337" w:type="dxa"/>
            <w:tcBorders>
              <w:top w:val="single" w:color="auto" w:sz="4" w:space="0"/>
            </w:tcBorders>
            <w:shd w:val="clear" w:color="auto" w:fill="FFFFFF"/>
            <w:tcMar>
              <w:top w:w="150" w:type="dxa"/>
              <w:left w:w="240" w:type="dxa"/>
              <w:bottom w:w="150" w:type="dxa"/>
              <w:right w:w="240" w:type="dxa"/>
            </w:tcMar>
            <w:vAlign w:val="center"/>
          </w:tcPr>
          <w:p w14:paraId="5281DA0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2.000 T</w:t>
            </w:r>
          </w:p>
        </w:tc>
        <w:tc>
          <w:tcPr>
            <w:tcW w:w="1167" w:type="dxa"/>
            <w:tcBorders>
              <w:top w:val="single" w:color="auto" w:sz="4" w:space="0"/>
            </w:tcBorders>
            <w:shd w:val="clear" w:color="auto" w:fill="FFFFFF"/>
            <w:tcMar>
              <w:top w:w="150" w:type="dxa"/>
              <w:left w:w="240" w:type="dxa"/>
              <w:bottom w:w="150" w:type="dxa"/>
              <w:right w:w="240" w:type="dxa"/>
            </w:tcMar>
            <w:vAlign w:val="center"/>
          </w:tcPr>
          <w:p w14:paraId="2253FB3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17.54%</w:t>
            </w:r>
          </w:p>
        </w:tc>
        <w:tc>
          <w:tcPr>
            <w:tcW w:w="1167" w:type="dxa"/>
            <w:tcBorders>
              <w:top w:val="single" w:color="auto" w:sz="4" w:space="0"/>
            </w:tcBorders>
            <w:shd w:val="clear" w:color="auto" w:fill="FFFFFF"/>
            <w:tcMar>
              <w:top w:w="150" w:type="dxa"/>
              <w:left w:w="240" w:type="dxa"/>
              <w:bottom w:w="150" w:type="dxa"/>
              <w:right w:w="240" w:type="dxa"/>
            </w:tcMar>
            <w:vAlign w:val="center"/>
          </w:tcPr>
          <w:p w14:paraId="469A14F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311.14 s</w:t>
            </w:r>
          </w:p>
        </w:tc>
        <w:tc>
          <w:tcPr>
            <w:tcW w:w="1359" w:type="dxa"/>
            <w:tcBorders>
              <w:top w:val="single" w:color="auto" w:sz="4" w:space="0"/>
              <w:right w:val="single" w:color="auto" w:sz="4" w:space="0"/>
            </w:tcBorders>
            <w:shd w:val="clear" w:color="auto" w:fill="FFFFFF"/>
            <w:tcMar>
              <w:top w:w="150" w:type="dxa"/>
              <w:left w:w="240" w:type="dxa"/>
              <w:bottom w:w="150" w:type="dxa"/>
              <w:right w:w="0" w:type="dxa"/>
            </w:tcMar>
            <w:vAlign w:val="center"/>
          </w:tcPr>
          <w:p w14:paraId="5CA1490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142,838</w:t>
            </w:r>
          </w:p>
        </w:tc>
      </w:tr>
      <w:tr w14:paraId="08F8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99" w:type="dxa"/>
            <w:tcBorders>
              <w:left w:val="single" w:color="auto" w:sz="4" w:space="0"/>
              <w:right w:val="single" w:color="auto" w:sz="4" w:space="0"/>
            </w:tcBorders>
            <w:shd w:val="clear" w:color="auto" w:fill="FFFFFF"/>
            <w:tcMar>
              <w:top w:w="150" w:type="dxa"/>
              <w:left w:w="0" w:type="dxa"/>
              <w:bottom w:w="150" w:type="dxa"/>
              <w:right w:w="240" w:type="dxa"/>
            </w:tcMar>
            <w:vAlign w:val="center"/>
          </w:tcPr>
          <w:p w14:paraId="06D08098">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CFS + affinity</w:t>
            </w:r>
          </w:p>
        </w:tc>
        <w:tc>
          <w:tcPr>
            <w:tcW w:w="1380" w:type="dxa"/>
            <w:tcBorders>
              <w:left w:val="single" w:color="auto" w:sz="4" w:space="0"/>
            </w:tcBorders>
            <w:shd w:val="clear" w:color="auto" w:fill="FFFFFF"/>
            <w:tcMar>
              <w:top w:w="150" w:type="dxa"/>
              <w:left w:w="240" w:type="dxa"/>
              <w:bottom w:w="150" w:type="dxa"/>
              <w:right w:w="240" w:type="dxa"/>
            </w:tcMar>
            <w:vAlign w:val="center"/>
          </w:tcPr>
          <w:p w14:paraId="4AE716D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2.4177（+14.42%）</w:t>
            </w:r>
          </w:p>
        </w:tc>
        <w:tc>
          <w:tcPr>
            <w:tcW w:w="1337" w:type="dxa"/>
            <w:shd w:val="clear" w:color="auto" w:fill="FFFFFF"/>
            <w:tcMar>
              <w:top w:w="150" w:type="dxa"/>
              <w:left w:w="240" w:type="dxa"/>
              <w:bottom w:w="150" w:type="dxa"/>
              <w:right w:w="240" w:type="dxa"/>
            </w:tcMar>
            <w:vAlign w:val="center"/>
          </w:tcPr>
          <w:p w14:paraId="21B657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1605.23 s（-10.78%）</w:t>
            </w:r>
          </w:p>
        </w:tc>
        <w:tc>
          <w:tcPr>
            <w:tcW w:w="1337" w:type="dxa"/>
            <w:shd w:val="clear" w:color="auto" w:fill="FFFFFF"/>
            <w:tcMar>
              <w:top w:w="150" w:type="dxa"/>
              <w:left w:w="240" w:type="dxa"/>
              <w:bottom w:w="150" w:type="dxa"/>
              <w:right w:w="240" w:type="dxa"/>
            </w:tcMar>
            <w:vAlign w:val="center"/>
          </w:tcPr>
          <w:p w14:paraId="1119990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1.619 T（-19.05%）</w:t>
            </w:r>
          </w:p>
        </w:tc>
        <w:tc>
          <w:tcPr>
            <w:tcW w:w="1167" w:type="dxa"/>
            <w:shd w:val="clear" w:color="auto" w:fill="FFFFFF"/>
            <w:tcMar>
              <w:top w:w="150" w:type="dxa"/>
              <w:left w:w="240" w:type="dxa"/>
              <w:bottom w:w="150" w:type="dxa"/>
              <w:right w:w="240" w:type="dxa"/>
            </w:tcMar>
            <w:vAlign w:val="center"/>
          </w:tcPr>
          <w:p w14:paraId="2227D28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7.48%</w:t>
            </w:r>
          </w:p>
        </w:tc>
        <w:tc>
          <w:tcPr>
            <w:tcW w:w="1167" w:type="dxa"/>
            <w:shd w:val="clear" w:color="auto" w:fill="FFFFFF"/>
            <w:tcMar>
              <w:top w:w="150" w:type="dxa"/>
              <w:left w:w="240" w:type="dxa"/>
              <w:bottom w:w="150" w:type="dxa"/>
              <w:right w:w="240" w:type="dxa"/>
            </w:tcMar>
            <w:vAlign w:val="center"/>
          </w:tcPr>
          <w:p w14:paraId="4124831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119.07 s</w:t>
            </w:r>
          </w:p>
        </w:tc>
        <w:tc>
          <w:tcPr>
            <w:tcW w:w="1359" w:type="dxa"/>
            <w:tcBorders>
              <w:right w:val="single" w:color="auto" w:sz="4" w:space="0"/>
            </w:tcBorders>
            <w:shd w:val="clear" w:color="auto" w:fill="FFFFFF"/>
            <w:tcMar>
              <w:top w:w="150" w:type="dxa"/>
              <w:left w:w="240" w:type="dxa"/>
              <w:bottom w:w="150" w:type="dxa"/>
              <w:right w:w="0" w:type="dxa"/>
            </w:tcMar>
            <w:vAlign w:val="center"/>
          </w:tcPr>
          <w:p w14:paraId="0391806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144,339（+1.05%）</w:t>
            </w:r>
          </w:p>
        </w:tc>
      </w:tr>
      <w:tr w14:paraId="3FD8C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9" w:type="dxa"/>
            <w:tcBorders>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5889879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Dirty Lease Observe</w:t>
            </w:r>
          </w:p>
        </w:tc>
        <w:tc>
          <w:tcPr>
            <w:tcW w:w="1380" w:type="dxa"/>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3ABB688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2.5194（+19.23%）</w:t>
            </w:r>
          </w:p>
        </w:tc>
        <w:tc>
          <w:tcPr>
            <w:tcW w:w="1337" w:type="dxa"/>
            <w:tcBorders>
              <w:bottom w:val="single" w:color="auto" w:sz="4" w:space="0"/>
            </w:tcBorders>
            <w:shd w:val="clear" w:color="auto" w:fill="FFFFFF"/>
            <w:tcMar>
              <w:top w:w="150" w:type="dxa"/>
              <w:left w:w="240" w:type="dxa"/>
              <w:bottom w:w="150" w:type="dxa"/>
              <w:right w:w="240" w:type="dxa"/>
            </w:tcMar>
            <w:vAlign w:val="center"/>
          </w:tcPr>
          <w:p w14:paraId="3DF043D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1528.83 s（-15.03%）</w:t>
            </w:r>
          </w:p>
        </w:tc>
        <w:tc>
          <w:tcPr>
            <w:tcW w:w="1337" w:type="dxa"/>
            <w:tcBorders>
              <w:bottom w:val="single" w:color="auto" w:sz="4" w:space="0"/>
            </w:tcBorders>
            <w:shd w:val="clear" w:color="auto" w:fill="FFFFFF"/>
            <w:tcMar>
              <w:top w:w="150" w:type="dxa"/>
              <w:left w:w="240" w:type="dxa"/>
              <w:bottom w:w="150" w:type="dxa"/>
              <w:right w:w="240" w:type="dxa"/>
            </w:tcMar>
            <w:vAlign w:val="center"/>
          </w:tcPr>
          <w:p w14:paraId="54FF8C7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1.549 T（-22.55%）</w:t>
            </w:r>
          </w:p>
        </w:tc>
        <w:tc>
          <w:tcPr>
            <w:tcW w:w="1167" w:type="dxa"/>
            <w:tcBorders>
              <w:bottom w:val="single" w:color="auto" w:sz="4" w:space="0"/>
            </w:tcBorders>
            <w:shd w:val="clear" w:color="auto" w:fill="FFFFFF"/>
            <w:tcMar>
              <w:top w:w="150" w:type="dxa"/>
              <w:left w:w="240" w:type="dxa"/>
              <w:bottom w:w="150" w:type="dxa"/>
              <w:right w:w="240" w:type="dxa"/>
            </w:tcMar>
            <w:vAlign w:val="center"/>
          </w:tcPr>
          <w:p w14:paraId="42FEC34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5.64%</w:t>
            </w:r>
          </w:p>
        </w:tc>
        <w:tc>
          <w:tcPr>
            <w:tcW w:w="1167" w:type="dxa"/>
            <w:tcBorders>
              <w:bottom w:val="single" w:color="auto" w:sz="4" w:space="0"/>
            </w:tcBorders>
            <w:shd w:val="clear" w:color="auto" w:fill="FFFFFF"/>
            <w:tcMar>
              <w:top w:w="150" w:type="dxa"/>
              <w:left w:w="240" w:type="dxa"/>
              <w:bottom w:w="150" w:type="dxa"/>
              <w:right w:w="240" w:type="dxa"/>
            </w:tcMar>
            <w:vAlign w:val="center"/>
          </w:tcPr>
          <w:p w14:paraId="3A9CB2A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86.03 s</w:t>
            </w:r>
          </w:p>
        </w:tc>
        <w:tc>
          <w:tcPr>
            <w:tcW w:w="1359" w:type="dxa"/>
            <w:tcBorders>
              <w:bottom w:val="single" w:color="auto" w:sz="4" w:space="0"/>
              <w:right w:val="single" w:color="auto" w:sz="4" w:space="0"/>
            </w:tcBorders>
            <w:shd w:val="clear" w:color="auto" w:fill="FFFFFF"/>
            <w:tcMar>
              <w:top w:w="150" w:type="dxa"/>
              <w:left w:w="240" w:type="dxa"/>
              <w:bottom w:w="150" w:type="dxa"/>
              <w:right w:w="0" w:type="dxa"/>
            </w:tcMar>
            <w:vAlign w:val="center"/>
          </w:tcPr>
          <w:p w14:paraId="2A65E3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140,976（-1.30%）</w:t>
            </w:r>
          </w:p>
        </w:tc>
      </w:tr>
    </w:tbl>
    <w:p w14:paraId="3BABD0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E33C81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Observe 将 spin-loop CPU 时间减少 72.35%，而矩阵计算样本基本不变，说明收益主要来自同组 worker 更同步地到达 barrier、减少用户态自旋；上下文切换和 RVV 搬运下降是伴随指标。</w:t>
      </w:r>
    </w:p>
    <w:p w14:paraId="164568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2B6CBF6B">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4.3.3  同步双负载上限实验</w:t>
      </w:r>
    </w:p>
    <w:p w14:paraId="04547A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为估计稳态性能上限，本实验使两个 llama-server 从开始到结束承担相同工作量，并将 CFS 4+4 的无跨组争用结果作为本组配置的经验理想参考。</w:t>
      </w:r>
    </w:p>
    <w:p w14:paraId="4627BF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A9D1D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6C4730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4-7  同步双负载实验条件</w:t>
      </w:r>
    </w:p>
    <w:tbl>
      <w:tblPr>
        <w:tblStyle w:val="9"/>
        <w:tblpPr w:leftFromText="180" w:rightFromText="180" w:vertAnchor="text" w:horzAnchor="page" w:tblpX="1803" w:tblpY="401"/>
        <w:tblOverlap w:val="never"/>
        <w:tblW w:w="9259"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8"/>
        <w:gridCol w:w="7571"/>
      </w:tblGrid>
      <w:tr w14:paraId="685583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bottom w:val="single" w:color="auto" w:sz="4" w:space="0"/>
            </w:tcBorders>
            <w:shd w:val="clear" w:color="auto" w:fill="FFFFFF"/>
            <w:tcMar>
              <w:top w:w="150" w:type="dxa"/>
              <w:left w:w="0" w:type="dxa"/>
              <w:bottom w:w="150" w:type="dxa"/>
              <w:right w:w="240" w:type="dxa"/>
            </w:tcMar>
            <w:vAlign w:val="center"/>
          </w:tcPr>
          <w:p w14:paraId="725BE1CC">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项目</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4FD95BF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配置</w:t>
            </w:r>
          </w:p>
        </w:tc>
      </w:tr>
      <w:tr w14:paraId="56D055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tcBorders>
            <w:shd w:val="clear" w:color="auto" w:fill="FFFFFF"/>
            <w:tcMar>
              <w:top w:w="150" w:type="dxa"/>
              <w:left w:w="0" w:type="dxa"/>
              <w:bottom w:w="150" w:type="dxa"/>
              <w:right w:w="240" w:type="dxa"/>
            </w:tcMar>
            <w:vAlign w:val="center"/>
          </w:tcPr>
          <w:p w14:paraId="47E9CEA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总并发数</w:t>
            </w:r>
          </w:p>
        </w:tc>
        <w:tc>
          <w:tcPr>
            <w:tcW w:w="0" w:type="auto"/>
            <w:tcBorders>
              <w:top w:val="single" w:color="auto" w:sz="4" w:space="0"/>
            </w:tcBorders>
            <w:shd w:val="clear" w:color="auto" w:fill="FFFFFF"/>
            <w:tcMar>
              <w:top w:w="150" w:type="dxa"/>
              <w:left w:w="240" w:type="dxa"/>
              <w:bottom w:w="150" w:type="dxa"/>
              <w:right w:w="0" w:type="dxa"/>
            </w:tcMar>
            <w:vAlign w:val="center"/>
          </w:tcPr>
          <w:p w14:paraId="3B4CAD1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8，A/B 各 4 个请求</w:t>
            </w:r>
          </w:p>
        </w:tc>
      </w:tr>
      <w:tr w14:paraId="5A4B8A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D49511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Input token</w:t>
            </w:r>
          </w:p>
        </w:tc>
        <w:tc>
          <w:tcPr>
            <w:tcW w:w="0" w:type="auto"/>
            <w:shd w:val="clear" w:color="auto" w:fill="FFFFFF"/>
            <w:tcMar>
              <w:top w:w="150" w:type="dxa"/>
              <w:left w:w="240" w:type="dxa"/>
              <w:bottom w:w="150" w:type="dxa"/>
              <w:right w:w="0" w:type="dxa"/>
            </w:tcMar>
            <w:vAlign w:val="center"/>
          </w:tcPr>
          <w:p w14:paraId="6BC67A6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两侧均为 27、111、326、713</w:t>
            </w:r>
          </w:p>
        </w:tc>
      </w:tr>
      <w:tr w14:paraId="0DE3B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51B037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Output token</w:t>
            </w:r>
          </w:p>
        </w:tc>
        <w:tc>
          <w:tcPr>
            <w:tcW w:w="0" w:type="auto"/>
            <w:shd w:val="clear" w:color="auto" w:fill="FFFFFF"/>
            <w:tcMar>
              <w:top w:w="150" w:type="dxa"/>
              <w:left w:w="240" w:type="dxa"/>
              <w:bottom w:w="150" w:type="dxa"/>
              <w:right w:w="0" w:type="dxa"/>
            </w:tcMar>
            <w:vAlign w:val="center"/>
          </w:tcPr>
          <w:p w14:paraId="2E0D06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每请求 256，每轮合计 2048</w:t>
            </w:r>
          </w:p>
        </w:tc>
      </w:tr>
      <w:tr w14:paraId="71FADE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155C3C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请求释放</w:t>
            </w:r>
          </w:p>
        </w:tc>
        <w:tc>
          <w:tcPr>
            <w:tcW w:w="0" w:type="auto"/>
            <w:shd w:val="clear" w:color="auto" w:fill="FFFFFF"/>
            <w:tcMar>
              <w:top w:w="150" w:type="dxa"/>
              <w:left w:w="240" w:type="dxa"/>
              <w:bottom w:w="150" w:type="dxa"/>
              <w:right w:w="0" w:type="dxa"/>
            </w:tcMar>
            <w:vAlign w:val="center"/>
          </w:tcPr>
          <w:p w14:paraId="5A1D222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 个请求使用同一绝对时刻，arrival-gap=0</w:t>
            </w:r>
          </w:p>
        </w:tc>
      </w:tr>
      <w:tr w14:paraId="4F182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01C4568">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随机性与缓存</w:t>
            </w:r>
          </w:p>
        </w:tc>
        <w:tc>
          <w:tcPr>
            <w:tcW w:w="0" w:type="auto"/>
            <w:shd w:val="clear" w:color="auto" w:fill="FFFFFF"/>
            <w:tcMar>
              <w:top w:w="150" w:type="dxa"/>
              <w:left w:w="240" w:type="dxa"/>
              <w:bottom w:w="150" w:type="dxa"/>
              <w:right w:w="0" w:type="dxa"/>
            </w:tcMar>
            <w:vAlign w:val="center"/>
          </w:tcPr>
          <w:p w14:paraId="3A20325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temperature=0，seed=1234，ignore_eos=true，cache_prompt=false</w:t>
            </w:r>
          </w:p>
        </w:tc>
      </w:tr>
      <w:tr w14:paraId="1D169D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0D64154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重复次数</w:t>
            </w:r>
          </w:p>
        </w:tc>
        <w:tc>
          <w:tcPr>
            <w:tcW w:w="0" w:type="auto"/>
            <w:shd w:val="clear" w:color="auto" w:fill="FFFFFF"/>
            <w:tcMar>
              <w:top w:w="150" w:type="dxa"/>
              <w:left w:w="240" w:type="dxa"/>
              <w:bottom w:w="150" w:type="dxa"/>
              <w:right w:w="0" w:type="dxa"/>
            </w:tcMar>
            <w:vAlign w:val="center"/>
          </w:tcPr>
          <w:p w14:paraId="073C6F0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每种配置 3 个有效轮次</w:t>
            </w:r>
          </w:p>
        </w:tc>
      </w:tr>
      <w:tr w14:paraId="329ABE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4FC04AA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启动对齐门禁</w:t>
            </w:r>
          </w:p>
        </w:tc>
        <w:tc>
          <w:tcPr>
            <w:tcW w:w="0" w:type="auto"/>
            <w:shd w:val="clear" w:color="auto" w:fill="FFFFFF"/>
            <w:tcMar>
              <w:top w:w="150" w:type="dxa"/>
              <w:left w:w="240" w:type="dxa"/>
              <w:bottom w:w="150" w:type="dxa"/>
              <w:right w:w="0" w:type="dxa"/>
            </w:tcMar>
            <w:vAlign w:val="center"/>
          </w:tcPr>
          <w:p w14:paraId="1F92076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paired start skew 不超过 25 ms</w:t>
            </w:r>
          </w:p>
        </w:tc>
      </w:tr>
    </w:tbl>
    <w:p w14:paraId="4A5250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24C8B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FDA4F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实验比较两种配置。Phase-Aware Dirty Lease 8+8 中，两个服务均使用 -t 8 -tb 8，16 个 worker 通过 VDSQ 和稳定 CPU 映射动态共享 CPU0～CPU7；调度参数与主实验一致。CFS 4+4 中，两个服务均使用 -t 4 -tb 4，服务 A 固定在 CPU0～CPU3，服务 B 固定在 CPU4～CPU7。后者在本场景中始终有 4 个 worker 对应 4 个独占核心，可作为经验理想参考。</w:t>
      </w:r>
    </w:p>
    <w:p w14:paraId="7205B2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D4630B9">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表 4-8  Phase-Aware 与经验理想吞吐对比</w:t>
      </w:r>
    </w:p>
    <w:p w14:paraId="75E1A8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47"/>
        <w:gridCol w:w="2678"/>
        <w:gridCol w:w="1941"/>
        <w:gridCol w:w="1680"/>
      </w:tblGrid>
      <w:tr w14:paraId="1D75E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247" w:type="dxa"/>
            <w:tcBorders>
              <w:top w:val="single" w:color="auto" w:sz="4" w:space="0"/>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2A513BDB">
            <w:pPr>
              <w:keepNext w:val="0"/>
              <w:keepLines w:val="0"/>
              <w:widowControl/>
              <w:suppressLineNumbers w:val="0"/>
              <w:spacing w:line="375" w:lineRule="atLeast"/>
              <w:jc w:val="center"/>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配置</w:t>
            </w:r>
          </w:p>
        </w:tc>
        <w:tc>
          <w:tcPr>
            <w:tcW w:w="0" w:type="auto"/>
            <w:tcBorders>
              <w:top w:val="single" w:color="auto" w:sz="4" w:space="0"/>
              <w:left w:val="single" w:color="auto" w:sz="4" w:space="0"/>
              <w:bottom w:val="single" w:color="auto" w:sz="4" w:space="0"/>
            </w:tcBorders>
            <w:shd w:val="clear" w:color="auto" w:fill="FFFFFF"/>
            <w:tcMar>
              <w:top w:w="150" w:type="dxa"/>
              <w:left w:w="240" w:type="dxa"/>
              <w:bottom w:w="150" w:type="dxa"/>
              <w:right w:w="240" w:type="dxa"/>
            </w:tcMar>
            <w:vAlign w:val="center"/>
          </w:tcPr>
          <w:p w14:paraId="04B58D7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Aggregate TPS（均值 ± 标准差）</w:t>
            </w:r>
          </w:p>
        </w:tc>
        <w:tc>
          <w:tcPr>
            <w:tcW w:w="0" w:type="auto"/>
            <w:tcBorders>
              <w:top w:val="single" w:color="auto" w:sz="4" w:space="0"/>
              <w:bottom w:val="single" w:color="auto" w:sz="4" w:space="0"/>
            </w:tcBorders>
            <w:shd w:val="clear" w:color="auto" w:fill="FFFFFF"/>
            <w:tcMar>
              <w:top w:w="150" w:type="dxa"/>
              <w:left w:w="240" w:type="dxa"/>
              <w:bottom w:w="150" w:type="dxa"/>
              <w:right w:w="240" w:type="dxa"/>
            </w:tcMar>
            <w:vAlign w:val="center"/>
          </w:tcPr>
          <w:p w14:paraId="0E5DD6E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8 核 LLM CPU 利用率</w:t>
            </w:r>
          </w:p>
        </w:tc>
        <w:tc>
          <w:tcPr>
            <w:tcW w:w="0" w:type="auto"/>
            <w:tcBorders>
              <w:top w:val="single" w:color="auto" w:sz="4" w:space="0"/>
              <w:bottom w:val="single" w:color="auto" w:sz="4" w:space="0"/>
              <w:right w:val="single" w:color="auto" w:sz="4" w:space="0"/>
            </w:tcBorders>
            <w:shd w:val="clear" w:color="auto" w:fill="FFFFFF"/>
            <w:tcMar>
              <w:top w:w="150" w:type="dxa"/>
              <w:left w:w="240" w:type="dxa"/>
              <w:bottom w:w="150" w:type="dxa"/>
              <w:right w:w="240" w:type="dxa"/>
            </w:tcMar>
            <w:vAlign w:val="center"/>
          </w:tcPr>
          <w:p w14:paraId="3BD8257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A/B 综合平均 TTFT</w:t>
            </w:r>
          </w:p>
        </w:tc>
      </w:tr>
      <w:tr w14:paraId="37689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47" w:type="dxa"/>
            <w:tcBorders>
              <w:top w:val="single" w:color="auto" w:sz="4" w:space="0"/>
              <w:left w:val="single" w:color="auto" w:sz="4" w:space="0"/>
              <w:right w:val="single" w:color="auto" w:sz="4" w:space="0"/>
            </w:tcBorders>
            <w:shd w:val="clear" w:color="auto" w:fill="FFFFFF"/>
            <w:tcMar>
              <w:top w:w="150" w:type="dxa"/>
              <w:left w:w="0" w:type="dxa"/>
              <w:bottom w:w="150" w:type="dxa"/>
              <w:right w:w="240" w:type="dxa"/>
            </w:tcMar>
            <w:vAlign w:val="center"/>
          </w:tcPr>
          <w:p w14:paraId="5CF2B80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Phase-Aware Dirty Lease 8+8</w:t>
            </w:r>
          </w:p>
        </w:tc>
        <w:tc>
          <w:tcPr>
            <w:tcW w:w="0" w:type="auto"/>
            <w:tcBorders>
              <w:top w:val="single" w:color="auto" w:sz="4" w:space="0"/>
              <w:left w:val="single" w:color="auto" w:sz="4" w:space="0"/>
            </w:tcBorders>
            <w:shd w:val="clear" w:color="auto" w:fill="FFFFFF"/>
            <w:tcMar>
              <w:top w:w="150" w:type="dxa"/>
              <w:left w:w="240" w:type="dxa"/>
              <w:bottom w:w="150" w:type="dxa"/>
              <w:right w:w="240" w:type="dxa"/>
            </w:tcMar>
            <w:vAlign w:val="center"/>
          </w:tcPr>
          <w:p w14:paraId="0E90693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2.8747 ± 0.0057</w:t>
            </w:r>
          </w:p>
        </w:tc>
        <w:tc>
          <w:tcPr>
            <w:tcW w:w="0" w:type="auto"/>
            <w:tcBorders>
              <w:top w:val="single" w:color="auto" w:sz="4" w:space="0"/>
            </w:tcBorders>
            <w:shd w:val="clear" w:color="auto" w:fill="FFFFFF"/>
            <w:tcMar>
              <w:top w:w="150" w:type="dxa"/>
              <w:left w:w="240" w:type="dxa"/>
              <w:bottom w:w="150" w:type="dxa"/>
              <w:right w:w="240" w:type="dxa"/>
            </w:tcMar>
            <w:vAlign w:val="center"/>
          </w:tcPr>
          <w:p w14:paraId="5E8C4C6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93.74%</w:t>
            </w:r>
          </w:p>
        </w:tc>
        <w:tc>
          <w:tcPr>
            <w:tcW w:w="0" w:type="auto"/>
            <w:tcBorders>
              <w:top w:val="single" w:color="auto" w:sz="4" w:space="0"/>
              <w:right w:val="single" w:color="auto" w:sz="4" w:space="0"/>
            </w:tcBorders>
            <w:shd w:val="clear" w:color="auto" w:fill="FFFFFF"/>
            <w:tcMar>
              <w:top w:w="150" w:type="dxa"/>
              <w:left w:w="240" w:type="dxa"/>
              <w:bottom w:w="150" w:type="dxa"/>
              <w:right w:w="0" w:type="dxa"/>
            </w:tcMar>
            <w:vAlign w:val="center"/>
          </w:tcPr>
          <w:p w14:paraId="0054634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183.8 s</w:t>
            </w:r>
          </w:p>
        </w:tc>
      </w:tr>
      <w:tr w14:paraId="6F6CF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47" w:type="dxa"/>
            <w:tcBorders>
              <w:left w:val="single" w:color="auto" w:sz="4" w:space="0"/>
              <w:bottom w:val="single" w:color="auto" w:sz="4" w:space="0"/>
              <w:right w:val="single" w:color="auto" w:sz="4" w:space="0"/>
            </w:tcBorders>
            <w:shd w:val="clear" w:color="auto" w:fill="FFFFFF"/>
            <w:tcMar>
              <w:top w:w="150" w:type="dxa"/>
              <w:left w:w="0" w:type="dxa"/>
              <w:bottom w:w="150" w:type="dxa"/>
              <w:right w:w="240" w:type="dxa"/>
            </w:tcMar>
            <w:vAlign w:val="center"/>
          </w:tcPr>
          <w:p w14:paraId="1B47E86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CFS 4+4 经验理想参考</w:t>
            </w:r>
          </w:p>
        </w:tc>
        <w:tc>
          <w:tcPr>
            <w:tcW w:w="0" w:type="auto"/>
            <w:tcBorders>
              <w:left w:val="single" w:color="auto" w:sz="4" w:space="0"/>
              <w:bottom w:val="single" w:color="auto" w:sz="4" w:space="0"/>
            </w:tcBorders>
            <w:shd w:val="clear" w:color="auto" w:fill="FFFFFF"/>
            <w:tcMar>
              <w:top w:w="150" w:type="dxa"/>
              <w:left w:w="240" w:type="dxa"/>
              <w:bottom w:w="150" w:type="dxa"/>
              <w:right w:w="240" w:type="dxa"/>
            </w:tcMar>
            <w:vAlign w:val="center"/>
          </w:tcPr>
          <w:p w14:paraId="293B8B5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2.8979 ± 0.0148</w:t>
            </w:r>
          </w:p>
        </w:tc>
        <w:tc>
          <w:tcPr>
            <w:tcW w:w="0" w:type="auto"/>
            <w:tcBorders>
              <w:bottom w:val="single" w:color="auto" w:sz="4" w:space="0"/>
            </w:tcBorders>
            <w:shd w:val="clear" w:color="auto" w:fill="FFFFFF"/>
            <w:tcMar>
              <w:top w:w="150" w:type="dxa"/>
              <w:left w:w="240" w:type="dxa"/>
              <w:bottom w:w="150" w:type="dxa"/>
              <w:right w:w="240" w:type="dxa"/>
            </w:tcMar>
            <w:vAlign w:val="center"/>
          </w:tcPr>
          <w:p w14:paraId="6476BA8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bdr w:val="none" w:color="auto" w:sz="0" w:space="0"/>
                <w:lang w:val="en-US" w:eastAsia="zh-CN" w:bidi="ar"/>
              </w:rPr>
              <w:t>94.55%</w:t>
            </w:r>
          </w:p>
        </w:tc>
        <w:tc>
          <w:tcPr>
            <w:tcW w:w="0" w:type="auto"/>
            <w:tcBorders>
              <w:bottom w:val="single" w:color="auto" w:sz="4" w:space="0"/>
              <w:right w:val="single" w:color="auto" w:sz="4" w:space="0"/>
            </w:tcBorders>
            <w:shd w:val="clear" w:color="auto" w:fill="FFFFFF"/>
            <w:tcMar>
              <w:top w:w="150" w:type="dxa"/>
              <w:left w:w="240" w:type="dxa"/>
              <w:bottom w:w="150" w:type="dxa"/>
              <w:right w:w="0" w:type="dxa"/>
            </w:tcMar>
            <w:vAlign w:val="center"/>
          </w:tcPr>
          <w:p w14:paraId="095EA54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191.9 s</w:t>
            </w:r>
          </w:p>
        </w:tc>
      </w:tr>
    </w:tbl>
    <w:p w14:paraId="208580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4B234B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76591D4">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b/>
          <w:sz w:val="24"/>
          <w:szCs w:val="24"/>
        </w:rPr>
        <w:t>4.3.4  同步双负载实验结论</w:t>
      </w:r>
    </w:p>
    <w:p w14:paraId="4717D0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Phase-Aware 的稳态吞吐达到经验理想参考的 99.20%，说明主要吞吐空间已被利用，继续单纯减少切换或延长 slice 的收益有限。</w:t>
      </w:r>
    </w:p>
    <w:p w14:paraId="365A9C1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3A76B58">
      <w:pPr>
        <w:pStyle w:val="2"/>
        <w:bidi w:val="0"/>
        <w:rPr>
          <w:rFonts w:hint="eastAsia"/>
        </w:rPr>
      </w:pPr>
      <w:bookmarkStart w:id="14" w:name="_Toc1473"/>
      <w:r>
        <w:rPr>
          <w:rFonts w:hint="eastAsia"/>
        </w:rPr>
        <w:t>实现难点说明</w:t>
      </w:r>
      <w:bookmarkEnd w:id="14"/>
    </w:p>
    <w:p w14:paraId="25A2B4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064FD834">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5" w:name="_Toc30043"/>
      <w:r>
        <w:rPr>
          <w:rFonts w:hint="eastAsia" w:ascii="黑体" w:hAnsi="黑体" w:eastAsia="黑体" w:cs="黑体"/>
          <w:b w:val="0"/>
          <w:bCs/>
          <w:sz w:val="28"/>
          <w:szCs w:val="28"/>
        </w:rPr>
        <w:t>5.1  sched_ext 向 K1 Linux 6.6 的移植</w:t>
      </w:r>
      <w:bookmarkEnd w:id="15"/>
    </w:p>
    <w:p w14:paraId="1085983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K1 厂商 Linux 6.6 缺少在 Linux 6.12 才进入主线的 sched_ext，且包含独立的调度、cgroup、BTF 和驱动修改，无法直接套用主线实现。项目以 v6.6.4-scx2 为基础，将调度类、struct_ops、DSQ 和 watchdog 接入厂商内核，并完成 BTF/CO-RE、构建头文件和板级驱动适配。移植严格保留默认调度回退和 sched_ext 控制边界：策略只能使用 DSQ、kick 等标准接口，退出、验证失败或触发 watchdog 后必须释放任务。最终通过完整内核与模块构建、反复 attach/detach、普通进程与双模型负载以及 dmesg/watchdog 门禁验证；该补丁面向特定 K1 基线，迁移到其他 Linux 6.6 分支仍需重新适配。</w:t>
      </w:r>
    </w:p>
    <w:p w14:paraId="256C9F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BBCE9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D713BE4">
      <w:pPr>
        <w:pStyle w:val="4"/>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r>
        <w:rPr>
          <w:rFonts w:hint="eastAsia" w:ascii="黑体" w:hAnsi="黑体" w:eastAsia="黑体" w:cs="黑体"/>
          <w:b w:val="0"/>
          <w:bCs/>
          <w:sz w:val="28"/>
          <w:szCs w:val="28"/>
        </w:rPr>
        <w:t>5.2  RVV 工作线程的可靠识别与分组</w:t>
      </w:r>
    </w:p>
    <w:p w14:paraId="4CE3FC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Linux 只看到独立 task，sstatus.VS=Dirty 能表明线程使用过 Vector 指令，却不能提供 team、worker 序号和推理阶段；单独依赖用户注册又面临启动时序、版本失配和 TID 复用问题。项目因此采用两级识别：patched llama.cpp 发布 TID、TGID、ith、team 和会话信息，调度器校验版本与会话后确认身份并按 ith 建立同组唯一 CPU 映射；提示未就绪时，以累计 RVV Dirty 命中作为保守回退。启动阶段允许任务暂时 direct-local，识别完成后进入 VDSQ，陈旧或不完整状态不参与决策。若目标范围内还存在其他长期使用 RVV 的进程，仍需结合用户态身份或 TGID 进一步区分。</w:t>
      </w:r>
    </w:p>
    <w:p w14:paraId="314C0F5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3919190">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黑体" w:hAnsi="黑体" w:eastAsia="黑体" w:cs="黑体"/>
          <w:b w:val="0"/>
          <w:bCs/>
          <w:sz w:val="28"/>
          <w:szCs w:val="28"/>
        </w:rPr>
      </w:pPr>
      <w:bookmarkStart w:id="16" w:name="_Toc9565"/>
      <w:r>
        <w:rPr>
          <w:rFonts w:hint="eastAsia" w:ascii="黑体" w:hAnsi="黑体" w:eastAsia="黑体" w:cs="黑体"/>
          <w:b w:val="0"/>
          <w:bCs/>
          <w:sz w:val="28"/>
          <w:szCs w:val="28"/>
        </w:rPr>
        <w:t>5.3  性能采集、归因与口径控制</w:t>
      </w:r>
      <w:bookmarkEnd w:id="16"/>
    </w:p>
    <w:p w14:paraId="4E74E85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764375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请求时间、worker 事件和系统计数属于不同对象与时钟，且观测本身会扰动短周期调度。Benchmark 因此以单调时钟记录实际发送和逐 Token 时间，按真实 Token 与 makespan 计算 TPS、TTFT 等指标；rvv_sched_cost 按 TGID/TID 关联 sched_switch、futex 和 RVV 事件，符号分析则针对 K1 PMU 限制采用低频 cpu-clock:u、Build ID 和反汇编确认热点。测试严格分离低扰动正式轮与全量 trace、符号采样等诊断轮，并区分上下文切换、RVV 候选、实际搬运、futex blocked time 和用户态 spin，避免把相关计数下降直接视为关键路径收益。正式结果固定负载和统计口径，使用 pooled 单请求 p95，并通过请求完整性、DSQ 收支、频温、丢失事件和内核状态门禁。</w:t>
      </w:r>
    </w:p>
    <w:p w14:paraId="6AEDA4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1AE5CCA6">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7" w:name="_Toc6682"/>
      <w:r>
        <w:rPr>
          <w:rFonts w:hint="eastAsia" w:ascii="黑体" w:hAnsi="黑体" w:eastAsia="黑体" w:cs="黑体"/>
          <w:b w:val="0"/>
          <w:bCs/>
          <w:sz w:val="28"/>
          <w:szCs w:val="28"/>
        </w:rPr>
        <w:t>5.4  用户态阶段提示与内核调度协同</w:t>
      </w:r>
      <w:bookmarkEnd w:id="17"/>
    </w:p>
    <w:p w14:paraId="0E53F94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Prefill、Decode、Mixed 和 Idle 只有 llama.cpp 掌握，而任务可运行状态和</w:t>
      </w:r>
      <w:r>
        <w:rPr>
          <w:rFonts w:hint="eastAsia" w:asciiTheme="majorEastAsia" w:hAnsiTheme="majorEastAsia" w:eastAsiaTheme="majorEastAsia" w:cstheme="majorEastAsia"/>
          <w:sz w:val="24"/>
          <w:szCs w:val="24"/>
          <w:lang w:val="en-US" w:eastAsia="zh-CN"/>
        </w:rPr>
        <w:t>运行队列</w:t>
      </w:r>
      <w:r>
        <w:rPr>
          <w:rFonts w:hint="eastAsia" w:asciiTheme="majorEastAsia" w:hAnsiTheme="majorEastAsia" w:eastAsiaTheme="majorEastAsia" w:cstheme="majorEastAsia"/>
          <w:sz w:val="24"/>
          <w:szCs w:val="24"/>
        </w:rPr>
        <w:t>只能由内核安全控制，因此跨层接口必须让用户态表达意图、由内核保留最终决策权。项目GGML CPU 后端加入低侵入提示接口，通过 mmap 更新 worker 身份与阶段，高频路径无需反复执行 BPF 系统调用；loader 和控制工具仅处理低频配置。eBPF 侧校验 TGID、team、ABI、session、epoch 和有效性，再结合 runnable、VDSQ 与 running-team 状态选取任务；接口不可用或提示失效时，用户态退化为空操作，调度器回到无阶段偏好的轮换或 RVV Dirty 识别，从而避免用户态直接操作</w:t>
      </w:r>
      <w:r>
        <w:rPr>
          <w:rFonts w:hint="eastAsia" w:asciiTheme="majorEastAsia" w:hAnsiTheme="majorEastAsia" w:eastAsiaTheme="majorEastAsia" w:cstheme="majorEastAsia"/>
          <w:sz w:val="24"/>
          <w:szCs w:val="24"/>
          <w:lang w:val="en-US" w:eastAsia="zh-CN"/>
        </w:rPr>
        <w:t>运行队列</w:t>
      </w:r>
      <w:r>
        <w:rPr>
          <w:rFonts w:hint="eastAsia" w:asciiTheme="majorEastAsia" w:hAnsiTheme="majorEastAsia" w:eastAsiaTheme="majorEastAsia" w:cstheme="majorEastAsia"/>
          <w:sz w:val="24"/>
          <w:szCs w:val="24"/>
        </w:rPr>
        <w:t>，并维持系统活性和退出回退边界。</w:t>
      </w:r>
    </w:p>
    <w:p w14:paraId="509B7B7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CCF935C">
      <w:pPr>
        <w:pStyle w:val="2"/>
        <w:bidi w:val="0"/>
        <w:rPr>
          <w:rFonts w:hint="eastAsia"/>
        </w:rPr>
      </w:pPr>
      <w:bookmarkStart w:id="18" w:name="_Toc27141"/>
      <w:r>
        <w:rPr>
          <w:rFonts w:hint="eastAsia"/>
        </w:rPr>
        <w:t>总 结</w:t>
      </w:r>
      <w:bookmarkEnd w:id="18"/>
    </w:p>
    <w:p w14:paraId="611D2D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43BE6AC5">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19" w:name="_Toc31372"/>
      <w:r>
        <w:rPr>
          <w:rFonts w:hint="eastAsia" w:ascii="黑体" w:hAnsi="黑体" w:eastAsia="黑体" w:cs="黑体"/>
          <w:b w:val="0"/>
          <w:bCs/>
          <w:sz w:val="28"/>
          <w:szCs w:val="28"/>
        </w:rPr>
        <w:t>6.1  项目完成情况</w:t>
      </w:r>
      <w:bookmarkEnd w:id="19"/>
    </w:p>
    <w:p w14:paraId="2A8A10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本项目完成了多实例 RISC-V LLM 推理调度的端到端实现：将 sched_ext 移植到 K1 Linux 6.6，实现 Phase-Aware Dirty Lease 调度器、loader、在线控制和 BPF maps；为 llama.cpp 增加 worker 注册与阶段提示；配套实现 RVV/futex 观测工具和可复现 Benchmark。系统支持 RVV Dirty 回退识别、稳定 CPU 映射、分组 VDSQ、阶段优先与活性保护，卸载后可恢复默认调度。相关补丁、源码、构建说明、测试脚本和实验报告均已整理为工程产物。</w:t>
      </w:r>
    </w:p>
    <w:p w14:paraId="27D27A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280294C">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0" w:name="_Toc26640"/>
      <w:r>
        <w:rPr>
          <w:rFonts w:hint="eastAsia" w:ascii="黑体" w:hAnsi="黑体" w:eastAsia="黑体" w:cs="黑体"/>
          <w:b w:val="0"/>
          <w:bCs/>
          <w:sz w:val="28"/>
          <w:szCs w:val="28"/>
        </w:rPr>
        <w:t>6.2  核心结论与项目贡献</w:t>
      </w:r>
      <w:bookmarkEnd w:id="20"/>
    </w:p>
    <w:p w14:paraId="7583B5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测量表明，RVV restore-elision 虽省略 93.637% 的完整 restore，却没有可测吞吐收益；真正的优化空间来自 OpenMP worker 的执行相位。项目据此形成“组内连续推进、组间阶段协调”的方案：稳定映射、长 slice 和 VDSQ 减少同组重新排队，阶段提示优先响应 Prefill/Mixed，队列回退、有限抢占和 pending safety 则维持 work-conserving 与系统活性。</w:t>
      </w:r>
    </w:p>
    <w:p w14:paraId="65F697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38A96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在 128 input token、256 output token 的双模型异步正式实验中，Phase-Aware Dirty Lease 相对 CFS 在 c=2、4、8 下分别提高 TPS 54.9%、30.7% 和 25.6%，将注入请求平均 TTFT 分别降低 39.0%、42.0% 和 42.2%，将 p95 TTFT 分别降低 38.6%、42.3% 和 42.5%。Observe 消融已经获得主要吞吐收益，Phase-Aware 在吞吐变化不超过 0.4% 的情况下，又将 p95 TTFT 降低 14.9%、24.1% 和 15.3%，说明阶段提示主要改善新请求获得计算资源的顺序。通用上下文切换同时减少 93.1%～96.4%，但定制内核消融表明，切换或寄存器搬运计数下降不是吞吐提升的充分条件，收益应归因于整体执行相位和资源分配改善。</w:t>
      </w:r>
    </w:p>
    <w:p w14:paraId="00C129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345EAC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同步双负载下，Phase-Aware 达到静态 4+4 经验理想吞吐的 99.20%，说明主要稳态吞吐空间已被利用，同时仍保留异步场景动态使用全部核心和降低新请求 TTFT 的能力。</w:t>
      </w:r>
    </w:p>
    <w:p w14:paraId="4C318B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p>
    <w:p w14:paraId="5192D78A">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1" w:name="_Toc8806"/>
      <w:r>
        <w:rPr>
          <w:rFonts w:hint="eastAsia" w:ascii="黑体" w:hAnsi="黑体" w:eastAsia="黑体" w:cs="黑体"/>
          <w:b w:val="0"/>
          <w:bCs/>
          <w:sz w:val="28"/>
          <w:szCs w:val="28"/>
        </w:rPr>
        <w:t>6.3  局限与后续工作</w:t>
      </w:r>
      <w:bookmarkEnd w:id="21"/>
    </w:p>
    <w:p w14:paraId="4D5262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当前最可靠的 worker/team/phase 信息来自 patched llama.cpp。虽然接口不可用时可以通过 RVV Dirty 回退并保持原程序运行，但其他推理框架需要实现相同语义 ABI 才能使用完整 Phase-Aware 能力。后续可将 worker 注册和阶段提示整理为更通用的用户态库，减少推理框架接入代码，并研究基于标准 tracepoint、uprobe 或运行时接口的低侵入适配方式。</w:t>
      </w:r>
    </w:p>
    <w:p w14:paraId="668C2A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794AC80">
      <w:pPr>
        <w:pStyle w:val="3"/>
        <w:keepNext/>
        <w:keepLines/>
        <w:pageBreakBefore w:val="0"/>
        <w:widowControl w:val="0"/>
        <w:kinsoku/>
        <w:wordWrap/>
        <w:overflowPunct/>
        <w:topLinePunct w:val="0"/>
        <w:autoSpaceDE/>
        <w:autoSpaceDN/>
        <w:bidi w:val="0"/>
        <w:adjustRightInd/>
        <w:snapToGrid/>
        <w:spacing w:before="157" w:beforeLines="50" w:after="157" w:afterLines="50" w:line="400" w:lineRule="exact"/>
        <w:textAlignment w:val="auto"/>
        <w:rPr>
          <w:rFonts w:hint="eastAsia" w:asciiTheme="majorEastAsia" w:hAnsiTheme="majorEastAsia" w:eastAsiaTheme="majorEastAsia" w:cstheme="majorEastAsia"/>
          <w:sz w:val="24"/>
          <w:szCs w:val="24"/>
        </w:rPr>
      </w:pPr>
      <w:bookmarkStart w:id="22" w:name="_Toc2609"/>
      <w:r>
        <w:rPr>
          <w:rFonts w:hint="eastAsia" w:ascii="黑体" w:hAnsi="黑体" w:eastAsia="黑体" w:cs="黑体"/>
          <w:b w:val="0"/>
          <w:bCs/>
          <w:sz w:val="28"/>
          <w:szCs w:val="28"/>
        </w:rPr>
        <w:t>6.4  开源项目致谢</w:t>
      </w:r>
      <w:bookmarkEnd w:id="22"/>
    </w:p>
    <w:p w14:paraId="117722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本项目使用 Linux、sched-ext/scx-kernel-releases、llama.cpp、libbpf、bpftool 和 elfutils 等开源项目，并保留、遵循其版权声明和许可证。具体来源与引用范围见 2.3 节及补丁说明，在此感谢相关社区和开发者。</w:t>
      </w:r>
    </w:p>
    <w:p w14:paraId="58A8DC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689AC4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hAnsi="黑体" w:eastAsia="黑体" w:cs="黑体"/>
          <w:sz w:val="32"/>
          <w:szCs w:val="32"/>
        </w:rPr>
      </w:pPr>
      <w:r>
        <w:rPr>
          <w:rFonts w:hint="eastAsia" w:ascii="黑体" w:hAnsi="黑体" w:eastAsia="黑体" w:cs="黑体"/>
          <w:sz w:val="32"/>
          <w:szCs w:val="32"/>
        </w:rPr>
        <w:t>参考</w:t>
      </w:r>
    </w:p>
    <w:p w14:paraId="17F509B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387D12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RISC-V International. 2021. RISC-V “V” Vector Extension, Version 1.0 [EB/OL].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"https://github.com/riscvarchive/riscv-v-spec/releases/tag/v1.0"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https://github.com/riscvarchive/riscv-v-spec/releases/tag/v1.0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12281C7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5A9C10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sched-ext project. 2023. scx-kernel-releases: v6.6.4-scx2 [CP/OL].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"https://github.com/sched-ext/scx-kernel-releases/tree/v6.6.4-scx2"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https://github.com/sched-ext/scx-kernel-releases/tree/v6.6.4-scx2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4726452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22D0FE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Linux Kernel Contributors. 2024. Extensible Scheduler Class [EB/OL].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"https://docs.kernel.org/scheduler/sched-ext.html"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https://docs.kernel.org/scheduler/sched-ext.html</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71AEC2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00FD35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ggml-org. 2023. llama.cpp [CP/OL].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"https://github.com/ggml-org/llama.cpp"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https://github.com/ggml-org/llama.cpp</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4AA614D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3E3309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SON D. 2026. Elastic Gang: Per-Token Membership Change for a Hard-Barriered LLM Inference Gang Co-Scheduled with OS Processes [EB/OL]. arXiv:2607.04668.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"https://doi.org/10.48550/arXiv.2607.04668"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https://doi.org/10.48550/arXiv.2607.04668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 xml:space="preserve"> [2026-07-25].</w:t>
      </w:r>
    </w:p>
    <w:p w14:paraId="2684E07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46CD708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XU Y, HAN X, LI Y, CHE W. 2026. ArcLight: A Lightweight LLM Inference Architecture for Many-Core CPUs [C]//Proceedings of the 64th Annual Meeting of the Association for Computational Linguistics (Volume 3: System Demonstrations). Association for Computational Linguistics: 178-186.</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"https://doi.org/10.18653/v1/2026.acl-demo.18"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 xml:space="preserve"> https://doi.org/10.18653/v1/2026.acl-demo.18.</w:t>
      </w:r>
      <w:r>
        <w:rPr>
          <w:rFonts w:hint="eastAsia" w:asciiTheme="majorEastAsia" w:hAnsiTheme="majorEastAsia" w:eastAsiaTheme="majorEastAsia" w:cstheme="majorEastAsia"/>
          <w:sz w:val="24"/>
          <w:szCs w:val="24"/>
        </w:rPr>
        <w:fldChar w:fldCharType="end"/>
      </w:r>
    </w:p>
    <w:p w14:paraId="152C754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DAC30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ROCA A, BELTRAN V. 2026. Rethinking Thread Scheduling under Oversubscription: A User-Space Framework for Coordinating Multi-runtime and Multi-process Workloads [C]//Proceedings of the 31st ACM SIGPLAN Annual Symposium on Principles and Practice of Parallel Programming. ACM: 53-67.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"https://doi.org/10.1145/3774934.3786451"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https://doi.org/10.1145/3774934.3786451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w:t>
      </w:r>
    </w:p>
    <w:p w14:paraId="67AEF0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p>
    <w:p w14:paraId="7E30D9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GOTTSCHLAG M, BRANTSCH P, BELLOSA F. 2020. Automatic Core Specialization for AVX-512 Applications [C]//Proceedings of the 13th ACM International Systems and Storage Conference. ACM: 25-35. </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HYPERLINK "https://doi.org/10.1145/3383669.3398282" </w:instrText>
      </w:r>
      <w:r>
        <w:rPr>
          <w:rFonts w:hint="eastAsia" w:asciiTheme="majorEastAsia" w:hAnsiTheme="majorEastAsia" w:eastAsiaTheme="majorEastAsia" w:cstheme="majorEastAsia"/>
          <w:sz w:val="24"/>
          <w:szCs w:val="24"/>
        </w:rPr>
        <w:fldChar w:fldCharType="separate"/>
      </w:r>
      <w:r>
        <w:rPr>
          <w:rStyle w:val="11"/>
          <w:rFonts w:hint="eastAsia" w:asciiTheme="majorEastAsia" w:hAnsiTheme="majorEastAsia" w:eastAsiaTheme="majorEastAsia" w:cstheme="majorEastAsia"/>
          <w:sz w:val="24"/>
          <w:szCs w:val="24"/>
        </w:rPr>
        <w:t>https://doi.org/10.1145/3383669.3398282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t>.</w:t>
      </w:r>
    </w:p>
    <w:p w14:paraId="577E394F">
      <w:pPr>
        <w:rPr>
          <w:rFonts w:hint="eastAsia" w:asciiTheme="majorEastAsia" w:hAnsiTheme="majorEastAsia" w:eastAsiaTheme="majorEastAsia" w:cstheme="majorEastAsia"/>
          <w:sz w:val="24"/>
          <w:szCs w:val="24"/>
        </w:rPr>
      </w:pPr>
    </w:p>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2900"/>
    </w:sdtPr>
    <w:sdtContent>
      <w:p w14:paraId="1AB44B7F">
        <w:pPr>
          <w:pStyle w:val="5"/>
          <w:ind w:firstLine="480"/>
          <w:jc w:val="center"/>
        </w:pPr>
        <w:r>
          <w:fldChar w:fldCharType="begin"/>
        </w:r>
        <w:r>
          <w:instrText xml:space="preserve">PAGE   \* MERGEFORMAT</w:instrText>
        </w:r>
        <w:r>
          <w:fldChar w:fldCharType="separate"/>
        </w:r>
        <w:r>
          <w:rPr>
            <w:lang w:val="zh-CN"/>
          </w:rPr>
          <w:t>2</w:t>
        </w:r>
        <w:r>
          <w:fldChar w:fldCharType="end"/>
        </w:r>
      </w:p>
    </w:sdtContent>
  </w:sdt>
  <w:p w14:paraId="59D36504">
    <w:pPr>
      <w:pStyle w:val="5"/>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869AC">
    <w:pPr>
      <w:pStyle w:val="5"/>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045687"/>
    </w:sdtPr>
    <w:sdtContent>
      <w:p w14:paraId="6A674E14">
        <w:pPr>
          <w:pStyle w:val="5"/>
          <w:ind w:firstLine="480"/>
          <w:jc w:val="center"/>
        </w:pPr>
        <w:r>
          <w:fldChar w:fldCharType="begin"/>
        </w:r>
        <w:r>
          <w:instrText xml:space="preserve">PAGE   \* MERGEFORMAT</w:instrText>
        </w:r>
        <w:r>
          <w:fldChar w:fldCharType="separate"/>
        </w:r>
        <w:r>
          <w:rPr>
            <w:lang w:val="zh-CN"/>
          </w:rPr>
          <w:t>2</w:t>
        </w:r>
        <w:r>
          <w:fldChar w:fldCharType="end"/>
        </w:r>
      </w:p>
    </w:sdtContent>
  </w:sdt>
  <w:p w14:paraId="182B369A">
    <w:pPr>
      <w:pStyle w:val="5"/>
      <w:ind w:firstLine="48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F80D6">
    <w:pPr>
      <w:pStyle w:val="6"/>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A2AD6">
    <w:pPr>
      <w:pStyle w:val="6"/>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3EB42">
    <w:pPr>
      <w:pStyle w:val="6"/>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D50FF8"/>
    <w:multiLevelType w:val="multilevel"/>
    <w:tmpl w:val="4ED50FF8"/>
    <w:lvl w:ilvl="0" w:tentative="0">
      <w:start w:val="1"/>
      <w:numFmt w:val="decimal"/>
      <w:pStyle w:val="2"/>
      <w:suff w:val="space"/>
      <w:lvlText w:val="第 %1 章"/>
      <w:lvlJc w:val="left"/>
      <w:pPr>
        <w:ind w:left="360" w:hanging="36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243616"/>
    <w:rsid w:val="064A034B"/>
    <w:rsid w:val="097A5497"/>
    <w:rsid w:val="09DC163D"/>
    <w:rsid w:val="1F9D093A"/>
    <w:rsid w:val="34ED654D"/>
    <w:rsid w:val="35385C24"/>
    <w:rsid w:val="3B5D497D"/>
    <w:rsid w:val="45243616"/>
    <w:rsid w:val="4B9C053B"/>
    <w:rsid w:val="530044BD"/>
    <w:rsid w:val="546952B4"/>
    <w:rsid w:val="5853066F"/>
    <w:rsid w:val="5C23541B"/>
    <w:rsid w:val="5E777287"/>
    <w:rsid w:val="614F510D"/>
    <w:rsid w:val="64C3025B"/>
    <w:rsid w:val="66096A26"/>
    <w:rsid w:val="75C67411"/>
    <w:rsid w:val="761B7822"/>
    <w:rsid w:val="7A823BF3"/>
    <w:rsid w:val="7E374D98"/>
    <w:rsid w:val="7F87589E"/>
    <w:rsid w:val="7FAE1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keepNext/>
      <w:keepLines/>
      <w:numPr>
        <w:ilvl w:val="0"/>
        <w:numId w:val="1"/>
      </w:numPr>
      <w:spacing w:before="50" w:beforeLines="50" w:after="50" w:afterLines="50" w:line="400" w:lineRule="exact"/>
      <w:jc w:val="center"/>
      <w:outlineLvl w:val="0"/>
    </w:pPr>
    <w:rPr>
      <w:rFonts w:hint="default" w:ascii="Times New Roman" w:hAnsi="Times New Roman" w:eastAsia="黑体" w:cstheme="majorBidi"/>
      <w:color w:val="000000" w:themeColor="text1"/>
      <w:sz w:val="32"/>
      <w:szCs w:val="32"/>
      <w:lang w:val="en-US" w:eastAsia="zh-CN" w:bidi="ar-SA"/>
      <w14:textFill>
        <w14:solidFill>
          <w14:schemeClr w14:val="tx1"/>
        </w14:solidFill>
      </w14:textFill>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320"/>
        <w:tab w:val="right" w:pos="8640"/>
      </w:tabs>
      <w:spacing w:line="240" w:lineRule="auto"/>
    </w:pPr>
  </w:style>
  <w:style w:type="paragraph" w:styleId="6">
    <w:name w:val="header"/>
    <w:basedOn w:val="1"/>
    <w:unhideWhenUsed/>
    <w:qFormat/>
    <w:uiPriority w:val="99"/>
    <w:pPr>
      <w:tabs>
        <w:tab w:val="center" w:pos="4320"/>
        <w:tab w:val="right" w:pos="8640"/>
      </w:tabs>
      <w:spacing w:line="240" w:lineRule="auto"/>
    </w:pPr>
  </w:style>
  <w:style w:type="paragraph" w:styleId="7">
    <w:name w:val="toc 1"/>
    <w:basedOn w:val="1"/>
    <w:next w:val="1"/>
    <w:uiPriority w:val="0"/>
  </w:style>
  <w:style w:type="paragraph" w:styleId="8">
    <w:name w:val="toc 2"/>
    <w:basedOn w:val="1"/>
    <w:next w:val="1"/>
    <w:uiPriority w:val="0"/>
    <w:pPr>
      <w:ind w:left="420" w:leftChars="200"/>
    </w:pPr>
  </w:style>
  <w:style w:type="character" w:styleId="11">
    <w:name w:val="Hyperlink"/>
    <w:basedOn w:val="10"/>
    <w:uiPriority w:val="0"/>
    <w:rPr>
      <w:color w:val="0000FF"/>
      <w:u w:val="single"/>
    </w:rPr>
  </w:style>
  <w:style w:type="paragraph" w:customStyle="1" w:styleId="12">
    <w:name w:val="封面类型标题"/>
    <w:basedOn w:val="13"/>
    <w:qFormat/>
    <w:uiPriority w:val="0"/>
    <w:pPr>
      <w:spacing w:before="960" w:beforeLines="400" w:after="960" w:afterLines="400"/>
    </w:pPr>
    <w:rPr>
      <w:rFonts w:eastAsia="楷体"/>
      <w:b/>
      <w:sz w:val="48"/>
      <w:szCs w:val="48"/>
    </w:rPr>
  </w:style>
  <w:style w:type="paragraph" w:customStyle="1" w:styleId="13">
    <w:name w:val="封面标题"/>
    <w:basedOn w:val="1"/>
    <w:qFormat/>
    <w:uiPriority w:val="0"/>
    <w:pPr>
      <w:spacing w:before="1920" w:beforeLines="800" w:after="3840" w:afterLines="1600" w:line="240" w:lineRule="auto"/>
      <w:ind w:firstLine="0"/>
      <w:jc w:val="center"/>
    </w:pPr>
    <w:rPr>
      <w:rFonts w:eastAsia="黑体"/>
      <w:sz w:val="44"/>
      <w:szCs w:val="44"/>
    </w:rPr>
  </w:style>
  <w:style w:type="paragraph" w:customStyle="1" w:styleId="14">
    <w:name w:val="标题 1 无章节"/>
    <w:basedOn w:val="2"/>
    <w:next w:val="1"/>
    <w:qFormat/>
    <w:uiPriority w:val="0"/>
    <w:pPr>
      <w:numPr>
        <w:numId w:val="0"/>
      </w:numP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svg"/><Relationship Id="rId12" Type="http://schemas.openxmlformats.org/officeDocument/2006/relationships/image" Target="media/image3.png"/><Relationship Id="rId11" Type="http://schemas.openxmlformats.org/officeDocument/2006/relationships/image" Target="media/image2.sv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2026-07-27T11:20:00Z</dcterms:created>
  <dc:creator>世上第一老猩猩</dc:creator>
  <cp:lastModifiedBy>世上第一老猩猩</cp:lastModifiedBy>
  <dcterms:modified xsi:type="dcterms:W3CDTF">2026-07-27T12:44:07Z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0BDBC5D4CE074954AC4E1EE4AEE2B32F_11</vt:lpwstr>
  </property>
  <property fmtid="{D5CDD505-2E9C-101B-9397-08002B2CF9AE}" pid="4" name="KSOTemplateDocerSaveRecord">
    <vt:lpwstr>eyJoZGlkIjoiMTFjYjllZGIxNzVmZTY4YjRiYjY3ZTg0NGFlYWM2MzYiLCJ1c2VySWQiOiI4OTg2ODE2NzUifQ==</vt:lpwstr>
  </property>
</Properties>
</file>