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1. Abstract</w:t>
      </w:r>
    </w:p>
    <w:bookmarkStart w:id="20" w:name="background"/>
    <w:p>
      <w:pPr>
        <w:pStyle w:val="Heading2"/>
      </w:pPr>
      <w:r>
        <w:t xml:space="preserve">1.1 Background:</w:t>
      </w:r>
    </w:p>
    <w:bookmarkEnd w:id="20"/>
    <w:bookmarkStart w:id="21" w:name="methods"/>
    <w:p>
      <w:pPr>
        <w:pStyle w:val="Heading2"/>
      </w:pPr>
      <w:r>
        <w:t xml:space="preserve">1.2 Methods:</w:t>
      </w:r>
    </w:p>
    <w:bookmarkEnd w:id="21"/>
    <w:bookmarkStart w:id="22" w:name="results"/>
    <w:p>
      <w:pPr>
        <w:pStyle w:val="Heading2"/>
      </w:pPr>
      <w:r>
        <w:t xml:space="preserve">1.3 Results:</w:t>
      </w:r>
    </w:p>
    <w:bookmarkEnd w:id="22"/>
    <w:bookmarkStart w:id="23" w:name="conclusions"/>
    <w:p>
      <w:pPr>
        <w:pStyle w:val="Heading2"/>
      </w:pPr>
      <w:r>
        <w:t xml:space="preserve">1.4 Conclusions:</w:t>
      </w:r>
    </w:p>
    <w:bookmarkEnd w:id="23"/>
    <w:bookmarkEnd w:id="24"/>
    <w:bookmarkStart w:id="25" w:name="keywords"/>
    <w:p>
      <w:pPr>
        <w:pStyle w:val="Heading1"/>
      </w:pPr>
      <w:r>
        <w:t xml:space="preserve">2. Keywords:</w:t>
      </w:r>
    </w:p>
    <w:p>
      <w:pPr>
        <w:pStyle w:val="FirstParagraph"/>
      </w:pPr>
      <w:r>
        <w:rPr>
          <w:i/>
          <w:iCs/>
        </w:rPr>
        <w:t xml:space="preserve">Write a summary of your project.</w:t>
      </w:r>
    </w:p>
    <w:p>
      <w:r>
        <w:br w:type="page"/>
      </w:r>
    </w:p>
    <w:bookmarkEnd w:id="25"/>
    <w:bookmarkStart w:id="27" w:name="introduction"/>
    <w:p>
      <w:pPr>
        <w:pStyle w:val="Heading1"/>
      </w:pPr>
      <w:r>
        <w:t xml:space="preserve">3. Introduction</w:t>
      </w:r>
    </w:p>
    <w:bookmarkStart w:id="26" w:name="general-background-information"/>
    <w:p>
      <w:pPr>
        <w:pStyle w:val="Heading2"/>
      </w:pPr>
      <w:r>
        <w:t xml:space="preserve">3.1 General Background Information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p>
      <w:r>
        <w:br w:type="page"/>
      </w:r>
    </w:p>
    <w:bookmarkEnd w:id="26"/>
    <w:bookmarkEnd w:id="27"/>
    <w:bookmarkStart w:id="36" w:name="methods-1"/>
    <w:p>
      <w:pPr>
        <w:pStyle w:val="Heading1"/>
      </w:pPr>
      <w:r>
        <w:t xml:space="preserve">4. Methods</w:t>
      </w:r>
    </w:p>
    <w:bookmarkStart w:id="28" w:name="study-design-and-participants"/>
    <w:p>
      <w:pPr>
        <w:pStyle w:val="Heading2"/>
      </w:pPr>
      <w:r>
        <w:t xml:space="preserve">4.1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8"/>
    <w:bookmarkStart w:id="29" w:name="body-index-measures"/>
    <w:p>
      <w:pPr>
        <w:pStyle w:val="Heading2"/>
      </w:pPr>
      <w:r>
        <w:t xml:space="preserve">4.2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(m2) and FFMI = LBM (kg) / height (m2). With consent, venous blood samples were collected to measure leptin levels (ug/L). All measurements were conducted at the Institute of Infectious Diseases at Makerere University.</w:t>
      </w:r>
    </w:p>
    <w:bookmarkEnd w:id="29"/>
    <w:bookmarkStart w:id="34" w:name="immune-response-measures"/>
    <w:p>
      <w:pPr>
        <w:pStyle w:val="Heading2"/>
      </w:pPr>
      <w:r>
        <w:t xml:space="preserve">4.3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(mg/dl), interferon-gamma (umol/ml), tumor necrosis factor-alpha (umol/ml), and interleukin-10 (ul/ml) were also measured as indicators of immune response.</w:t>
      </w:r>
    </w:p>
    <w:p>
      <w:pPr>
        <w:pStyle w:val="BodyText"/>
      </w:pPr>
      <w:r>
        <w:rPr>
          <w:i/>
          <w:iCs/>
        </w:rPr>
        <w:t xml:space="preserve">Sometimes you might want to show a schematic diagram/figure that was not created with code (if you can do it with code, do it).</w:t>
      </w:r>
      <w:r>
        <w:rPr>
          <w:i/>
          <w:iCs/>
        </w:rPr>
        <w:t xml:space="preserve"> </w:t>
      </w:r>
      <w:hyperlink w:anchor="fig-schematic">
        <w:r>
          <w:rPr>
            <w:rStyle w:val="Hyperlink"/>
            <w:i/>
            <w:iCs/>
          </w:rPr>
          <w:t xml:space="preserve">Figure 1</w:t>
        </w:r>
      </w:hyperlink>
      <w:r>
        <w:rPr>
          <w:i/>
          <w:iCs/>
        </w:rPr>
        <w:t xml:space="preserve"> </w:t>
      </w:r>
      <w:r>
        <w:rPr>
          <w:i/>
          <w:iCs/>
        </w:rPr>
        <w:t xml:space="preserve">is an example of some - completely random/unrelated - schematic that was generated with Biorender. We store those figures in the</w:t>
      </w:r>
      <w:r>
        <w:rPr>
          <w:i/>
          <w:iCs/>
        </w:rPr>
        <w:t xml:space="preserve"> </w:t>
      </w:r>
      <w:r>
        <w:rPr>
          <w:rStyle w:val="VerbatimChar"/>
          <w:i/>
          <w:iCs/>
        </w:rPr>
        <w:t xml:space="preserve">assets</w:t>
      </w:r>
      <w:r>
        <w:rPr>
          <w:i/>
          <w:iCs/>
        </w:rPr>
        <w:t xml:space="preserve"> </w:t>
      </w:r>
      <w:r>
        <w:rPr>
          <w:i/>
          <w:iCs/>
        </w:rPr>
        <w:t xml:space="preserve">folder.</w:t>
      </w:r>
    </w:p>
    <w:tbl>
      <w:tblPr>
        <w:tblStyle w:val="Table"/>
        <w:tblW w:type="pct" w:w="5000"/>
        <w:tblLayout w:type="fixed"/>
        <w:tblLook w:firstRow="0" w:lastRow="0" w:firstColumn="0" w:lastColumn="0" w:noHBand="0" w:noVBand="0" w:val="0000"/>
      </w:tblPr>
      <w:tblGrid>
        <w:gridCol w:w="7920"/>
      </w:tblGrid>
      <w:tr>
        <w:tc>
          <w:tcPr/>
          <w:bookmarkStart w:id="33" w:name="fig-schematic"/>
          <w:p>
            <w:pPr>
              <w:pStyle w:val="Compact"/>
              <w:jc w:val="center"/>
            </w:pPr>
            <w:r>
              <w:drawing>
                <wp:inline>
                  <wp:extent cx="5334000" cy="4978399"/>
                  <wp:effectExtent b="0" l="0" r="0" t="0"/>
                  <wp:docPr descr="" title="" id="31" name="Picture"/>
                  <a:graphic>
                    <a:graphicData uri="http://schemas.openxmlformats.org/drawingml/2006/picture">
                      <pic:pic>
                        <pic:nvPicPr>
                          <pic:cNvPr descr="../../assets/antigen-recognition.png" id="32" name="Picture"/>
                          <pic:cNvPicPr>
                            <a:picLocks noChangeArrowheads="1" noChangeAspect="1"/>
                          </pic:cNvPicPr>
                        </pic:nvPicPr>
                        <pic:blipFill>
                          <a:blip r:embed="rId30"/>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3"/>
        </w:tc>
      </w:tr>
    </w:tbl>
    <w:bookmarkEnd w:id="34"/>
    <w:bookmarkStart w:id="35" w:name="statistical-analysis"/>
    <w:p>
      <w:pPr>
        <w:pStyle w:val="Heading2"/>
      </w:pPr>
      <w:r>
        <w:t xml:space="preserve">4.4 Statistical analysis</w:t>
      </w:r>
    </w:p>
    <w:p>
      <w:pPr>
        <w:pStyle w:val="FirstParagraph"/>
      </w:pPr>
      <w:r>
        <w:rPr>
          <w:i/>
          <w:iCs/>
        </w:rPr>
        <w:t xml:space="preserve">This part is under construction:</w:t>
      </w:r>
      <w:r>
        <w:t xml:space="preserve"> </w:t>
      </w:r>
      <w:r>
        <w:t xml:space="preserve">I will firstly compare body indices and immune response measures between males and females. As all variables of interest are continuous, I will use Wilcoxon rank sum test. To measure leptin’s effect in modulating immune activation and to link body energy storage with immune response strength, my initial plan is to use regression analysis to examine leptin’s mediator effect, but I’m seeking a more appropriate method. Of note, the sample size is relatively small, which may influence the significance of hypothesis tests.</w:t>
      </w:r>
    </w:p>
    <w:p>
      <w:r>
        <w:br w:type="page"/>
      </w:r>
    </w:p>
    <w:bookmarkEnd w:id="35"/>
    <w:bookmarkEnd w:id="36"/>
    <w:bookmarkStart w:id="46" w:name="results-1"/>
    <w:p>
      <w:pPr>
        <w:pStyle w:val="Heading1"/>
      </w:pPr>
      <w:r>
        <w:t xml:space="preserve">5. Results</w:t>
      </w:r>
    </w:p>
    <w:bookmarkStart w:id="38" w:name="exploratorydescriptive-analysis"/>
    <w:p>
      <w:pPr>
        <w:pStyle w:val="Heading2"/>
      </w:pPr>
      <w:r>
        <w:t xml:space="preserve">5.1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7"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7"/>
          <w:p/>
        </w:tc>
      </w:tr>
    </w:tbl>
    <w:bookmarkEnd w:id="38"/>
    <w:bookmarkStart w:id="43" w:name="basic-statistical-analysis"/>
    <w:p>
      <w:pPr>
        <w:pStyle w:val="Heading2"/>
      </w:pPr>
      <w:r>
        <w:t xml:space="preserve">5.2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2" w:name="fig-result"/>
          <w:p>
            <w:pPr>
              <w:pStyle w:val="Compact"/>
              <w:jc w:val="center"/>
            </w:pPr>
            <w:r>
              <w:drawing>
                <wp:inline>
                  <wp:extent cx="5334000" cy="2701322"/>
                  <wp:effectExtent b="0" l="0" r="0" t="0"/>
                  <wp:docPr descr="" title="" id="40" name="Picture"/>
                  <a:graphic>
                    <a:graphicData uri="http://schemas.openxmlformats.org/drawingml/2006/picture">
                      <pic:pic>
                        <pic:nvPicPr>
                          <pic:cNvPr descr="../../results/figures/height-weight-stratified.png" id="41" name="Picture"/>
                          <pic:cNvPicPr>
                            <a:picLocks noChangeArrowheads="1" noChangeAspect="1"/>
                          </pic:cNvPicPr>
                        </pic:nvPicPr>
                        <pic:blipFill>
                          <a:blip r:embed="rId39"/>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2"/>
        </w:tc>
      </w:tr>
    </w:tbl>
    <w:bookmarkEnd w:id="43"/>
    <w:bookmarkStart w:id="45" w:name="full-analysis"/>
    <w:p>
      <w:pPr>
        <w:pStyle w:val="Heading2"/>
      </w:pPr>
      <w:r>
        <w:t xml:space="preserve">5.3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4"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4"/>
          <w:p/>
        </w:tc>
      </w:tr>
    </w:tbl>
    <w:p>
      <w:r>
        <w:br w:type="page"/>
      </w:r>
    </w:p>
    <w:bookmarkEnd w:id="45"/>
    <w:bookmarkEnd w:id="46"/>
    <w:bookmarkStart w:id="50" w:name="discussion"/>
    <w:p>
      <w:pPr>
        <w:pStyle w:val="Heading1"/>
      </w:pPr>
      <w:r>
        <w:t xml:space="preserve">6. Discussion</w:t>
      </w:r>
    </w:p>
    <w:bookmarkStart w:id="47"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47"/>
    <w:bookmarkStart w:id="48"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8"/>
    <w:bookmarkStart w:id="49" w:name="conclusions-1"/>
    <w:p>
      <w:pPr>
        <w:pStyle w:val="Heading2"/>
      </w:pPr>
      <w:r>
        <w:t xml:space="preserve">6.3 Conclusions</w:t>
      </w:r>
    </w:p>
    <w:p>
      <w:r>
        <w:br w:type="page"/>
      </w:r>
    </w:p>
    <w:bookmarkEnd w:id="49"/>
    <w:bookmarkEnd w:id="50"/>
    <w:bookmarkStart w:id="66" w:name="references"/>
    <w:p>
      <w:pPr>
        <w:pStyle w:val="Heading1"/>
      </w:pPr>
      <w:r>
        <w:t xml:space="preserve">7. References</w:t>
      </w:r>
    </w:p>
    <w:bookmarkStart w:id="65" w:name="refs"/>
    <w:bookmarkStart w:id="51" w:name="ref-WHO2024"/>
    <w:p>
      <w:pPr>
        <w:pStyle w:val="Bibliography"/>
      </w:pPr>
      <w:r>
        <w:t xml:space="preserve">1.</w:t>
      </w:r>
      <w:r>
        <w:t xml:space="preserve"> </w:t>
      </w:r>
      <w:r>
        <w:t xml:space="preserve">	</w:t>
      </w:r>
      <w:r>
        <w:t xml:space="preserve">Organization WH. Global tuberculosis report 2024. World Health Organization; 2024.</w:t>
      </w:r>
    </w:p>
    <w:bookmarkEnd w:id="51"/>
    <w:bookmarkStart w:id="52"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52"/>
    <w:bookmarkStart w:id="53"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53"/>
    <w:bookmarkStart w:id="54"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54"/>
    <w:bookmarkStart w:id="55"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55"/>
    <w:bookmarkStart w:id="56"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56"/>
    <w:bookmarkStart w:id="57"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57"/>
    <w:bookmarkStart w:id="58"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58"/>
    <w:bookmarkStart w:id="59"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59"/>
    <w:bookmarkStart w:id="60"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0"/>
    <w:bookmarkStart w:id="61"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1"/>
    <w:bookmarkStart w:id="62"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62"/>
    <w:bookmarkStart w:id="63"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63"/>
    <w:bookmarkStart w:id="64"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2025-01-31T04:56:44Z</dcterms:created>
  <dcterms:modified xsi:type="dcterms:W3CDTF">2025-01-31T04:56:44Z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