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Abstract</w:t>
      </w:r>
    </w:p>
    <w:bookmarkStart w:id="20" w:name="background"/>
    <w:p>
      <w:pPr>
        <w:pStyle w:val="Heading2"/>
      </w:pPr>
      <w:r>
        <w:t xml:space="preserve">Background:</w:t>
      </w:r>
    </w:p>
    <w:p>
      <w:pPr>
        <w:pStyle w:val="FirstParagraph"/>
      </w:pPr>
      <w:r>
        <w:t xml:space="preserve">In tuberculosis infection, higher body fat storage in females may better support immune activation and response compared to males. Leptin may mediate this process, bridging metabolism and the immune system.</w:t>
      </w:r>
    </w:p>
    <w:bookmarkEnd w:id="20"/>
    <w:bookmarkStart w:id="21" w:name="methods"/>
    <w:p>
      <w:pPr>
        <w:pStyle w:val="Heading2"/>
      </w:pPr>
      <w:r>
        <w:t xml:space="preserve">Methods:</w:t>
      </w:r>
    </w:p>
    <w:p>
      <w:pPr>
        <w:pStyle w:val="FirstParagraph"/>
      </w:pPr>
      <w:r>
        <w:t xml:space="preserve">We conducted a cross-sectional study in Kampala, Uganda, recruiting 60 participants with the first episode of tuberculosis. Demographic characteristics, body composition indices, and immune response measures were compared between 30 male and 30 female participants. A structural equation-based mediation analysis examined the association between CD4+ cell levels and body fat, as well as leptin’s mediation effect. The analysis was performed for all participants and separately by sex.</w:t>
      </w:r>
    </w:p>
    <w:bookmarkEnd w:id="21"/>
    <w:bookmarkStart w:id="22" w:name="results"/>
    <w:p>
      <w:pPr>
        <w:pStyle w:val="Heading2"/>
      </w:pPr>
      <w:r>
        <w:t xml:space="preserve">Results:</w:t>
      </w:r>
    </w:p>
    <w:p>
      <w:pPr>
        <w:pStyle w:val="FirstParagraph"/>
      </w:pPr>
      <w:r>
        <w:t xml:space="preserve">Compared to male participants, females had a higher fat mass index (median: 2.46 vs. 4.41), higher leptin levels (median: 1.16 ng/ml vs. 1.56 ng/ml), and higher CD4+ cell levels. Leptin levels were positively associated with body fat storage, with a stronger effect observed in females. Among all participants, 82% of the effect of body fat storage on immune activation was mediated by leptin, with a more pronounced mediation effect in females than in males.</w:t>
      </w:r>
    </w:p>
    <w:bookmarkEnd w:id="22"/>
    <w:bookmarkStart w:id="23" w:name="conclusions"/>
    <w:p>
      <w:pPr>
        <w:pStyle w:val="Heading2"/>
      </w:pPr>
      <w:r>
        <w:t xml:space="preserve">Conclusions:</w:t>
      </w:r>
    </w:p>
    <w:p>
      <w:pPr>
        <w:pStyle w:val="FirstParagraph"/>
      </w:pPr>
      <w:r>
        <w:t xml:space="preserve">Enhancing body fat storage may support immune activation in tuberculosis infection. Leptin could serve as a therapeutic target for sex-specific immune modulation in tuberculosis.</w:t>
      </w:r>
    </w:p>
    <w:bookmarkEnd w:id="23"/>
    <w:bookmarkEnd w:id="24"/>
    <w:bookmarkStart w:id="25" w:name="keywords"/>
    <w:p>
      <w:pPr>
        <w:pStyle w:val="Heading1"/>
      </w:pPr>
      <w:r>
        <w:t xml:space="preserve">Keywords:</w:t>
      </w:r>
    </w:p>
    <w:p>
      <w:pPr>
        <w:pStyle w:val="FirstParagraph"/>
      </w:pPr>
      <w:r>
        <w:rPr>
          <w:b/>
          <w:bCs/>
        </w:rPr>
        <w:t xml:space="preserve">Tuberculosis, leptin, body fat, immune response</w:t>
      </w:r>
    </w:p>
    <w:p>
      <w:r>
        <w:br w:type="page"/>
      </w:r>
    </w:p>
    <w:bookmarkEnd w:id="25"/>
    <w:bookmarkStart w:id="26" w:name="introduction"/>
    <w:p>
      <w:pPr>
        <w:pStyle w:val="Heading1"/>
      </w:pPr>
      <w:r>
        <w:t xml:space="preserve">1.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bookmarkEnd w:id="26"/>
    <w:bookmarkStart w:id="31" w:name="methods-1"/>
    <w:p>
      <w:pPr>
        <w:pStyle w:val="Heading1"/>
      </w:pPr>
      <w:r>
        <w:t xml:space="preserve">2. Methods</w:t>
      </w:r>
    </w:p>
    <w:bookmarkStart w:id="27" w:name="study-design-and-participants"/>
    <w:p>
      <w:pPr>
        <w:pStyle w:val="Heading2"/>
      </w:pPr>
      <w:r>
        <w:t xml:space="preserve">2.1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2.2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(ng/ml). All measurements were conducted at the Institute of Infectious Diseases at Makerere University.</w:t>
      </w:r>
    </w:p>
    <w:bookmarkEnd w:id="28"/>
    <w:bookmarkStart w:id="29" w:name="immune-response-measures"/>
    <w:p>
      <w:pPr>
        <w:pStyle w:val="Heading2"/>
      </w:pPr>
      <w:r>
        <w:t xml:space="preserve">2.3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(CRP, mg/dl), interferon-gamma (INF-gamma, pg/ml), tumor necrosis factor-alpha (TNF-alpha, pg/ml), and interleukin-10 (IL-10, pg/ml) were also measured as indicators of immune response.</w:t>
      </w:r>
    </w:p>
    <w:bookmarkEnd w:id="29"/>
    <w:bookmarkStart w:id="30" w:name="statistical-analysis"/>
    <w:p>
      <w:pPr>
        <w:pStyle w:val="Heading2"/>
      </w:pPr>
      <w:r>
        <w:t xml:space="preserve">2.4 Statistical analysis</w:t>
      </w:r>
    </w:p>
    <w:p>
      <w:pPr>
        <w:pStyle w:val="FirstParagraph"/>
      </w:pPr>
      <w:r>
        <w:t xml:space="preserve">In the descriptive analysis, we compared the distribution of demographic characteristics (e.g., age, height, weight) and body composition indices (e.g., body fat, lean body mass, leptin level) between male and female participants using the median and interquartile range (IQR). Differences in immune responses were visualized with boxplots showing the distributions of available measures, including CD4+ cell counts, CRP levels, and INF-gamma levels. The association between log-transformed leptin levels and body fat, lean body mass, percentage of CD4+ cells, and percentage of CD8+ cells was assessed using scatterplots with Pearson correlation coefficients.</w:t>
      </w:r>
    </w:p>
    <w:p>
      <w:pPr>
        <w:pStyle w:val="BodyText"/>
      </w:pPr>
      <w:r>
        <w:t xml:space="preserve">We examined the predictability of fat mass index to leptin level using a simple linear regression. A Poisson regression model was applied to CD4+ cell counts using a log link, with fat mass index and leptin level as predictors. All leptin levels in regression models used the logarithmic transformation. We estimated standardized regression coefficients and calculated the total, direct, and indirect effects of fat mass index on CD4+ cell counts</w:t>
      </w:r>
      <w:r>
        <w:t xml:space="preserve"> </w:t>
      </w:r>
      <w:r>
        <w:t xml:space="preserve">(15)</w:t>
      </w:r>
      <w:r>
        <w:t xml:space="preserve">. The mediation effect of leptin was quantified as the indirect effect divided by the total effect, expressed as the percentage of the total effect mediated by leptin</w:t>
      </w:r>
      <w:r>
        <w:t xml:space="preserve"> </w:t>
      </w:r>
      <w:r>
        <w:t xml:space="preserve">(16)</w:t>
      </w:r>
      <w:r>
        <w:t xml:space="preserve">. Confidence intervals (CI) at the 95% confidence level for all estimated effects were obtained using the bootstrap method with 500 replicates. The mediation analysis was first conducted for all participants. We then performed a subgroup analysis by applying the mediation analysis separately to male and female participants.</w:t>
      </w:r>
    </w:p>
    <w:bookmarkEnd w:id="30"/>
    <w:bookmarkEnd w:id="31"/>
    <w:bookmarkStart w:id="56" w:name="results-1"/>
    <w:p>
      <w:pPr>
        <w:pStyle w:val="Heading1"/>
      </w:pPr>
      <w:r>
        <w:t xml:space="preserve">3. Results</w:t>
      </w:r>
    </w:p>
    <w:bookmarkStart w:id="36" w:name="X64416be89f2f2dc3cecf6ead8129c914153c0b2"/>
    <w:p>
      <w:pPr>
        <w:pStyle w:val="Heading2"/>
      </w:pPr>
      <w:r>
        <w:t xml:space="preserve">3.1 Difference in body composition index by sex</w:t>
      </w:r>
    </w:p>
    <w:p>
      <w:pPr>
        <w:pStyle w:val="FirstParagraph"/>
      </w:pPr>
      <w:r>
        <w:t xml:space="preserve">The 30 male and 30 female participants had a similar age distribution (</w:t>
      </w:r>
      <w:hyperlink w:anchor="tbl-body">
        <w:r>
          <w:rPr>
            <w:rStyle w:val="Hyperlink"/>
          </w:rPr>
          <w:t xml:space="preserve">Table 1</w:t>
        </w:r>
      </w:hyperlink>
      <w:r>
        <w:t xml:space="preserve">). Males were taller (median = 168 cm, IQR: 158 cm-175 cm) and heavier (median = 55.2 kg, IQR: 50.0 kg-60.0 kg) than females, but BMI was similar between sexes (median: 19.48 vs. 19.20). Males had a higher body water proportion (median = 63.67%, IQR: 59.92%-68.09%) and lean body mass composition (median = 86.98%, IQR: 81.86%-93.01%), while females had a higher body fat composition (median = 21.37%, IQR: 14.74%-27.09%). After adjusting for height, males had a lower FMI (median: 2.46 vs. 4.41) but a higher FFMI (median: 16.80 vs. 15.19) than females. Leptin levels were higher in females than in males (median: 1.16 ng/ml vs. 1.56 ng/ml).</w:t>
      </w:r>
    </w:p>
    <w:tbl>
      <w:tblPr>
        <w:tblStyle w:val="Table"/>
        <w:tblW w:type="pct" w:w="5000"/>
        <w:tblLayout w:type="fixed"/>
        <w:tblLook w:firstRow="0" w:lastRow="0" w:firstColumn="0" w:lastColumn="0" w:noHBand="0" w:noVBand="0" w:val="0000"/>
      </w:tblPr>
      <w:tblGrid>
        <w:gridCol w:w="7920"/>
      </w:tblGrid>
      <w:tr>
        <w:tc>
          <w:tcPr/>
          <w:bookmarkStart w:id="35" w:name="tbl-body"/>
          <w:p>
            <w:pPr>
              <w:jc w:val="center"/>
            </w:pPr>
            <w:pPr>
              <w:jc w:val="start"/>
              <w:spacing w:before="200"/>
              <w:pStyle w:val="ImageCaption"/>
            </w:pPr>
            <w:r>
              <w:t xml:space="preserve">Table 1: Body characteristics and composition by sex.</w:t>
            </w:r>
          </w:p>
          <w:p>
            <w:pPr>
              <w:jc w:val="center"/>
            </w:pPr>
            <w:r>
              <w:drawing>
                <wp:inline>
                  <wp:extent cx="5334000" cy="4334442"/>
                  <wp:effectExtent b="0" l="0" r="0" t="0"/>
                  <wp:docPr descr="" title="" id="33" name="Picture"/>
                  <a:graphic>
                    <a:graphicData uri="http://schemas.openxmlformats.org/drawingml/2006/picture">
                      <pic:pic>
                        <pic:nvPicPr>
                          <pic:cNvPr descr="../../results/tables/table1.png" id="34" name="Picture"/>
                          <pic:cNvPicPr>
                            <a:picLocks noChangeArrowheads="1" noChangeAspect="1"/>
                          </pic:cNvPicPr>
                        </pic:nvPicPr>
                        <pic:blipFill>
                          <a:blip r:embed="rId32"/>
                          <a:stretch>
                            <a:fillRect/>
                          </a:stretch>
                        </pic:blipFill>
                        <pic:spPr bwMode="auto">
                          <a:xfrm>
                            <a:off x="0" y="0"/>
                            <a:ext cx="5334000" cy="4334442"/>
                          </a:xfrm>
                          <a:prstGeom prst="rect">
                            <a:avLst/>
                          </a:prstGeom>
                          <a:noFill/>
                          <a:ln w="9525">
                            <a:noFill/>
                            <a:headEnd/>
                            <a:tailEnd/>
                          </a:ln>
                        </pic:spPr>
                      </pic:pic>
                    </a:graphicData>
                  </a:graphic>
                </wp:inline>
              </w:drawing>
            </w:r>
          </w:p>
          <w:bookmarkEnd w:id="35"/>
        </w:tc>
      </w:tr>
    </w:tbl>
    <w:bookmarkEnd w:id="36"/>
    <w:bookmarkStart w:id="41" w:name="difference-in-immune-response-by-sex"/>
    <w:p>
      <w:pPr>
        <w:pStyle w:val="Heading2"/>
      </w:pPr>
      <w:r>
        <w:t xml:space="preserve">3.2 Difference in immune response by sex</w:t>
      </w:r>
    </w:p>
    <w:p>
      <w:pPr>
        <w:pStyle w:val="FirstParagraph"/>
      </w:pPr>
      <w:r>
        <w:t xml:space="preserve">CRP, INF-gamma, TNF-alpha, and IL-10 levels showed no clear differences between males and females (</w:t>
      </w:r>
      <w:hyperlink w:anchor="fig-boxplot">
        <w:r>
          <w:rPr>
            <w:rStyle w:val="Hyperlink"/>
          </w:rPr>
          <w:t xml:space="preserve">Figure 1</w:t>
        </w:r>
      </w:hyperlink>
      <w:r>
        <w:t xml:space="preserve">). However, females had more compact distributions for CRP, TNF-alpha, and IL-10 levels. Both sexes had INF-gamma levels well above zero. Lymphocyte subsets varied between sexes. CD4+ levels were lower in males but showed less variation. The difference was not evident regarding CD8+ level. Among males, the median CD4+ count was around 300/uL, with a median percentage of about 20%, while females had a median count above 400/uL. Both sexes had CD4+ and CD8+ counts as low as nearly zero. The maximum CD4+ count reached 800/uL, whereas the maximum CD8+ count was over 400/uL in males and nearly 700/uL in females.</w:t>
      </w:r>
    </w:p>
    <w:tbl>
      <w:tblPr>
        <w:tblStyle w:val="Table"/>
        <w:tblW w:type="pct" w:w="5000"/>
        <w:tblLayout w:type="fixed"/>
        <w:tblLook w:firstRow="0" w:lastRow="0" w:firstColumn="0" w:lastColumn="0" w:noHBand="0" w:noVBand="0" w:val="0000"/>
      </w:tblPr>
      <w:tblGrid>
        <w:gridCol w:w="7920"/>
      </w:tblGrid>
      <w:tr>
        <w:tc>
          <w:tcPr/>
          <w:bookmarkStart w:id="40" w:name="fig-boxplot"/>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figure1.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immune response by sex. The boxplots denote immune response measures among male (blue) and female (orange) participants.</w:t>
            </w:r>
          </w:p>
          <w:bookmarkEnd w:id="40"/>
        </w:tc>
      </w:tr>
    </w:tbl>
    <w:bookmarkEnd w:id="41"/>
    <w:bookmarkStart w:id="46" w:name="Xe63511867ec9e2c762bb965f4375a73e8049899"/>
    <w:p>
      <w:pPr>
        <w:pStyle w:val="Heading2"/>
      </w:pPr>
      <w:r>
        <w:t xml:space="preserve">3.3 Association between body composition and immune response</w:t>
      </w:r>
    </w:p>
    <w:p>
      <w:pPr>
        <w:pStyle w:val="FirstParagraph"/>
      </w:pPr>
      <w:r>
        <w:t xml:space="preserve">Leptin levels were strongly associated with body fat among females, with a positive correlation (Pearson correlation coefficient = 0.6,</w:t>
      </w:r>
      <w:r>
        <w:t xml:space="preserve"> </w:t>
      </w:r>
      <w:hyperlink w:anchor="fig-sct">
        <w:r>
          <w:rPr>
            <w:rStyle w:val="Hyperlink"/>
          </w:rPr>
          <w:t xml:space="preserve">Figure 2</w:t>
        </w:r>
      </w:hyperlink>
      <w:r>
        <w:t xml:space="preserve">). In contrast, leptin levels showed a negative correlation with lean body mass in females (Pearson correlation coefficient = -0.4). Males had consistently lower leptin levels than females, with no evident correlation with body fat or lean body mass. No clear association was observed between leptin levels and lymphocyte subsets. The correlation between leptin levels and the percentage of CD4+ cells was weak (Pearson correlation coefficient = 0.09). Similarly, the correlation with the percentage of CD8+ cells was slightly negative but not significant (Pearson correlation coefficient = -0.13).</w:t>
      </w:r>
    </w:p>
    <w:tbl>
      <w:tblPr>
        <w:tblStyle w:val="Table"/>
        <w:tblW w:type="pct" w:w="5000"/>
        <w:tblLayout w:type="fixed"/>
        <w:tblLook w:firstRow="0" w:lastRow="0" w:firstColumn="0" w:lastColumn="0" w:noHBand="0" w:noVBand="0" w:val="0000"/>
      </w:tblPr>
      <w:tblGrid>
        <w:gridCol w:w="7920"/>
      </w:tblGrid>
      <w:tr>
        <w:tc>
          <w:tcPr/>
          <w:bookmarkStart w:id="45" w:name="fig-sct"/>
          <w:p>
            <w:pPr>
              <w:pStyle w:val="Compact"/>
              <w:jc w:val="center"/>
            </w:pPr>
            <w:r>
              <w:drawing>
                <wp:inline>
                  <wp:extent cx="5334000" cy="5334000"/>
                  <wp:effectExtent b="0" l="0" r="0" t="0"/>
                  <wp:docPr descr="" title="" id="43" name="Picture"/>
                  <a:graphic>
                    <a:graphicData uri="http://schemas.openxmlformats.org/drawingml/2006/picture">
                      <pic:pic>
                        <pic:nvPicPr>
                          <pic:cNvPr descr="../../results/figures/figure2.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between log-transformed leptin level and body fat, lean body mass, percentage of CD4+ cells, and percentage of CD8+ cells. Male and female participants are denoted by blue and pink points, respectively. The size of point denotes body weight of each participant. R marks the Pearson correlation coefficients.</w:t>
            </w:r>
          </w:p>
          <w:bookmarkEnd w:id="45"/>
        </w:tc>
      </w:tr>
    </w:tbl>
    <w:bookmarkEnd w:id="46"/>
    <w:bookmarkStart w:id="55" w:name="Xd11d47e16f9fe9e01bcdd5f85bdc2fd3db70f7d"/>
    <w:p>
      <w:pPr>
        <w:pStyle w:val="Heading2"/>
      </w:pPr>
      <w:r>
        <w:t xml:space="preserve">3.4 Mediation effect of leptin in immune response activation</w:t>
      </w:r>
    </w:p>
    <w:p>
      <w:pPr>
        <w:pStyle w:val="FirstParagraph"/>
      </w:pPr>
      <w:r>
        <w:t xml:space="preserve">When fitting linear regression for all participants, leptin level was positively associated with FMI (</w:t>
      </w:r>
      <m:oMath>
        <m:r>
          <m:t>β</m:t>
        </m:r>
      </m:oMath>
      <w:r>
        <w:t xml:space="preserve">=0.100, 95% CI: 0.064-0.135,</w:t>
      </w:r>
      <w:r>
        <w:t xml:space="preserve"> </w:t>
      </w:r>
      <w:hyperlink w:anchor="tbl-coef">
        <w:r>
          <w:rPr>
            <w:rStyle w:val="Hyperlink"/>
          </w:rPr>
          <w:t xml:space="preserve">Table 2</w:t>
        </w:r>
      </w:hyperlink>
      <w:r>
        <w:t xml:space="preserve">). A similar positive association was observed among female participants (</w:t>
      </w:r>
      <m:oMath>
        <m:r>
          <m:t>β</m:t>
        </m:r>
      </m:oMath>
      <w:r>
        <w:t xml:space="preserve">=0.113, 95% CI: 0.062-0.165), but not among males (</w:t>
      </w:r>
      <m:oMath>
        <m:r>
          <m:t>β</m:t>
        </m:r>
      </m:oMath>
      <w:r>
        <w:t xml:space="preserve">=0.000, 95% CI: -0.003-0.002). When predicting CD4+ cell counts using FMI and leptin level for all participants, both predictors showed a positive association (</w:t>
      </w:r>
      <m:oMath>
        <m:r>
          <m:t>β</m:t>
        </m:r>
      </m:oMath>
      <w:r>
        <w:t xml:space="preserve">=0.008, 95% CI: 0.000-0.017 for FMI;</w:t>
      </w:r>
      <w:r>
        <w:t xml:space="preserve"> </w:t>
      </w:r>
      <m:oMath>
        <m:r>
          <m:t>β</m:t>
        </m:r>
      </m:oMath>
      <w:r>
        <w:t xml:space="preserve">=0.364, 95% CI: 0.314-0.413 for leptin level). Among males, both FMI (</w:t>
      </w:r>
      <m:oMath>
        <m:r>
          <m:t>β</m:t>
        </m:r>
      </m:oMath>
      <w:r>
        <w:t xml:space="preserve">=0.025, 95% CI: 0.011-0.040) and leptin level (</w:t>
      </w:r>
      <m:oMath>
        <m:r>
          <m:t>β</m:t>
        </m:r>
      </m:oMath>
      <w:r>
        <w:t xml:space="preserve">=6.995, 95% CI: 4.489-9.500) were positively associated with CD4+ cell counts. However, among females, CD4+ cell counts were positively associated only with leptin level (</w:t>
      </w:r>
      <m:oMath>
        <m:r>
          <m:t>β</m:t>
        </m:r>
      </m:oMath>
      <w:r>
        <w:t xml:space="preserve">=0.322, 95% CI: 0.262-0.381).</w:t>
      </w:r>
    </w:p>
    <w:tbl>
      <w:tblPr>
        <w:tblStyle w:val="Table"/>
        <w:tblW w:type="pct" w:w="5000"/>
        <w:tblLayout w:type="fixed"/>
        <w:tblLook w:firstRow="0" w:lastRow="0" w:firstColumn="0" w:lastColumn="0" w:noHBand="0" w:noVBand="0" w:val="0000"/>
      </w:tblPr>
      <w:tblGrid>
        <w:gridCol w:w="7920"/>
      </w:tblGrid>
      <w:tr>
        <w:tc>
          <w:tcPr/>
          <w:bookmarkStart w:id="50" w:name="tbl-coef"/>
          <w:p>
            <w:pPr>
              <w:jc w:val="center"/>
            </w:pPr>
            <w:pPr>
              <w:jc w:val="start"/>
              <w:spacing w:before="200"/>
              <w:pStyle w:val="ImageCaption"/>
            </w:pPr>
            <w:r>
              <w:t xml:space="preserve">Table 2: Coefficient estimation (95% CI) from linear regression and Poisson regression.</w:t>
            </w:r>
          </w:p>
          <w:p>
            <w:pPr>
              <w:jc w:val="center"/>
            </w:pPr>
            <w:r>
              <w:drawing>
                <wp:inline>
                  <wp:extent cx="5334000" cy="3116800"/>
                  <wp:effectExtent b="0" l="0" r="0" t="0"/>
                  <wp:docPr descr="" title="" id="48" name="Picture"/>
                  <a:graphic>
                    <a:graphicData uri="http://schemas.openxmlformats.org/drawingml/2006/picture">
                      <pic:pic>
                        <pic:nvPicPr>
                          <pic:cNvPr descr="../../results/tables/table2.png" id="49" name="Picture"/>
                          <pic:cNvPicPr>
                            <a:picLocks noChangeArrowheads="1" noChangeAspect="1"/>
                          </pic:cNvPicPr>
                        </pic:nvPicPr>
                        <pic:blipFill>
                          <a:blip r:embed="rId47"/>
                          <a:stretch>
                            <a:fillRect/>
                          </a:stretch>
                        </pic:blipFill>
                        <pic:spPr bwMode="auto">
                          <a:xfrm>
                            <a:off x="0" y="0"/>
                            <a:ext cx="5334000" cy="3116800"/>
                          </a:xfrm>
                          <a:prstGeom prst="rect">
                            <a:avLst/>
                          </a:prstGeom>
                          <a:noFill/>
                          <a:ln w="9525">
                            <a:noFill/>
                            <a:headEnd/>
                            <a:tailEnd/>
                          </a:ln>
                        </pic:spPr>
                      </pic:pic>
                    </a:graphicData>
                  </a:graphic>
                </wp:inline>
              </w:drawing>
            </w:r>
          </w:p>
          <w:bookmarkEnd w:id="50"/>
        </w:tc>
      </w:tr>
    </w:tbl>
    <w:p>
      <w:pPr>
        <w:pStyle w:val="BodyText"/>
      </w:pPr>
      <w:r>
        <w:t xml:space="preserve">Among all participants, FMI had a notable effect on promoting CD4+ cell counts (total effect=0.25, 95% CI: -0.15-0.57,</w:t>
      </w:r>
      <w:r>
        <w:t xml:space="preserve"> </w:t>
      </w:r>
      <w:hyperlink w:anchor="tbl-ma">
        <w:r>
          <w:rPr>
            <w:rStyle w:val="Hyperlink"/>
          </w:rPr>
          <w:t xml:space="preserve">Table 3</w:t>
        </w:r>
      </w:hyperlink>
      <w:r>
        <w:t xml:space="preserve">), with a large proportion (indirect effect=0.20, 95% CI: -0.14-0.55) mediated by leptin level. The mediation effect of leptin accounted for 82% of the total effect of FMI. A similar pattern was observed among female participants, where the effect of FMI (total effect=0.24, 95% CI: -0.35-0.67) was almost entirely mediated by leptin (indirect effect=0.24, 95% CI: -0.30-0.80). Among male participants, CD4+ cell counts were primarily influenced by the direct effect of FMI (total effect=0.09, 95% CI: -0.55-0.76; direct effect=0.10, 95% CI: -0.57-0.89).</w:t>
      </w:r>
    </w:p>
    <w:tbl>
      <w:tblPr>
        <w:tblStyle w:val="Table"/>
        <w:tblW w:type="pct" w:w="5000"/>
        <w:tblLayout w:type="fixed"/>
        <w:tblLook w:firstRow="0" w:lastRow="0" w:firstColumn="0" w:lastColumn="0" w:noHBand="0" w:noVBand="0" w:val="0000"/>
      </w:tblPr>
      <w:tblGrid>
        <w:gridCol w:w="7920"/>
      </w:tblGrid>
      <w:tr>
        <w:tc>
          <w:tcPr/>
          <w:bookmarkStart w:id="54" w:name="tbl-ma"/>
          <w:p>
            <w:pPr>
              <w:jc w:val="center"/>
            </w:pPr>
            <w:pPr>
              <w:jc w:val="start"/>
              <w:spacing w:before="200"/>
              <w:pStyle w:val="ImageCaption"/>
            </w:pPr>
            <w:r>
              <w:t xml:space="preserve">Table 3: Mediation analysis with estimated effects and 95% CI.</w:t>
            </w:r>
          </w:p>
          <w:p>
            <w:pPr>
              <w:jc w:val="center"/>
            </w:pPr>
            <w:r>
              <w:drawing>
                <wp:inline>
                  <wp:extent cx="5334000" cy="1027450"/>
                  <wp:effectExtent b="0" l="0" r="0" t="0"/>
                  <wp:docPr descr="" title="" id="52" name="Picture"/>
                  <a:graphic>
                    <a:graphicData uri="http://schemas.openxmlformats.org/drawingml/2006/picture">
                      <pic:pic>
                        <pic:nvPicPr>
                          <pic:cNvPr descr="../../results/tables/table3.png" id="53" name="Picture"/>
                          <pic:cNvPicPr>
                            <a:picLocks noChangeArrowheads="1" noChangeAspect="1"/>
                          </pic:cNvPicPr>
                        </pic:nvPicPr>
                        <pic:blipFill>
                          <a:blip r:embed="rId51"/>
                          <a:stretch>
                            <a:fillRect/>
                          </a:stretch>
                        </pic:blipFill>
                        <pic:spPr bwMode="auto">
                          <a:xfrm>
                            <a:off x="0" y="0"/>
                            <a:ext cx="5334000" cy="1027450"/>
                          </a:xfrm>
                          <a:prstGeom prst="rect">
                            <a:avLst/>
                          </a:prstGeom>
                          <a:noFill/>
                          <a:ln w="9525">
                            <a:noFill/>
                            <a:headEnd/>
                            <a:tailEnd/>
                          </a:ln>
                        </pic:spPr>
                      </pic:pic>
                    </a:graphicData>
                  </a:graphic>
                </wp:inline>
              </w:drawing>
            </w:r>
          </w:p>
          <w:bookmarkEnd w:id="54"/>
        </w:tc>
      </w:tr>
    </w:tbl>
    <w:bookmarkEnd w:id="55"/>
    <w:bookmarkEnd w:id="56"/>
    <w:bookmarkStart w:id="57" w:name="discussion"/>
    <w:p>
      <w:pPr>
        <w:pStyle w:val="Heading1"/>
      </w:pPr>
      <w:r>
        <w:t xml:space="preserve">4. Discussion</w:t>
      </w:r>
    </w:p>
    <w:p>
      <w:pPr>
        <w:pStyle w:val="FirstParagraph"/>
      </w:pPr>
      <w:r>
        <w:t xml:space="preserve">This study examined the role of leptin in metabolism and immune response regulation. The sample included 30 males and 30 females with the first TB episode from Uganda. Our findings revealed that females had higher body fat storage, higher leptin levels, and stronger immune responses. Body fat was positively associated with leptin levels, and leptin mediated the effect of body fat on immune activation.</w:t>
      </w:r>
    </w:p>
    <w:p>
      <w:pPr>
        <w:pStyle w:val="BodyText"/>
      </w:pPr>
      <w:r>
        <w:t xml:space="preserve">Our findings align with previous studies showing that females tend to have a stronger immune response than males</w:t>
      </w:r>
      <w:r>
        <w:t xml:space="preserve"> </w:t>
      </w:r>
      <w:r>
        <w:t xml:space="preserve">(17)</w:t>
      </w:r>
      <w:r>
        <w:t xml:space="preserve">. This difference in immunity may influence susceptibility and the speed of infection clearance between sexes</w:t>
      </w:r>
      <w:r>
        <w:t xml:space="preserve"> </w:t>
      </w:r>
      <w:r>
        <w:t xml:space="preserve">(18)</w:t>
      </w:r>
      <w:r>
        <w:t xml:space="preserve">. This study focused on immune activation and identified a sex-based difference in CD4+ cell levels, consistent with findings from a previous study</w:t>
      </w:r>
      <w:r>
        <w:t xml:space="preserve"> </w:t>
      </w:r>
      <w:r>
        <w:t xml:space="preserve">(19)</w:t>
      </w:r>
      <w:r>
        <w:t xml:space="preserve">. Recent research also indicates that changes in body fat in males can significantly reduce CD8+ cell levels compared to females</w:t>
      </w:r>
      <w:r>
        <w:t xml:space="preserve"> </w:t>
      </w:r>
      <w:r>
        <w:t xml:space="preserve">(20)</w:t>
      </w:r>
      <w:r>
        <w:t xml:space="preserve">. Our study, along with previous research, provides evidence of sex-specific differences in the initiation and dynamic response of the immune system to TB infection. Our study also identified leptin as a bridge between metabolism and the immune system. This suggests its potential as a therapeutic target for regulating immune responses based on specific metabolic conditions</w:t>
      </w:r>
      <w:r>
        <w:t xml:space="preserve"> </w:t>
      </w:r>
      <w:r>
        <w:t xml:space="preserve">(8)</w:t>
      </w:r>
      <w:r>
        <w:t xml:space="preserve">. Animal-based preclinical studies have demonstrated its practical significance</w:t>
      </w:r>
      <w:r>
        <w:t xml:space="preserve"> </w:t>
      </w:r>
      <w:r>
        <w:t xml:space="preserve">(21)</w:t>
      </w:r>
      <w:r>
        <w:t xml:space="preserve">, but further research is needed to assess its clinical applicability in human populations.</w:t>
      </w:r>
    </w:p>
    <w:p>
      <w:pPr>
        <w:pStyle w:val="BodyText"/>
      </w:pPr>
      <w:r>
        <w:t xml:space="preserve">This study has several limitations. First, the small sample size reduced the statistical power of the analysis. Sample loss due to the instability of the deuterium dilution approach in measuring body water further limited the detection of significant associations. Second, non-biological factors such as professional exposure, alcohol use, and smoking status</w:t>
      </w:r>
      <w:r>
        <w:t xml:space="preserve"> </w:t>
      </w:r>
      <w:r>
        <w:t xml:space="preserve">(22)</w:t>
      </w:r>
      <w:r>
        <w:t xml:space="preserve"> </w:t>
      </w:r>
      <w:r>
        <w:t xml:space="preserve">were not controlled, which could have influenced immune responses. Given their higher prevalence among males</w:t>
      </w:r>
      <w:r>
        <w:t xml:space="preserve"> </w:t>
      </w:r>
      <w:r>
        <w:t xml:space="preserve">(23)</w:t>
      </w:r>
      <w:r>
        <w:t xml:space="preserve">, these factors may have confounded the findings. Despite these limitations, this study provides valuable insights that complement previous research. Future studies should explore the dynamic regulatory role of leptin at different stages of immune responses.</w:t>
      </w:r>
    </w:p>
    <w:p>
      <w:r>
        <w:br w:type="page"/>
      </w:r>
    </w:p>
    <w:bookmarkEnd w:id="57"/>
    <w:bookmarkStart w:id="82" w:name="references"/>
    <w:p>
      <w:pPr>
        <w:pStyle w:val="Heading1"/>
      </w:pPr>
      <w:r>
        <w:t xml:space="preserve">References</w:t>
      </w:r>
    </w:p>
    <w:bookmarkStart w:id="81" w:name="refs"/>
    <w:bookmarkStart w:id="58" w:name="ref-WHO2024"/>
    <w:p>
      <w:pPr>
        <w:pStyle w:val="Bibliography"/>
      </w:pPr>
      <w:r>
        <w:t xml:space="preserve">1.</w:t>
      </w:r>
      <w:r>
        <w:t xml:space="preserve"> </w:t>
      </w:r>
      <w:r>
        <w:t xml:space="preserve">	</w:t>
      </w:r>
      <w:r>
        <w:t xml:space="preserve">Organization WH. Global tuberculosis report 2024. World Health Organization; 2024.</w:t>
      </w:r>
    </w:p>
    <w:bookmarkEnd w:id="58"/>
    <w:bookmarkStart w:id="59"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59"/>
    <w:bookmarkStart w:id="60"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60"/>
    <w:bookmarkStart w:id="61"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61"/>
    <w:bookmarkStart w:id="62"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62"/>
    <w:bookmarkStart w:id="63"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63"/>
    <w:bookmarkStart w:id="64"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64"/>
    <w:bookmarkStart w:id="65"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65"/>
    <w:bookmarkStart w:id="66"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66"/>
    <w:bookmarkStart w:id="67"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7"/>
    <w:bookmarkStart w:id="68"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8"/>
    <w:bookmarkStart w:id="69"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69"/>
    <w:bookmarkStart w:id="70"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70"/>
    <w:bookmarkStart w:id="71"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71"/>
    <w:bookmarkStart w:id="72" w:name="ref-Sobel1982"/>
    <w:p>
      <w:pPr>
        <w:pStyle w:val="Bibliography"/>
      </w:pPr>
      <w:r>
        <w:t xml:space="preserve">15.</w:t>
      </w:r>
      <w:r>
        <w:t xml:space="preserve"> </w:t>
      </w:r>
      <w:r>
        <w:t xml:space="preserve">	</w:t>
      </w:r>
      <w:r>
        <w:t xml:space="preserve">Sobel ME. Asymptotic confidence intervals for indirect effects in structural equation models.</w:t>
      </w:r>
      <w:r>
        <w:t xml:space="preserve"> </w:t>
      </w:r>
      <w:r>
        <w:rPr>
          <w:i/>
          <w:iCs/>
        </w:rPr>
        <w:t xml:space="preserve">Sociological methodology</w:t>
      </w:r>
      <w:r>
        <w:t xml:space="preserve">. 1982;13:290–312.</w:t>
      </w:r>
      <w:r>
        <w:t xml:space="preserve"> </w:t>
      </w:r>
    </w:p>
    <w:bookmarkEnd w:id="72"/>
    <w:bookmarkStart w:id="73" w:name="ref-Baron1986"/>
    <w:p>
      <w:pPr>
        <w:pStyle w:val="Bibliography"/>
      </w:pPr>
      <w:r>
        <w:t xml:space="preserve">16.</w:t>
      </w:r>
      <w:r>
        <w:t xml:space="preserve"> </w:t>
      </w:r>
      <w:r>
        <w:t xml:space="preserve">	</w:t>
      </w:r>
      <w:r>
        <w:t xml:space="preserve">Baron RM, Kenny DA. The moderator–mediator variable distinction in social psychological research: Conceptual, strategic, and statistical considerations.</w:t>
      </w:r>
      <w:r>
        <w:t xml:space="preserve"> </w:t>
      </w:r>
      <w:r>
        <w:rPr>
          <w:i/>
          <w:iCs/>
        </w:rPr>
        <w:t xml:space="preserve">Journal of personality and social psychology</w:t>
      </w:r>
      <w:r>
        <w:t xml:space="preserve">. 1986;51(6):1173.</w:t>
      </w:r>
      <w:r>
        <w:t xml:space="preserve"> </w:t>
      </w:r>
    </w:p>
    <w:bookmarkEnd w:id="73"/>
    <w:bookmarkStart w:id="74" w:name="ref-Klein2016"/>
    <w:p>
      <w:pPr>
        <w:pStyle w:val="Bibliography"/>
      </w:pPr>
      <w:r>
        <w:t xml:space="preserve">17.</w:t>
      </w:r>
      <w:r>
        <w:t xml:space="preserve"> </w:t>
      </w:r>
      <w:r>
        <w:t xml:space="preserve">	</w:t>
      </w:r>
      <w:r>
        <w:t xml:space="preserve">Klein SL, Flanagan KL. Sex differences in immune responses.</w:t>
      </w:r>
      <w:r>
        <w:t xml:space="preserve"> </w:t>
      </w:r>
      <w:r>
        <w:rPr>
          <w:i/>
          <w:iCs/>
        </w:rPr>
        <w:t xml:space="preserve">Nature Reviews Immunology</w:t>
      </w:r>
      <w:r>
        <w:t xml:space="preserve">. 2016;16(10):626–638.</w:t>
      </w:r>
      <w:r>
        <w:t xml:space="preserve"> </w:t>
      </w:r>
    </w:p>
    <w:bookmarkEnd w:id="74"/>
    <w:bookmarkStart w:id="75" w:name="ref-Takahashi2021"/>
    <w:p>
      <w:pPr>
        <w:pStyle w:val="Bibliography"/>
      </w:pPr>
      <w:r>
        <w:t xml:space="preserve">18.</w:t>
      </w:r>
      <w:r>
        <w:t xml:space="preserve"> </w:t>
      </w:r>
      <w:r>
        <w:t xml:space="preserve">	</w:t>
      </w:r>
      <w:r>
        <w:t xml:space="preserve">Takahashi T, Iwasaki A. Sex differences in immune responses.</w:t>
      </w:r>
      <w:r>
        <w:t xml:space="preserve"> </w:t>
      </w:r>
      <w:r>
        <w:rPr>
          <w:i/>
          <w:iCs/>
        </w:rPr>
        <w:t xml:space="preserve">Science</w:t>
      </w:r>
      <w:r>
        <w:t xml:space="preserve">. 2021;371(6527):347–348.</w:t>
      </w:r>
      <w:r>
        <w:t xml:space="preserve"> </w:t>
      </w:r>
    </w:p>
    <w:bookmarkEnd w:id="75"/>
    <w:bookmarkStart w:id="76" w:name="ref-Bothamley2021"/>
    <w:p>
      <w:pPr>
        <w:pStyle w:val="Bibliography"/>
      </w:pPr>
      <w:r>
        <w:t xml:space="preserve">19.</w:t>
      </w:r>
      <w:r>
        <w:t xml:space="preserve"> </w:t>
      </w:r>
      <w:r>
        <w:t xml:space="preserve">	</w:t>
      </w:r>
      <w:r>
        <w:t xml:space="preserve">Bothamley GH. Male sex bias in immune biomarkers for tuberculosis.</w:t>
      </w:r>
      <w:r>
        <w:t xml:space="preserve"> </w:t>
      </w:r>
      <w:r>
        <w:rPr>
          <w:i/>
          <w:iCs/>
        </w:rPr>
        <w:t xml:space="preserve">Frontiers in immunology</w:t>
      </w:r>
      <w:r>
        <w:t xml:space="preserve">. 2021;12:640903.</w:t>
      </w:r>
      <w:r>
        <w:t xml:space="preserve"> </w:t>
      </w:r>
    </w:p>
    <w:bookmarkEnd w:id="76"/>
    <w:bookmarkStart w:id="77" w:name="ref-Dhanyalayam2024"/>
    <w:p>
      <w:pPr>
        <w:pStyle w:val="Bibliography"/>
      </w:pPr>
      <w:r>
        <w:t xml:space="preserve">20.</w:t>
      </w:r>
      <w:r>
        <w:t xml:space="preserve"> </w:t>
      </w:r>
      <w:r>
        <w:t xml:space="preserve">	</w:t>
      </w:r>
      <w:r>
        <w:t xml:space="preserve">Dhanyalayam D, Thangavel H, Sidrat T, et al. The influence of body fat dynamics on pulmonary immune responses in murine tuberculosis: Unraveling sex-specific insights.</w:t>
      </w:r>
      <w:r>
        <w:t xml:space="preserve"> </w:t>
      </w:r>
      <w:r>
        <w:rPr>
          <w:i/>
          <w:iCs/>
        </w:rPr>
        <w:t xml:space="preserve">International Journal of Molecular Sciences</w:t>
      </w:r>
      <w:r>
        <w:t xml:space="preserve">. 2024;25(13):6823.</w:t>
      </w:r>
      <w:r>
        <w:t xml:space="preserve"> </w:t>
      </w:r>
    </w:p>
    <w:bookmarkEnd w:id="77"/>
    <w:bookmarkStart w:id="78" w:name="ref-Fantuzzi2000"/>
    <w:p>
      <w:pPr>
        <w:pStyle w:val="Bibliography"/>
      </w:pPr>
      <w:r>
        <w:t xml:space="preserve">21.</w:t>
      </w:r>
      <w:r>
        <w:t xml:space="preserve"> </w:t>
      </w:r>
      <w:r>
        <w:t xml:space="preserve">	</w:t>
      </w:r>
      <w:r>
        <w:t xml:space="preserve">Fantuzzi G, Faggioni R. Leptin in the regulation of immunity, inflammation, and hematopoiesis.</w:t>
      </w:r>
      <w:r>
        <w:t xml:space="preserve"> </w:t>
      </w:r>
      <w:r>
        <w:rPr>
          <w:i/>
          <w:iCs/>
        </w:rPr>
        <w:t xml:space="preserve">Journal of leukocyte biology</w:t>
      </w:r>
      <w:r>
        <w:t xml:space="preserve">. 2000;68(4):437–446.</w:t>
      </w:r>
      <w:r>
        <w:t xml:space="preserve"> </w:t>
      </w:r>
    </w:p>
    <w:bookmarkEnd w:id="78"/>
    <w:bookmarkStart w:id="79" w:name="ref-Wigger2022"/>
    <w:p>
      <w:pPr>
        <w:pStyle w:val="Bibliography"/>
      </w:pPr>
      <w:r>
        <w:t xml:space="preserve">22.</w:t>
      </w:r>
      <w:r>
        <w:t xml:space="preserve"> </w:t>
      </w:r>
      <w:r>
        <w:t xml:space="preserve">	</w:t>
      </w:r>
      <w:r>
        <w:t xml:space="preserve">Wigger GW, Bouton TC, Jacobson KR, et al. The impact of alcohol use disorder on tuberculosis: A review of the epidemiology and potential immunologic mechanisms.</w:t>
      </w:r>
      <w:r>
        <w:t xml:space="preserve"> </w:t>
      </w:r>
      <w:r>
        <w:rPr>
          <w:i/>
          <w:iCs/>
        </w:rPr>
        <w:t xml:space="preserve">Frontiers in immunology</w:t>
      </w:r>
      <w:r>
        <w:t xml:space="preserve">. 2022;13:864817.</w:t>
      </w:r>
      <w:r>
        <w:t xml:space="preserve"> </w:t>
      </w:r>
    </w:p>
    <w:bookmarkEnd w:id="79"/>
    <w:bookmarkStart w:id="80" w:name="ref-Soh2017"/>
    <w:p>
      <w:pPr>
        <w:pStyle w:val="Bibliography"/>
      </w:pPr>
      <w:r>
        <w:t xml:space="preserve">23.</w:t>
      </w:r>
      <w:r>
        <w:t xml:space="preserve"> </w:t>
      </w:r>
      <w:r>
        <w:t xml:space="preserve">	</w:t>
      </w:r>
      <w:r>
        <w:t xml:space="preserve">Soh AZ, Chee CBE, Wang Y-T, et al. Alcohol drinking and cigarette smoking in relation to risk of active tuberculosis: Prospective cohort study.</w:t>
      </w:r>
      <w:r>
        <w:t xml:space="preserve"> </w:t>
      </w:r>
      <w:r>
        <w:rPr>
          <w:i/>
          <w:iCs/>
        </w:rPr>
        <w:t xml:space="preserve">BMJ open respiratory research</w:t>
      </w:r>
      <w:r>
        <w:t xml:space="preserve">. 2017;4(1).</w:t>
      </w:r>
      <w:r>
        <w:t xml:space="preserve"> </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2025-03-15T21:04:17Z</dcterms:created>
  <dcterms:modified xsi:type="dcterms:W3CDTF">2025-03-15T21:04:17Z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