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5C"/>
          <w:sz w:val="36"/>
        </w:rPr>
        <w:t>VARCHEK — Technical Pipeline Proposal</w:t>
      </w:r>
    </w:p>
    <w:p>
      <w:pPr>
        <w:jc w:val="center"/>
      </w:pPr>
      <w:r>
        <w:rPr>
          <w:color w:val="666666"/>
          <w:sz w:val="19"/>
        </w:rPr>
        <w:t>DataMED Lab  ×  Maccabi Healthcare Services  |  Tel Aviv University  |  Draft v0.2  |  March 2026</w:t>
      </w:r>
    </w:p>
    <w:p/>
    <w:p>
      <w:pPr>
        <w:pStyle w:val="Heading1"/>
      </w:pPr>
      <w:r>
        <w:rPr>
          <w:color w:val="1A3A5C"/>
          <w:sz w:val="26"/>
        </w:rPr>
        <w:t>1. Project Overview</w:t>
      </w:r>
    </w:p>
    <w:p>
      <w:r>
        <w:rPr>
          <w:sz w:val="22"/>
        </w:rPr>
        <w:t>VARCHEK is a semi-automated variant interpretation support tool for clinical geneticists. Given a genetic variant and patient phenotype, the system normalizes the variant, aggregates evidence from public genomic databases, applies ACMG/AMP classification rules, and generates a structured evidence dossier with a preliminary classification. The system is designed as a decision-support tool — not a fully autonomous classifier — with explicit human review checkpoints at critical stages.</w:t>
      </w:r>
    </w:p>
    <w:p>
      <w:pPr>
        <w:pStyle w:val="Heading1"/>
      </w:pPr>
      <w:r>
        <w:rPr>
          <w:color w:val="1A3A5C"/>
          <w:sz w:val="26"/>
        </w:rPr>
        <w:t>2. System Architecture — Runtime Pipeline</w:t>
      </w:r>
    </w:p>
    <w:p>
      <w:r>
        <w:rPr>
          <w:sz w:val="21"/>
        </w:rPr>
        <w:t>When a clinician submits a query, the following pipeline executes:</w:t>
      </w:r>
    </w:p>
    <w:p/>
    <w:p>
      <w:pPr>
        <w:pStyle w:val="ListNumber"/>
      </w:pPr>
      <w:r>
        <w:rPr>
          <w:b/>
          <w:color w:val="1A3A5C"/>
          <w:sz w:val="21"/>
        </w:rPr>
        <w:t xml:space="preserve">Stage 1 — Input &amp; Normalization: </w:t>
      </w:r>
      <w:r>
        <w:rPr>
          <w:sz w:val="21"/>
        </w:rPr>
        <w:t>Clinician enters variant (HGVS / rsID / genomic coordinates) + patient phenotype (free text or HPO terms). System resolves the variant to a canonical representation via VariantValidator and Ensembl Variant Recoder. Clinician confirms the parsed variant before proceeding.  [Human checkpoint #1]</w:t>
      </w:r>
    </w:p>
    <w:p>
      <w:pPr>
        <w:pStyle w:val="ListNumber"/>
      </w:pPr>
      <w:r>
        <w:rPr>
          <w:b/>
          <w:color w:val="1A3A5C"/>
          <w:sz w:val="21"/>
        </w:rPr>
        <w:t xml:space="preserve">Stage 2 — Evidence Aggregation: </w:t>
      </w:r>
      <w:r>
        <w:rPr>
          <w:sz w:val="21"/>
        </w:rPr>
        <w:t>Parallel API calls retrieve structured evidence across all relevant databases. For literature, LitVar2 + PubMed E-utilities retrieve variant-specific publications; an LLM extracts structured evidence from abstracts (case reports, functional studies). All retrieved data is stored with source, date, and version for full auditability.</w:t>
      </w:r>
    </w:p>
    <w:p>
      <w:pPr>
        <w:pStyle w:val="ListNumber"/>
      </w:pPr>
      <w:r>
        <w:rPr>
          <w:b/>
          <w:color w:val="1A3A5C"/>
          <w:sz w:val="21"/>
        </w:rPr>
        <w:t xml:space="preserve">Stage 3 — ACMG/AMP Classification: </w:t>
      </w:r>
      <w:r>
        <w:rPr>
          <w:sz w:val="21"/>
        </w:rPr>
        <w:t>A deterministic rule engine applies ACMG/AMP criteria to the aggregated evidence. Criteria with unambiguous data (population frequency, in-silico scores, variant type) are applied automatically. Criteria requiring clinical judgement (segregation, de novo, functional study quality) are flagged for manual review.  [Human checkpoint #2]</w:t>
      </w:r>
    </w:p>
    <w:p>
      <w:pPr>
        <w:pStyle w:val="ListNumber"/>
      </w:pPr>
      <w:r>
        <w:rPr>
          <w:b/>
          <w:color w:val="1A3A5C"/>
          <w:sz w:val="21"/>
        </w:rPr>
        <w:t xml:space="preserve">Stage 4 — Clinical Output: </w:t>
      </w:r>
      <w:r>
        <w:rPr>
          <w:sz w:val="21"/>
        </w:rPr>
        <w:t>System generates: (a) a structured evidence dossier for the variant scientist, and (b) a clinician-friendly summary with the preliminary classification, a list of auto-verified vs. manually-required criteria, and phenotype concordance assessment.  [Human checkpoint #3]  Full session is saved as a versioned, auditable case.</w:t>
      </w:r>
    </w:p>
    <w:p/>
    <w:p>
      <w:pPr>
        <w:pStyle w:val="Heading1"/>
      </w:pPr>
      <w:r>
        <w:rPr>
          <w:color w:val="1A3A5C"/>
          <w:sz w:val="26"/>
        </w:rPr>
        <w:t>3. ACMG Criteria — Automation Scope</w:t>
      </w:r>
    </w:p>
    <w:p>
      <w:r>
        <w:rPr>
          <w:sz w:val="21"/>
        </w:rPr>
        <w:t>Example for BRCA1 c.5266dupC: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Data source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PVS1 — Loss of function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Automated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Ensembl VEP (frameshift)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PM2 — Absent from gnomAD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Automated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gnomAD v4.1 API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PP3 — In-silico evidence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Automated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myvariant.info (REVEL, CADD, SpliceAI)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PS3 — Functional studies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⚠️ LLM-assisted + manual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LitVar2 → PubMed abstracts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PP1 — Segregation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Manual only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Requires family data from clinician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PS2 — De novo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Manual only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Requires parental testing</w:t>
            </w:r>
          </w:p>
        </w:tc>
      </w:tr>
    </w:tbl>
    <w:p/>
    <w:p>
      <w:pPr>
        <w:pStyle w:val="Heading1"/>
      </w:pPr>
      <w:r>
        <w:rPr>
          <w:color w:val="1A3A5C"/>
          <w:sz w:val="26"/>
        </w:rPr>
        <w:t>4. MVP Data Sources</w:t>
      </w:r>
    </w:p>
    <w:p>
      <w:r>
        <w:rPr>
          <w:sz w:val="21"/>
        </w:rPr>
        <w:t>Prioritized free-first stack (per Prof. Basel-Salmon recommendations):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928"/>
          </w:tcPr>
          <w:p>
            <w:r>
              <w:rPr>
                <w:b/>
                <w:sz w:val="20"/>
              </w:rPr>
              <w:t>Access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VariantValidator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Variant normalization (HGVS canonicalization)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 API — free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gnomAD v4.1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Population allele frequency, constraint scores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GraphQL API — free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ClinVar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Existing classifications, submitter conflicts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NCBI API — free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ClinGen + GenCC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Gene-disease validity, inheritance mode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 API — free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Ensembl VEP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Variant consequence, transcript, NMD prediction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 API — free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myvariant.info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Aggregated scores: REVEL, CADD, SpliceAI, BayesDel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 API — free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PubMed + LitVar2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Variant-specific literature, case reports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NCBI E-utilities — free</w:t>
            </w:r>
          </w:p>
        </w:tc>
      </w:tr>
      <w:tr>
        <w:tc>
          <w:tcPr>
            <w:tcW w:type="dxa" w:w="2928"/>
          </w:tcPr>
          <w:p>
            <w:r>
              <w:rPr>
                <w:b/>
                <w:sz w:val="20"/>
              </w:rPr>
              <w:t>HPO + Monarch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Phenotype standardization, gene-phenotype matching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REST API — free</w:t>
            </w:r>
          </w:p>
        </w:tc>
      </w:tr>
    </w:tbl>
    <w:p/>
    <w:p>
      <w:pPr>
        <w:pStyle w:val="Heading1"/>
      </w:pPr>
      <w:r>
        <w:rPr>
          <w:color w:val="1A3A5C"/>
          <w:sz w:val="26"/>
        </w:rPr>
        <w:t>5. Development Plan — Modules</w:t>
      </w:r>
    </w:p>
    <w:p>
      <w:r>
        <w:rPr>
          <w:sz w:val="21"/>
        </w:rPr>
        <w:t>The system will be built as five independent Python modules:</w:t>
      </w:r>
    </w:p>
    <w:p>
      <w:pPr>
        <w:pStyle w:val="ListBullet"/>
      </w:pPr>
      <w:r>
        <w:rPr>
          <w:b/>
          <w:sz w:val="21"/>
        </w:rPr>
        <w:t xml:space="preserve">Core data layer: </w:t>
      </w:r>
      <w:r>
        <w:rPr>
          <w:sz w:val="21"/>
        </w:rPr>
        <w:t>Variant normalization + API connectors for all data sources</w:t>
      </w:r>
    </w:p>
    <w:p>
      <w:pPr>
        <w:pStyle w:val="ListBullet"/>
      </w:pPr>
      <w:r>
        <w:rPr>
          <w:b/>
          <w:sz w:val="21"/>
        </w:rPr>
        <w:t xml:space="preserve">Evidence layer: </w:t>
      </w:r>
      <w:r>
        <w:rPr>
          <w:sz w:val="21"/>
        </w:rPr>
        <w:t>Structured aggregation of population, gene-disease, assertions, literature, and phenotype data</w:t>
      </w:r>
    </w:p>
    <w:p>
      <w:pPr>
        <w:pStyle w:val="ListBullet"/>
      </w:pPr>
      <w:r>
        <w:rPr>
          <w:b/>
          <w:sz w:val="21"/>
        </w:rPr>
        <w:t xml:space="preserve">Rules layer: </w:t>
      </w:r>
      <w:r>
        <w:rPr>
          <w:sz w:val="21"/>
        </w:rPr>
        <w:t>ACMG/AMP engine with per-criterion provenance and manual-review flags</w:t>
      </w:r>
    </w:p>
    <w:p>
      <w:pPr>
        <w:pStyle w:val="ListBullet"/>
      </w:pPr>
      <w:r>
        <w:rPr>
          <w:b/>
          <w:sz w:val="21"/>
        </w:rPr>
        <w:t xml:space="preserve">Review layer: </w:t>
      </w:r>
      <w:r>
        <w:rPr>
          <w:sz w:val="21"/>
        </w:rPr>
        <w:t>Human checkpoints, override logging, comparison with prior lab reports</w:t>
      </w:r>
    </w:p>
    <w:p>
      <w:pPr>
        <w:pStyle w:val="ListBullet"/>
      </w:pPr>
      <w:r>
        <w:rPr>
          <w:b/>
          <w:sz w:val="21"/>
        </w:rPr>
        <w:t xml:space="preserve">Persistence layer: </w:t>
      </w:r>
      <w:r>
        <w:rPr>
          <w:sz w:val="21"/>
        </w:rPr>
        <w:t>Versioned, auditable case storage with evidence snapshots</w:t>
      </w:r>
    </w:p>
    <w:p/>
    <w:p>
      <w:pPr>
        <w:pStyle w:val="Heading1"/>
      </w:pPr>
      <w:r>
        <w:rPr>
          <w:color w:val="1A3A5C"/>
          <w:sz w:val="26"/>
        </w:rPr>
        <w:t>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Language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Python 3.11+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API calls &amp; data processing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requests, pandas, numpy, biopython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LLM (literature extraction + report)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Anthropic Claude API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Database (structured evidence)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SQLite (MVP) → PostgreSQL (production)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Classification rules engine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 Python — deterministic, no ML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Variant normalization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VariantValidator API + Ensembl Variant Recoder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UI — Phase 2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Streamlit or Gradio (TBD)</w:t>
            </w:r>
          </w:p>
        </w:tc>
      </w:tr>
    </w:tbl>
    <w:p/>
    <w:p>
      <w:pPr>
        <w:pStyle w:val="Heading1"/>
      </w:pPr>
      <w:r>
        <w:rPr>
          <w:color w:val="1A3A5C"/>
          <w:sz w:val="26"/>
        </w:rPr>
        <w:t>7. Validation Plan</w:t>
      </w:r>
    </w:p>
    <w:p>
      <w:r>
        <w:rPr>
          <w:sz w:val="22"/>
        </w:rPr>
        <w:t>Two real clinical variants provided by Prof. Basel-Salmon will serve as ground-truth test cases:</w:t>
      </w:r>
    </w:p>
    <w:p>
      <w:pPr>
        <w:pStyle w:val="ListBullet"/>
      </w:pPr>
      <w:r>
        <w:rPr>
          <w:b/>
          <w:sz w:val="21"/>
        </w:rPr>
        <w:t xml:space="preserve">Variant 1: </w:t>
      </w:r>
      <w:r>
        <w:rPr>
          <w:sz w:val="21"/>
        </w:rPr>
        <w:t>CDH1 c.1008G&gt;T (p.E336D) — hereditary diffuse gastric cancer. Known data: absent from gnomAD, SpliceAI 0.91, 2 probands with disease.</w:t>
      </w:r>
    </w:p>
    <w:p>
      <w:pPr>
        <w:pStyle w:val="ListBullet"/>
      </w:pPr>
      <w:r>
        <w:rPr>
          <w:b/>
          <w:sz w:val="21"/>
        </w:rPr>
        <w:t xml:space="preserve">Variant 2: </w:t>
      </w:r>
      <w:r>
        <w:rPr>
          <w:sz w:val="21"/>
        </w:rPr>
        <w:t>USH2A c.4338_4339del (p.Cys1447GlnfsX29) — Usher syndrome. Known data: 1/250,692 gnomAD alleles, confirmed in trans with second variant.</w:t>
      </w:r>
    </w:p>
    <w:p/>
    <w:p>
      <w:r>
        <w:rPr>
          <w:sz w:val="21"/>
        </w:rPr>
        <w:t>The pipeline will be run against each test case and output compared with the expected ACMG classification. Criterion-level agreement will be measured to identify gaps in automation coverage.</w:t>
      </w:r>
    </w:p>
    <w:p>
      <w:pPr>
        <w:pStyle w:val="Heading1"/>
      </w:pPr>
      <w:r>
        <w:rPr>
          <w:color w:val="1A3A5C"/>
          <w:sz w:val="26"/>
        </w:rPr>
        <w:t>8. Next Steps</w:t>
      </w:r>
    </w:p>
    <w:p>
      <w:pPr>
        <w:pStyle w:val="ListNumber"/>
      </w:pPr>
      <w:r>
        <w:rPr>
          <w:sz w:val="21"/>
        </w:rPr>
        <w:t>Implement and test all API connectors (Core data layer) — one variant end-to-end</w:t>
      </w:r>
    </w:p>
    <w:p>
      <w:pPr>
        <w:pStyle w:val="ListNumber"/>
      </w:pPr>
      <w:r>
        <w:rPr>
          <w:sz w:val="21"/>
        </w:rPr>
        <w:t>Build variant normalization module (VariantValidator integration)</w:t>
      </w:r>
    </w:p>
    <w:p>
      <w:pPr>
        <w:pStyle w:val="ListNumber"/>
      </w:pPr>
      <w:r>
        <w:rPr>
          <w:sz w:val="21"/>
        </w:rPr>
        <w:t>Implement ACMG rule engine with first set of automatable criteria</w:t>
      </w:r>
    </w:p>
    <w:p>
      <w:pPr>
        <w:pStyle w:val="ListNumber"/>
      </w:pPr>
      <w:r>
        <w:rPr>
          <w:sz w:val="21"/>
        </w:rPr>
        <w:t>Validate against CDH1 and USH2A test cases</w:t>
      </w:r>
    </w:p>
    <w:p>
      <w:pPr>
        <w:pStyle w:val="ListNumber"/>
      </w:pPr>
      <w:r>
        <w:rPr>
          <w:sz w:val="21"/>
        </w:rPr>
        <w:t>Iterate based on feedback from Prof. Basel-Salmon and Prof. Saban</w:t>
      </w:r>
    </w:p>
    <w:p/>
    <w:p>
      <w:pPr>
        <w:jc w:val="center"/>
      </w:pPr>
      <w:r>
        <w:rPr>
          <w:color w:val="888888"/>
          <w:sz w:val="17"/>
        </w:rPr>
        <w:t>Draft v0.2  |  March 2026  |  Kirill Perevalov  |  DataMED Lab, Tel Aviv University</w:t>
        <w:br/>
        <w:t>Based on project specification: VARCHEK (Prof. Lina Basel-Salmon, Maccabi Healthcare Services)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