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4523B"/>
          <w:sz w:val="22"/>
        </w:rPr>
        <w:t>BALAJI PROVISION STORE</w:t>
      </w:r>
    </w:p>
    <w:p>
      <w:pPr>
        <w:pStyle w:val="Title"/>
        <w:jc w:val="center"/>
      </w:pPr>
      <w:r>
        <w:t>Deployment, Security &amp; Operations Runbook</w:t>
      </w:r>
    </w:p>
    <w:p>
      <w:pPr>
        <w:jc w:val="center"/>
      </w:pPr>
      <w:r>
        <w:rPr>
          <w:i/>
          <w:color w:val="5A5A5A"/>
          <w:sz w:val="20"/>
        </w:rPr>
        <w:t>From local development to a controlled pilot and production</w:t>
      </w:r>
    </w:p>
    <w:p>
      <w:r>
        <w:t>Project: Balaji Provision Store — Hyperlocal Grocery Ordering Platform | Contact supplied: 9837803293 | Version 1.0 | 13 October 2026</w:t>
      </w:r>
    </w:p>
    <w:p>
      <w:r>
        <w:t>Status: Draft baseline — owner decisions and professional review required before production.</w:t>
      </w:r>
    </w:p>
    <w:p>
      <w:pPr>
        <w:pStyle w:val="Heading1"/>
      </w:pPr>
      <w:r>
        <w:t>Document control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Owner</w:t>
            </w:r>
          </w:p>
        </w:tc>
        <w:tc>
          <w:tcPr>
            <w:tcW w:type="dxa" w:w="4968"/>
          </w:tcPr>
          <w:p>
            <w:r>
              <w:t>Balaji Provision Store</w:t>
            </w:r>
          </w:p>
        </w:tc>
      </w:tr>
      <w:tr>
        <w:tc>
          <w:tcPr>
            <w:tcW w:type="dxa" w:w="4968"/>
          </w:tcPr>
          <w:p>
            <w:r>
              <w:t>Purpose</w:t>
            </w:r>
          </w:p>
        </w:tc>
        <w:tc>
          <w:tcPr>
            <w:tcW w:type="dxa" w:w="4968"/>
          </w:tcPr>
          <w:p>
            <w:r>
              <w:t>AI-assisted planning and implementation</w:t>
            </w:r>
          </w:p>
        </w:tc>
      </w:tr>
      <w:tr>
        <w:tc>
          <w:tcPr>
            <w:tcW w:type="dxa" w:w="4968"/>
          </w:tcPr>
          <w:p>
            <w:r>
              <w:t>Version</w:t>
            </w:r>
          </w:p>
        </w:tc>
        <w:tc>
          <w:tcPr>
            <w:tcW w:type="dxa" w:w="4968"/>
          </w:tcPr>
          <w:p>
            <w:r>
              <w:t>1.0</w:t>
            </w:r>
          </w:p>
        </w:tc>
      </w:tr>
      <w:tr>
        <w:tc>
          <w:tcPr>
            <w:tcW w:type="dxa" w:w="4968"/>
          </w:tcPr>
          <w:p>
            <w:r>
              <w:t>Change control</w:t>
            </w:r>
          </w:p>
        </w:tc>
        <w:tc>
          <w:tcPr>
            <w:tcW w:type="dxa" w:w="4968"/>
          </w:tcPr>
          <w:p>
            <w:r>
              <w:t>Update this document and related tests when approved requirements change</w:t>
            </w:r>
          </w:p>
        </w:tc>
      </w:tr>
    </w:tbl>
    <w:p>
      <w:pPr>
        <w:pStyle w:val="Heading1"/>
      </w:pPr>
      <w:r>
        <w:t>1. Environments</w:t>
      </w:r>
    </w:p>
    <w:p>
      <w:pPr>
        <w:pStyle w:val="ListBullet"/>
      </w:pPr>
      <w:r>
        <w:t>Local development: synthetic seed data, local .env file, no production credentials.</w:t>
      </w:r>
    </w:p>
    <w:p>
      <w:pPr>
        <w:pStyle w:val="ListBullet"/>
      </w:pPr>
      <w:r>
        <w:t>Test/staging: separate database/project and sandbox integrations; safe to reset only after confirming environment.</w:t>
      </w:r>
    </w:p>
    <w:p>
      <w:pPr>
        <w:pStyle w:val="ListBullet"/>
      </w:pPr>
      <w:r>
        <w:t>Production: restricted access, strong secrets, backups, monitoring, and deliberate migration/release process.</w:t>
      </w:r>
    </w:p>
    <w:p>
      <w:pPr>
        <w:pStyle w:val="Heading1"/>
      </w:pPr>
      <w:r>
        <w:t>2. Repository and configuration</w:t>
      </w:r>
    </w:p>
    <w:p>
      <w:pPr>
        <w:pStyle w:val="ListBullet"/>
      </w:pPr>
      <w:r>
        <w:t>Commit .env.example with variable names and descriptions only; never commit .env.local, provider secrets, service-role keys, or customer exports.</w:t>
      </w:r>
    </w:p>
    <w:p>
      <w:pPr>
        <w:pStyle w:val="ListBullet"/>
      </w:pPr>
      <w:r>
        <w:t>Pin and review dependencies; enable lint/type checks and automated tests.</w:t>
      </w:r>
    </w:p>
    <w:p>
      <w:pPr>
        <w:pStyle w:val="ListBullet"/>
      </w:pPr>
      <w:r>
        <w:t>Use database migrations as the source of truth. Review destructive migrations and prepare a recovery plan.</w:t>
      </w:r>
    </w:p>
    <w:p>
      <w:pPr>
        <w:pStyle w:val="ListBullet"/>
      </w:pPr>
      <w:r>
        <w:t>Protect main branch and require human review for auth, database policy, payment, and production deployment changes.</w:t>
      </w:r>
    </w:p>
    <w:p>
      <w:pPr>
        <w:pStyle w:val="Heading1"/>
      </w:pPr>
      <w:r>
        <w:t>3. Security checklist</w:t>
      </w:r>
    </w:p>
    <w:p>
      <w:pPr>
        <w:pStyle w:val="ListBullet"/>
      </w:pPr>
      <w:r>
        <w:t>Admin access granted only by an existing authorized admin; no public role escalation.</w:t>
      </w:r>
    </w:p>
    <w:p>
      <w:pPr>
        <w:pStyle w:val="ListBullet"/>
      </w:pPr>
      <w:r>
        <w:t>Every privileged API checks session and role on the server.</w:t>
      </w:r>
    </w:p>
    <w:p>
      <w:pPr>
        <w:pStyle w:val="ListBullet"/>
      </w:pPr>
      <w:r>
        <w:t>RLS enabled and tested on exposed tables; test customer-to-customer isolation.</w:t>
      </w:r>
    </w:p>
    <w:p>
      <w:pPr>
        <w:pStyle w:val="ListBullet"/>
      </w:pPr>
      <w:r>
        <w:t>Service-role and payment keys server-only; rotate any leaked secret immediately.</w:t>
      </w:r>
    </w:p>
    <w:p>
      <w:pPr>
        <w:pStyle w:val="ListBullet"/>
      </w:pPr>
      <w:r>
        <w:t>Server validates prices, stock, address, delivery-charge threshold, payment state, and status transitions.</w:t>
      </w:r>
    </w:p>
    <w:p>
      <w:pPr>
        <w:pStyle w:val="ListBullet"/>
      </w:pPr>
      <w:r>
        <w:t>Use secure transport, safe cookies/session handling, rate limits, safe error messages, dependency updates, and audit logs.</w:t>
      </w:r>
    </w:p>
    <w:p>
      <w:pPr>
        <w:pStyle w:val="ListBullet"/>
      </w:pPr>
      <w:r>
        <w:t>Define customer-data retention, deletion/support procedure, privacy notice, and staff access policy.</w:t>
      </w:r>
    </w:p>
    <w:p>
      <w:pPr>
        <w:pStyle w:val="ListBullet"/>
      </w:pPr>
      <w:r>
        <w:t>Review Indian legal/tax/consumer obligations with qualified professionals before public launch.</w:t>
      </w:r>
    </w:p>
    <w:p>
      <w:pPr>
        <w:pStyle w:val="Heading1"/>
      </w:pPr>
      <w:r>
        <w:t>4. Deployment sequence</w:t>
      </w:r>
    </w:p>
    <w:p>
      <w:pPr>
        <w:pStyle w:val="ListBullet"/>
      </w:pPr>
      <w:r>
        <w:t>1. Create repository and staging/production projects.</w:t>
      </w:r>
    </w:p>
    <w:p>
      <w:pPr>
        <w:pStyle w:val="ListBullet"/>
      </w:pPr>
      <w:r>
        <w:t>2. Configure environment variables through hosting provider's secret manager.</w:t>
      </w:r>
    </w:p>
    <w:p>
      <w:pPr>
        <w:pStyle w:val="ListBullet"/>
      </w:pPr>
      <w:r>
        <w:t>3. Apply reviewed database migrations to staging.</w:t>
      </w:r>
    </w:p>
    <w:p>
      <w:pPr>
        <w:pStyle w:val="ListBullet"/>
      </w:pPr>
      <w:r>
        <w:t>4. Run seed/test data and automated tests.</w:t>
      </w:r>
    </w:p>
    <w:p>
      <w:pPr>
        <w:pStyle w:val="ListBullet"/>
      </w:pPr>
      <w:r>
        <w:t>5. Perform UAT and security checklist.</w:t>
      </w:r>
    </w:p>
    <w:p>
      <w:pPr>
        <w:pStyle w:val="ListBullet"/>
      </w:pPr>
      <w:r>
        <w:t>6. Back up production before schema-changing release.</w:t>
      </w:r>
    </w:p>
    <w:p>
      <w:pPr>
        <w:pStyle w:val="ListBullet"/>
      </w:pPr>
      <w:r>
        <w:t>7. Apply migration and deploy application in a controlled window.</w:t>
      </w:r>
    </w:p>
    <w:p>
      <w:pPr>
        <w:pStyle w:val="ListBullet"/>
      </w:pPr>
      <w:r>
        <w:t>8. Run smoke tests: login, catalogue, checkout rule, order queue, status update, and customer order history.</w:t>
      </w:r>
    </w:p>
    <w:p>
      <w:pPr>
        <w:pStyle w:val="ListBullet"/>
      </w:pPr>
      <w:r>
        <w:t>9. Monitor errors, checkout success, database health, and support calls.</w:t>
      </w:r>
    </w:p>
    <w:p>
      <w:pPr>
        <w:pStyle w:val="ListBullet"/>
      </w:pPr>
      <w:r>
        <w:t>10. Roll back application or execute documented recovery if critical defects appear.</w:t>
      </w:r>
    </w:p>
    <w:p>
      <w:pPr>
        <w:pStyle w:val="Heading1"/>
      </w:pPr>
      <w:r>
        <w:t>5. Backup and recovery</w:t>
      </w:r>
    </w:p>
    <w:p>
      <w:pPr>
        <w:pStyle w:val="ListBullet"/>
      </w:pPr>
      <w:r>
        <w:t>Enable database backups appropriate to the selected plan. Document retention, access, and recovery objectives.</w:t>
      </w:r>
    </w:p>
    <w:p>
      <w:pPr>
        <w:pStyle w:val="ListBullet"/>
      </w:pPr>
      <w:r>
        <w:t>Perform a restore drill before launch and periodically thereafter. A backup that has never been restored is not a proven recovery plan.</w:t>
      </w:r>
    </w:p>
    <w:p>
      <w:pPr>
        <w:pStyle w:val="ListBullet"/>
      </w:pPr>
      <w:r>
        <w:t>Back up or version product images and important configuration where the platform does not do so automatically.</w:t>
      </w:r>
    </w:p>
    <w:p>
      <w:pPr>
        <w:pStyle w:val="ListBullet"/>
      </w:pPr>
      <w:r>
        <w:t>Document who can restore, how to verify restored orders/inventory, and how to handle orders received during downtime.</w:t>
      </w:r>
    </w:p>
    <w:p>
      <w:pPr>
        <w:pStyle w:val="Heading1"/>
      </w:pPr>
      <w:r>
        <w:t>6. Monitoring and incident response</w:t>
      </w:r>
    </w:p>
    <w:p>
      <w:pPr>
        <w:pStyle w:val="ListBullet"/>
      </w:pPr>
      <w:r>
        <w:t>Monitor application errors, failed checkout, database connectivity, payment webhook failures (if enabled), unusual admin activity, and notification failures.</w:t>
      </w:r>
    </w:p>
    <w:p>
      <w:pPr>
        <w:pStyle w:val="ListBullet"/>
      </w:pPr>
      <w:r>
        <w:t>Use request IDs to connect frontend errors, API logs, and order events without logging sensitive data.</w:t>
      </w:r>
    </w:p>
    <w:p>
      <w:pPr>
        <w:pStyle w:val="ListBullet"/>
      </w:pPr>
      <w:r>
        <w:t>Incident severity: critical = unauthorized access/data loss/incorrect payment or widespread checkout failure; high = order placement or stock integrity broken; medium = degraded feature; low = cosmetic issue.</w:t>
      </w:r>
    </w:p>
    <w:p>
      <w:pPr>
        <w:pStyle w:val="ListBullet"/>
      </w:pPr>
      <w:r>
        <w:t>Response: pause ordering if order/stock integrity is uncertain; preserve logs; restrict compromised credentials; notify owner; fix and test; reconcile affected orders manually; document root cause and prevention.</w:t>
      </w:r>
    </w:p>
    <w:p>
      <w:pPr>
        <w:pStyle w:val="Heading1"/>
      </w:pPr>
      <w:r>
        <w:t>7. Manual fallback</w:t>
      </w:r>
    </w:p>
    <w:p>
      <w:pPr>
        <w:pStyle w:val="ListBullet"/>
      </w:pPr>
      <w:r>
        <w:t>Keep a visible store contact method and an operational process for taking orders by phone when the platform is down.</w:t>
      </w:r>
    </w:p>
    <w:p>
      <w:pPr>
        <w:pStyle w:val="ListBullet"/>
      </w:pPr>
      <w:r>
        <w:t>Maintain a daily reconciliation checklist for online orders, cash collected, refunds, and stock adjustments.</w:t>
      </w:r>
    </w:p>
    <w:p>
      <w:pPr>
        <w:pStyle w:val="ListBullet"/>
      </w:pPr>
      <w:r>
        <w:t>Never ask customers to send card details, OTPs, or passwords over chat/phone.</w:t>
      </w:r>
    </w:p>
    <w:p>
      <w:pPr>
        <w:pStyle w:val="Heading1"/>
      </w:pPr>
      <w:r>
        <w:t>8. Production smoke checklist</w:t>
      </w:r>
    </w:p>
    <w:p>
      <w:pPr>
        <w:pStyle w:val="ListBullet"/>
      </w:pPr>
      <w:r>
        <w:t>HTTPS and custom domain work.</w:t>
      </w:r>
    </w:p>
    <w:p>
      <w:pPr>
        <w:pStyle w:val="ListBullet"/>
      </w:pPr>
      <w:r>
        <w:t>Customer cannot access admin routes.</w:t>
      </w:r>
    </w:p>
    <w:p>
      <w:pPr>
        <w:pStyle w:val="ListBullet"/>
      </w:pPr>
      <w:r>
        <w:t>Customer can only see own order data.</w:t>
      </w:r>
    </w:p>
    <w:p>
      <w:pPr>
        <w:pStyle w:val="ListBullet"/>
      </w:pPr>
      <w:r>
        <w:t>₹250 minimum is enforced by server.</w:t>
      </w:r>
    </w:p>
    <w:p>
      <w:pPr>
        <w:pStyle w:val="ListBullet"/>
      </w:pPr>
      <w:r>
        <w:t>Prices and totals match the server catalogue.</w:t>
      </w:r>
    </w:p>
    <w:p>
      <w:pPr>
        <w:pStyle w:val="ListBullet"/>
      </w:pPr>
      <w:r>
        <w:t>Duplicate submit does not duplicate orders.</w:t>
      </w:r>
    </w:p>
    <w:p>
      <w:pPr>
        <w:pStyle w:val="ListBullet"/>
      </w:pPr>
      <w:r>
        <w:t>Staff can accept/reject and update status.</w:t>
      </w:r>
    </w:p>
    <w:p>
      <w:pPr>
        <w:pStyle w:val="ListBullet"/>
      </w:pPr>
      <w:r>
        <w:t>Stock and cancellation behavior are correct.</w:t>
      </w:r>
    </w:p>
    <w:p>
      <w:pPr>
        <w:pStyle w:val="ListBullet"/>
      </w:pPr>
      <w:r>
        <w:t>Payment sandbox/production webhook is verified if enabled.</w:t>
      </w:r>
    </w:p>
    <w:p>
      <w:pPr>
        <w:pStyle w:val="ListBullet"/>
      </w:pPr>
      <w:r>
        <w:t>Backup restore and support fallback are documented.</w:t>
      </w:r>
    </w:p>
    <w:p>
      <w:r>
        <w:br w:type="page"/>
      </w:r>
    </w:p>
    <w:p>
      <w:pPr>
        <w:pStyle w:val="Heading1"/>
      </w:pPr>
      <w:r>
        <w:t>Owner-approved update — Version 1.1</w:t>
      </w:r>
    </w:p>
    <w:p>
      <w:r>
        <w:t>This update supersedes any conflicting baseline assumptions in this document. Approved choices are recorded below; unknowns remain open and must not be silently invented by an AI coding agent.</w:t>
      </w:r>
    </w:p>
    <w:p>
      <w:pPr>
        <w:pStyle w:val="ListBullet"/>
      </w:pPr>
      <w:r>
        <w:rPr>
          <w:b/>
        </w:rPr>
        <w:t xml:space="preserve">Service area: </w:t>
      </w:r>
      <w:r>
        <w:t>Local neighbourhood; exact neighbourhoods, PIN codes, and service boundary remain to be confirmed.</w:t>
      </w:r>
    </w:p>
    <w:p>
      <w:pPr>
        <w:pStyle w:val="ListBullet"/>
      </w:pPr>
      <w:r>
        <w:rPr>
          <w:b/>
        </w:rPr>
        <w:t xml:space="preserve">Customer platform: </w:t>
      </w:r>
      <w:r>
        <w:t>Native Android customer app plus a separate store management website. A shared backend serves both.</w:t>
      </w:r>
    </w:p>
    <w:p>
      <w:pPr>
        <w:pStyle w:val="ListBullet"/>
      </w:pPr>
      <w:r>
        <w:rPr>
          <w:b/>
        </w:rPr>
        <w:t xml:space="preserve">Payment: </w:t>
      </w:r>
      <w:r>
        <w:t>Cash on Delivery (COD) and online payments. Online payment provider, merchant onboarding, supported methods, webhook setup, and refund/reconciliation process remain open.</w:t>
      </w:r>
    </w:p>
    <w:p>
      <w:pPr>
        <w:pStyle w:val="ListBullet"/>
      </w:pPr>
      <w:r>
        <w:rPr>
          <w:b/>
        </w:rPr>
        <w:t xml:space="preserve">Delivery: </w:t>
      </w:r>
      <w:r>
        <w:t>A dedicated delivery person. Staffing capacity, working hours, delivery assignment workflow, and delivery fee/ETA remain open.</w:t>
      </w:r>
    </w:p>
    <w:p>
      <w:pPr>
        <w:pStyle w:val="ListBullet"/>
      </w:pPr>
      <w:r>
        <w:rPr>
          <w:b/>
        </w:rPr>
        <w:t xml:space="preserve">Catalogue setup: </w:t>
      </w:r>
      <w:r>
        <w:t>Products will initially be entered manually through the store dashboard. Bulk CSV import is not an MVP requirement.</w:t>
      </w:r>
    </w:p>
    <w:p>
      <w:pPr>
        <w:pStyle w:val="ListBullet"/>
      </w:pPr>
      <w:r>
        <w:rPr>
          <w:b/>
        </w:rPr>
        <w:t xml:space="preserve">Budget: </w:t>
      </w:r>
      <w:r>
        <w:t>Keep initial costs minimal. Prefer a modular monolith and managed services with free/low-cost tiers where appropriate; verify current limits, production suitability, and ongoing costs before launch.</w:t>
      </w:r>
    </w:p>
    <w:p>
      <w:pPr>
        <w:pStyle w:val="ListBullet"/>
      </w:pPr>
      <w:r>
        <w:rPr>
          <w:b/>
        </w:rPr>
        <w:t>Delivery-charge threshold: initial value ₹250, editable in the dashboard. Not a delivery-charge threshold; below-threshold orders are accepted with the configured delivery fee.</w:t>
      </w:r>
      <w:r/>
    </w:p>
    <w:p>
      <w:pPr>
        <w:pStyle w:val="ListBullet"/>
      </w:pPr>
      <w:r>
        <w:rPr>
          <w:b/>
        </w:rPr>
        <w:t xml:space="preserve">Store contact: </w:t>
      </w:r>
      <w:r>
        <w:t>9837803293.</w:t>
      </w:r>
    </w:p>
    <w:p>
      <w:pPr>
        <w:pStyle w:val="Heading2"/>
      </w:pPr>
      <w:r>
        <w:t>Implementation implications</w:t>
      </w:r>
    </w:p>
    <w:p>
      <w:pPr>
        <w:pStyle w:val="ListBullet"/>
      </w:pPr>
      <w:r>
        <w:t>Build a native Android customer application and a separately protected store-management website, backed by one shared backend and database.</w:t>
      </w:r>
    </w:p>
    <w:p>
      <w:pPr>
        <w:pStyle w:val="ListBullet"/>
      </w:pPr>
      <w:r>
        <w:t>Keep the MVP architecture simple and low-cost. Avoid microservices, expensive real-time maps, and unnecessary paid integrations until the pilot proves they are needed.</w:t>
      </w:r>
    </w:p>
    <w:p>
      <w:pPr>
        <w:pStyle w:val="ListBullet"/>
      </w:pPr>
      <w:r>
        <w:t>Implement manual product/category creation and editing in the admin website as the primary catalogue workflow.</w:t>
      </w:r>
    </w:p>
    <w:p>
      <w:pPr>
        <w:pStyle w:val="ListBullet"/>
      </w:pPr>
      <w:r>
        <w:t>Support COD and online payment, but online payment must remain gated until a provider is selected, merchant onboarding is complete, server-side webhook signature verification is implemented, duplicate events are idempotent, and refunds/reconciliation are tested in sandbox.</w:t>
      </w:r>
    </w:p>
    <w:p>
      <w:pPr>
        <w:pStyle w:val="ListBullet"/>
      </w:pPr>
      <w:r>
        <w:t>Include a dedicated-delivery-person workflow at MVP level: assign a delivery person to an order, show the assigned delivery details only to authorized staff, and allow status updates. A separate rider app is not approved by the owner yet; decide whether delivery updates happen through the admin website or a minimal mobile web view.</w:t>
      </w:r>
    </w:p>
    <w:p>
      <w:pPr>
        <w:pStyle w:val="ListBullet"/>
      </w:pPr>
      <w:r>
        <w:t>Keep the ₹250 delivery-charge threshold check on the server and test it at below-threshold, exact-threshold, and above-threshold values.</w:t>
      </w:r>
    </w:p>
    <w:p>
      <w:pPr>
        <w:pStyle w:val="ListBullet"/>
      </w:pPr>
      <w:r>
        <w:t>Do not promise 10-minute delivery. Configure an honest delivery window after neighbourhood boundaries, opening hours, rider capacity, and delivery fees are confirmed.</w:t>
      </w:r>
    </w:p>
    <w:p>
      <w:pPr>
        <w:pStyle w:val="ListBullet"/>
      </w:pPr>
      <w:r>
        <w:t>Before production, confirm privacy notice, terms, cancellation/refund policy, tax/invoice requirements, and applicable Indian legal obligations with qualified professionals.</w:t>
      </w:r>
    </w:p>
    <w:p>
      <w:pPr>
        <w:pStyle w:val="Heading2"/>
      </w:pPr>
      <w:r>
        <w:t>Remaining unknowns — owner follow-up required</w:t>
      </w:r>
    </w:p>
    <w:p>
      <w:pPr>
        <w:pStyle w:val="ListBullet"/>
      </w:pPr>
      <w:r>
        <w:t>Exact neighbourhoods/PIN codes and how serviceability will be validated.</w:t>
      </w:r>
    </w:p>
    <w:p>
      <w:pPr>
        <w:pStyle w:val="ListBullet"/>
      </w:pPr>
      <w:r>
        <w:t>Store opening hours, order cut-off times, holidays, and whether orders can be placed while the store is closed.</w:t>
      </w:r>
    </w:p>
    <w:p>
      <w:pPr>
        <w:pStyle w:val="ListBullet"/>
      </w:pPr>
      <w:r>
        <w:t>Delivery fee policy (free, flat, or zone-based), any free-delivery threshold, and minimum/maximum delivery distance.</w:t>
      </w:r>
    </w:p>
    <w:p>
      <w:pPr>
        <w:pStyle w:val="ListBullet"/>
      </w:pPr>
      <w:r>
        <w:t>Delivery person's working hours, capacity, assignment process, proof of delivery, cash collection/reconciliation, and backup coverage.</w:t>
      </w:r>
    </w:p>
    <w:p>
      <w:pPr>
        <w:pStyle w:val="ListBullet"/>
      </w:pPr>
      <w:r>
        <w:t>Delivery ETA promise and how delays are communicated.</w:t>
      </w:r>
    </w:p>
    <w:p>
      <w:pPr>
        <w:pStyle w:val="ListBullet"/>
      </w:pPr>
      <w:r>
        <w:t>Online payment provider and methods (UPI intent/collect, cards, net banking, wallets), merchant account, settlement, refunds, and provider fees.</w:t>
      </w:r>
    </w:p>
    <w:p>
      <w:pPr>
        <w:pStyle w:val="ListBullet"/>
      </w:pPr>
      <w:r>
        <w:t>Whether customers must register/login or may check out as guests; phone verification/OTP provider and cost.</w:t>
      </w:r>
    </w:p>
    <w:p>
      <w:pPr>
        <w:pStyle w:val="ListBullet"/>
      </w:pPr>
      <w:r>
        <w:t>Whether COD orders need phone confirmation and what happens after repeated failed deliveries.</w:t>
      </w:r>
    </w:p>
    <w:p>
      <w:pPr>
        <w:pStyle w:val="ListBullet"/>
      </w:pPr>
      <w:r>
        <w:t>Substitution policy when an item is out of stock; whether customer approval is required before dispatch.</w:t>
      </w:r>
    </w:p>
    <w:p>
      <w:pPr>
        <w:pStyle w:val="ListBullet"/>
      </w:pPr>
      <w:r>
        <w:t>Cancellation cutoff, refund timeline, partial refunds, and inventory restoration rules.</w:t>
      </w:r>
    </w:p>
    <w:p>
      <w:pPr>
        <w:pStyle w:val="ListBullet"/>
      </w:pPr>
      <w:r>
        <w:t>Product data fields, initial catalogue size, images, SKUs, units/pack sizes, stock counting process, and who updates stock.</w:t>
      </w:r>
    </w:p>
    <w:p>
      <w:pPr>
        <w:pStyle w:val="ListBullet"/>
      </w:pPr>
      <w:r>
        <w:t>Whether ₹250 eligibility is calculated before discounts, tax, and delivery fee; whether coupons are planned.</w:t>
      </w:r>
    </w:p>
    <w:p>
      <w:pPr>
        <w:pStyle w:val="ListBullet"/>
      </w:pPr>
      <w:r>
        <w:t>Android distribution method: Google Play release versus direct/internal APK during pilot; app signing and update ownership.</w:t>
      </w:r>
    </w:p>
    <w:p>
      <w:pPr>
        <w:pStyle w:val="ListBullet"/>
      </w:pPr>
      <w:r>
        <w:t>Monthly cost ceiling, domain choice, hosting/database plan, monitoring, SMS/WhatsApp/push budget, and support ownership.</w:t>
      </w:r>
    </w:p>
    <w:p>
      <w:pPr>
        <w:pStyle w:val="ListBullet"/>
      </w:pPr>
      <w:r>
        <w:t>Tax/GST applicability, invoice format, privacy/retention policy, terms of service, and consumer complaint process.</w:t>
      </w:r>
    </w:p>
    <w:p>
      <w:r>
        <w:br w:type="page"/>
      </w:r>
    </w:p>
    <w:p>
      <w:pPr>
        <w:pStyle w:val="Heading1"/>
      </w:pPr>
      <w:r>
        <w:t>Owner-requested dashboard capabilities — Version 1.2</w:t>
      </w:r>
    </w:p>
    <w:p>
      <w:r>
        <w:t>These requirements extend the Version 1.1 owner decisions. If an earlier section conflicts, this Version 1.2 update takes precedence.</w:t>
      </w:r>
    </w:p>
    <w:p>
      <w:pPr>
        <w:pStyle w:val="ListBullet"/>
      </w:pPr>
      <w:r>
        <w:rPr>
          <w:b/>
        </w:rPr>
        <w:t xml:space="preserve">Store manager configurable service area: </w:t>
      </w:r>
      <w:r>
        <w:t>An authorized manager can edit the delivery service area from the dashboard, including supported neighbourhoods/PIN codes or configured boundaries. Checkout must validate the customer's address against the latest active configuration on the server. Changes are audited and take effect predictably; do not rely only on a client-side map check.</w:t>
      </w:r>
    </w:p>
    <w:p>
      <w:pPr>
        <w:pStyle w:val="ListBullet"/>
      </w:pPr>
      <w:r>
        <w:rPr>
          <w:b/>
        </w:rPr>
        <w:t xml:space="preserve">Product and price management: </w:t>
      </w:r>
      <w:r>
        <w:t>An authorized manager can add, edit, deactivate, or mark products unavailable; change product names, category, description, unit/pack size, image, price, and stock. Server-side checkout uses current database prices. Existing orders retain immutable item/price snapshots.</w:t>
      </w:r>
    </w:p>
    <w:p>
      <w:pPr>
        <w:pStyle w:val="ListBullet"/>
      </w:pPr>
      <w:r>
        <w:rPr>
          <w:b/>
        </w:rPr>
        <w:t>Free-delivery threshold: An authorized manager can configure the minimum eligible merchandise subtotal for free delivery. Below the threshold, the configured delivery fee applies; at/above it, delivery fee is zero. The existing ₹250 delivery-charge threshold remains a separate rule unless the owner explicitly chooses otherwise. Both values are validated server-side and displayed clearly at cart/checkout.</w:t>
      </w:r>
      <w:r/>
    </w:p>
    <w:p>
      <w:pPr>
        <w:pStyle w:val="ListBullet"/>
      </w:pPr>
      <w:r>
        <w:rPr>
          <w:b/>
        </w:rPr>
        <w:t xml:space="preserve">Delivery-person accounts: </w:t>
      </w:r>
      <w:r>
        <w:t>A manager/admin can create delivery-person accounts with a unique user ID and temporary/initial credential or invitation flow, assign the delivery role, activate/deactivate the account, and reset access. Delivery persons must not be able to grant roles, manage products/prices, change service areas, view all customer records, or access unrelated orders.</w:t>
      </w:r>
    </w:p>
    <w:p>
      <w:pPr>
        <w:pStyle w:val="ListBullet"/>
      </w:pPr>
      <w:r>
        <w:rPr>
          <w:b/>
        </w:rPr>
        <w:t xml:space="preserve">Delivery assignment and limited access: </w:t>
      </w:r>
      <w:r>
        <w:t>Authorized staff can assign an order to an active delivery person. Delivery users see only assigned orders and only the customer contact/address and order details necessary to fulfil those orders. They can update only approved delivery statuses (for example picked up/out for delivery/delivered) and must not edit prices, payment records, or order items.</w:t>
      </w:r>
    </w:p>
    <w:p>
      <w:pPr>
        <w:pStyle w:val="ListBullet"/>
      </w:pPr>
      <w:r>
        <w:rPr>
          <w:b/>
        </w:rPr>
        <w:t>Audit and safety: Log actor, timestamp, entity, and relevant before/after values for changes to service area, prices, products, delivery-charge threshold, free-delivery threshold, delivery fee, delivery-user account status, assignments, and delivery status. Never log passwords, OTPs, access tokens, or payment secrets.</w:t>
      </w:r>
      <w:r/>
    </w:p>
    <w:p>
      <w:pPr>
        <w:pStyle w:val="Heading2"/>
      </w:pPr>
      <w:r>
        <w:t>Additional unknowns to confirm</w:t>
      </w:r>
    </w:p>
    <w:p>
      <w:pPr>
        <w:pStyle w:val="ListBullet"/>
      </w:pPr>
      <w:r>
        <w:t>Service-area editing method: postal codes/neighbourhood list, drawn map polygon, radius, or a combination; whether manager edits need immediate activation or scheduled effective time.</w:t>
      </w:r>
    </w:p>
    <w:p>
      <w:pPr>
        <w:pStyle w:val="ListBullet"/>
      </w:pPr>
      <w:r>
        <w:t>Free-delivery threshold amount and the delivery fee charged below it; confirm whether qualifying subtotal is calculated before discounts/tax.</w:t>
      </w:r>
    </w:p>
    <w:p>
      <w:pPr>
        <w:pStyle w:val="ListBullet"/>
      </w:pPr>
      <w:r>
        <w:t>Confirm that ₹250 is the minimum merchandise subtotal to place any order and is independent of the free-delivery threshold.</w:t>
      </w:r>
    </w:p>
    <w:p>
      <w:pPr>
        <w:pStyle w:val="ListBullet"/>
      </w:pPr>
      <w:r>
        <w:t>Delivery-person account login method: phone + OTP, username/user ID + password, or invitation link; who can reset credentials and how identity is verified.</w:t>
      </w:r>
    </w:p>
    <w:p>
      <w:pPr>
        <w:pStyle w:val="ListBullet"/>
      </w:pPr>
      <w:r>
        <w:t>Whether delivery persons use the Android customer app with a role-specific interface, a separate rider app, or a mobile-friendly delivery web view.</w:t>
      </w:r>
    </w:p>
    <w:p>
      <w:pPr>
        <w:pStyle w:val="ListBullet"/>
      </w:pPr>
      <w:r>
        <w:t>Delivery statuses permitted for riders and what proof of delivery is required (OTP, photo, signature, or manager confirmation).</w:t>
      </w:r>
    </w:p>
    <w:p>
      <w:pPr>
        <w:pStyle w:val="ListBullet"/>
      </w:pPr>
      <w:r>
        <w:t>Whether delivery persons may collect COD and how cash is reconciled at end of shift.</w:t>
      </w:r>
    </w:p>
    <w:p>
      <w:pPr>
        <w:pStyle w:val="ListBullet"/>
      </w:pPr>
      <w:r>
        <w:t>Whether the store manager may create additional manager/admin users or only delivery-person accounts; avoid unrestricted self-service role escalation.</w:t>
      </w:r>
    </w:p>
    <w:p>
      <w:r>
        <w:br w:type="page"/>
      </w:r>
    </w:p>
    <w:p>
      <w:pPr>
        <w:pStyle w:val="Heading1"/>
      </w:pPr>
      <w:r>
        <w:t>Approved operations update — Version 1.3</w:t>
      </w:r>
    </w:p>
    <w:p>
      <w:pPr>
        <w:pStyle w:val="ListBullet"/>
      </w:pPr>
      <w:r>
        <w:t>This update takes precedence over conflicting older operational requirements.</w:t>
      </w:r>
    </w:p>
    <w:p>
      <w:pPr>
        <w:pStyle w:val="ListBullet"/>
      </w:pPr>
      <w:r>
        <w:t>Before launch, configure and verify the service area, product catalogue, delivery-charge threshold, delivery fee, free-delivery threshold, payment provider, and delivery-person accounts from the manager dashboard. Do not deploy with unclear or contradictory threshold settings.</w:t>
      </w:r>
    </w:p>
    <w:p>
      <w:pPr>
        <w:pStyle w:val="ListBullet"/>
      </w:pPr>
      <w:r>
        <w:t>₹250 is an initial editable delivery-charge threshold, not a minimum order. Confirm below-threshold orders are accepted with the configured delivery fee. Validate the policy from the deployed server, not only from client UI.</w:t>
      </w:r>
    </w:p>
    <w:p>
      <w:pPr>
        <w:pStyle w:val="ListBullet"/>
      </w:pPr>
      <w:r>
        <w:t>Ensure all manager configuration changes are access-controlled and audited. Account setup/reset must avoid plaintext credential exposure; secrets, OTPs, tokens, and payment credentials must not appear in logs.</w:t>
      </w:r>
    </w:p>
    <w:p>
      <w:pPr>
        <w:pStyle w:val="ListBullet"/>
      </w:pPr>
      <w:r>
        <w:t>COD and online payments are required product modes; keep online payment disabled until credentials, webhook signature validation, idempotency, refund handling, and reconciliation are tested. Confirm dedicated delivery-person access is restricted to assigned orders.</w:t>
      </w:r>
    </w:p>
    <w:p>
      <w:pPr>
        <w:pStyle w:val="Heading1"/>
      </w:pPr>
      <w:r>
        <w:t>Billing and point-of-sale operations</w:t>
      </w:r>
    </w:p>
    <w:p>
      <w:pPr>
        <w:pStyle w:val="ListBullet"/>
      </w:pPr>
      <w:r>
        <w:t>Configure and test print-friendly bill output and downloadable bill format on supported browsers/devices. Enforce authorization on every bill request; do not expose bills through guessable public URLs.</w:t>
      </w:r>
    </w:p>
    <w:p>
      <w:pPr>
        <w:pStyle w:val="ListBullet"/>
      </w:pPr>
      <w:r>
        <w:t>Back up bill, sale, order, and stock-movement records. Define retention, correction/void, refund, and end-of-day reconciliation procedures before production.</w:t>
      </w:r>
    </w:p>
    <w:p>
      <w:pPr>
        <w:pStyle w:val="ListBullet"/>
      </w:pPr>
      <w:r>
        <w:t>Restrict manual price overrides, bill voids, refunds, and stock adjustments to authorized roles; require a reason and audit log for sensitive actions.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Balaji Provision Store | Project documentation pack | Draft v1.0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75121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4523B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