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523B"/>
          <w:sz w:val="22"/>
        </w:rPr>
        <w:t>BALAJI PROVISION STORE</w:t>
      </w:r>
    </w:p>
    <w:p>
      <w:pPr>
        <w:pStyle w:val="Title"/>
        <w:jc w:val="center"/>
      </w:pPr>
      <w:r>
        <w:t>Technical Architecture, Data Model &amp; API</w:t>
      </w:r>
    </w:p>
    <w:p>
      <w:pPr>
        <w:jc w:val="center"/>
      </w:pPr>
      <w:r>
        <w:rPr>
          <w:i/>
          <w:color w:val="5A5A5A"/>
          <w:sz w:val="20"/>
        </w:rPr>
        <w:t>Implementation guidance for a secure, maintainable MVP</w:t>
      </w:r>
    </w:p>
    <w:p>
      <w:r>
        <w:t>Project: Balaji Provision Store — Hyperlocal Grocery Ordering Platform | Contact supplied: 9837803293 | Version 1.0 | 13 October 2026</w:t>
      </w:r>
    </w:p>
    <w:p>
      <w:r>
        <w:t>Status: Draft baseline — owner decisions and professional review required before production.</w:t>
      </w:r>
    </w:p>
    <w:p>
      <w:pPr>
        <w:pStyle w:val="Heading1"/>
      </w:pPr>
      <w:r>
        <w:t>Document control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Owner</w:t>
            </w:r>
          </w:p>
        </w:tc>
        <w:tc>
          <w:tcPr>
            <w:tcW w:type="dxa" w:w="4968"/>
          </w:tcPr>
          <w:p>
            <w:r>
              <w:t>Balaji Provision Store</w:t>
            </w:r>
          </w:p>
        </w:tc>
      </w:tr>
      <w:tr>
        <w:tc>
          <w:tcPr>
            <w:tcW w:type="dxa" w:w="4968"/>
          </w:tcPr>
          <w:p>
            <w:r>
              <w:t>Purpose</w:t>
            </w:r>
          </w:p>
        </w:tc>
        <w:tc>
          <w:tcPr>
            <w:tcW w:type="dxa" w:w="4968"/>
          </w:tcPr>
          <w:p>
            <w:r>
              <w:t>AI-assisted planning and implementation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1.0</w:t>
            </w:r>
          </w:p>
        </w:tc>
      </w:tr>
      <w:tr>
        <w:tc>
          <w:tcPr>
            <w:tcW w:type="dxa" w:w="4968"/>
          </w:tcPr>
          <w:p>
            <w:r>
              <w:t>Change control</w:t>
            </w:r>
          </w:p>
        </w:tc>
        <w:tc>
          <w:tcPr>
            <w:tcW w:type="dxa" w:w="4968"/>
          </w:tcPr>
          <w:p>
            <w:r>
              <w:t>Update this document and related tests when approved requirements change</w:t>
            </w:r>
          </w:p>
        </w:tc>
      </w:tr>
    </w:tbl>
    <w:p>
      <w:pPr>
        <w:pStyle w:val="Heading1"/>
      </w:pPr>
      <w:r>
        <w:t>1. Recommended architecture</w:t>
      </w:r>
    </w:p>
    <w:p>
      <w:pPr>
        <w:pStyle w:val="ListBullet"/>
      </w:pPr>
      <w:r>
        <w:t>Use a modular monolith first: one Next.js application for customer storefront and private admin portal, a managed PostgreSQL database/auth/storage platform, and server-side route handlers or server actions for trusted business operations.</w:t>
      </w:r>
    </w:p>
    <w:p>
      <w:pPr>
        <w:pStyle w:val="ListBullet"/>
      </w:pPr>
      <w:r>
        <w:t>Suggested baseline: Next.js App Router + TypeScript; Supabase PostgreSQL/Auth/Storage; a managed Next.js host. Keep payment, messaging, and maps as optional adapters behind interfaces.</w:t>
      </w:r>
    </w:p>
    <w:p>
      <w:pPr>
        <w:pStyle w:val="ListBullet"/>
      </w:pPr>
      <w:r>
        <w:t>Why this shape: it minimizes operational complexity for one store, shares business rules across both experiences, and can evolve without starting with microservices.</w:t>
      </w:r>
    </w:p>
    <w:p>
      <w:pPr>
        <w:pStyle w:val="ListBullet"/>
      </w:pPr>
      <w:r>
        <w:t>Official references: Next.js https://nextjs.org/docs ; Supabase Next.js Auth quickstart https://supabase.com/docs/guides/auth/quickstarts/nextjs</w:t>
      </w:r>
    </w:p>
    <w:p>
      <w:pPr>
        <w:pStyle w:val="Heading1"/>
      </w:pPr>
      <w:r>
        <w:t>2. Logical components</w:t>
      </w:r>
    </w:p>
    <w:p>
      <w:pPr>
        <w:pStyle w:val="ListBullet"/>
      </w:pPr>
      <w:r>
        <w:t>Customer UI: homepage, catalogue, product detail, cart, checkout, account/address, order confirmation/history/status.</w:t>
      </w:r>
    </w:p>
    <w:p>
      <w:pPr>
        <w:pStyle w:val="ListBullet"/>
      </w:pPr>
      <w:r>
        <w:t>Admin UI: order queue/detail, catalogue and stock editor, delivery settings, operating status, reports, staff access.</w:t>
      </w:r>
    </w:p>
    <w:p>
      <w:pPr>
        <w:pStyle w:val="ListBullet"/>
      </w:pPr>
      <w:r>
        <w:t>Application services: CatalogueService, Cart/PriceCalculator, CheckoutService, InventoryService, OrderWorkflowService, PaymentAdapter, NotificationAdapter, AuditService.</w:t>
      </w:r>
    </w:p>
    <w:p>
      <w:pPr>
        <w:pStyle w:val="ListBullet"/>
      </w:pPr>
      <w:r>
        <w:t>Data layer: PostgreSQL with migrations, constraints, indexes, RLS policies, transaction-safe functions where appropriate.</w:t>
      </w:r>
    </w:p>
    <w:p>
      <w:pPr>
        <w:pStyle w:val="ListBullet"/>
      </w:pPr>
      <w:r>
        <w:t>External integrations (optional): payment gateway, WhatsApp/SMS/push provider, maps/geocoding, analytics/error monitoring.</w:t>
      </w:r>
    </w:p>
    <w:p>
      <w:pPr>
        <w:pStyle w:val="Heading1"/>
      </w:pPr>
      <w:r>
        <w:t>3. Suggested data entities</w:t>
      </w:r>
    </w:p>
    <w:p>
      <w:pPr>
        <w:pStyle w:val="ListBullet"/>
      </w:pPr>
      <w:r>
        <w:t>profiles: id (auth user ID), display_name, phone, role, created_at, updated_at. Roles should be constrained; do not let customers self-assign admin.</w:t>
      </w:r>
    </w:p>
    <w:p>
      <w:pPr>
        <w:pStyle w:val="ListBullet"/>
      </w:pPr>
      <w:r>
        <w:t>addresses: id, customer_id, label, recipient_name, phone, address_lines, landmark, area, city, state, postal_code, optional lat/lng, is_default, created_at.</w:t>
      </w:r>
    </w:p>
    <w:p>
      <w:pPr>
        <w:pStyle w:val="ListBullet"/>
      </w:pPr>
      <w:r>
        <w:t>categories: id, name, slug, sort_order, active, created_at, updated_at.</w:t>
      </w:r>
    </w:p>
    <w:p>
      <w:pPr>
        <w:pStyle w:val="ListBullet"/>
      </w:pPr>
      <w:r>
        <w:t>products: id, sku, name, description, category_id, image_path, unit_label, pack_size, price_paise, stock_quantity, low_stock_threshold, active, available, created_at, updated_at.</w:t>
      </w:r>
    </w:p>
    <w:p>
      <w:pPr>
        <w:pStyle w:val="ListBullet"/>
      </w:pPr>
      <w:r>
        <w:t>delivery_zones: id, name, postal_codes/area rules, active, fee_paise, minimum_order_paise, optional max_order_paise, estimated_window_text.</w:t>
      </w:r>
    </w:p>
    <w:p>
      <w:pPr>
        <w:pStyle w:val="ListBullet"/>
      </w:pPr>
      <w:r>
        <w:t>orders: id, public_order_number, customer_id, delivery address snapshot, status, payment_method, payment_status, item_subtotal_paise, discount_paise, delivery_fee_paise, tax_paise, grand_total_paise, customer_note, idempotency_key, created_at, accepted_at, delivered_at.</w:t>
      </w:r>
    </w:p>
    <w:p>
      <w:pPr>
        <w:pStyle w:val="ListBullet"/>
      </w:pPr>
      <w:r>
        <w:t>order_items: id, order_id, product_id nullable for archived products, sku_snapshot, name_snapshot, unit_snapshot, quantity, unit_price_paise, line_total_paise.</w:t>
      </w:r>
    </w:p>
    <w:p>
      <w:pPr>
        <w:pStyle w:val="ListBullet"/>
      </w:pPr>
      <w:r>
        <w:t>order_status_events: id, order_id, from_status, to_status, actor_id, reason, created_at.</w:t>
      </w:r>
    </w:p>
    <w:p>
      <w:pPr>
        <w:pStyle w:val="ListBullet"/>
      </w:pPr>
      <w:r>
        <w:t>inventory_movements: id, product_id, delta_quantity, reason, reference_type, reference_id, actor_id, created_at.</w:t>
      </w:r>
    </w:p>
    <w:p>
      <w:pPr>
        <w:pStyle w:val="ListBullet"/>
      </w:pPr>
      <w:r>
        <w:t>payments (if online): id, order_id, provider, provider_order_id, provider_payment_id, amount_paise, status, idempotency/provider event key, verified_at, created_at.</w:t>
      </w:r>
    </w:p>
    <w:p>
      <w:pPr>
        <w:pStyle w:val="ListBullet"/>
      </w:pPr>
      <w:r>
        <w:t>audit_logs: id, actor_id, action, entity_type, entity_id, safe metadata, created_at. Avoid logging credentials, payment secrets, or unnecessary personal data.</w:t>
      </w:r>
    </w:p>
    <w:p>
      <w:pPr>
        <w:pStyle w:val="Heading1"/>
      </w:pPr>
      <w:r>
        <w:t>4. Database rules</w:t>
      </w:r>
    </w:p>
    <w:p>
      <w:pPr>
        <w:pStyle w:val="ListBullet"/>
      </w:pPr>
      <w:r>
        <w:t>Use primary keys, foreign keys, NOT NULL, CHECK constraints, unique SKU, unique public order number, and unique idempotency key scoped appropriately.</w:t>
      </w:r>
    </w:p>
    <w:p>
      <w:pPr>
        <w:pStyle w:val="ListBullet"/>
      </w:pPr>
      <w:r>
        <w:t>Store currency as integer paise. Convert to rupees only for display.</w:t>
      </w:r>
    </w:p>
    <w:p>
      <w:pPr>
        <w:pStyle w:val="ListBullet"/>
      </w:pPr>
      <w:r>
        <w:t>Store timestamps in UTC and render local time for the store's configured timezone.</w:t>
      </w:r>
    </w:p>
    <w:p>
      <w:pPr>
        <w:pStyle w:val="ListBullet"/>
      </w:pPr>
      <w:r>
        <w:t>Create indexes for active product/category browsing, SKU, order customer/date/status, order item lookup, and provider event IDs.</w:t>
      </w:r>
    </w:p>
    <w:p>
      <w:pPr>
        <w:pStyle w:val="ListBullet"/>
      </w:pPr>
      <w:r>
        <w:t>Enable RLS for exposed tables. Write policies per role and per row; test with anon, customer A, customer B, operator, and manager. Never rely on hiding buttons as authorization.</w:t>
      </w:r>
    </w:p>
    <w:p>
      <w:pPr>
        <w:pStyle w:val="ListBullet"/>
      </w:pPr>
      <w:r>
        <w:t>Inventory/order creation should run in a transaction or database function that locks/checks stock and validates current prices. Choose whether stock is decremented at order acceptance or order placement and document/restock on rejection/cancellation. For a small store, reserving at order placement with expiry/release policy is safer when overselling is unacceptable.</w:t>
      </w:r>
    </w:p>
    <w:p>
      <w:pPr>
        <w:pStyle w:val="Heading1"/>
      </w:pPr>
      <w:r>
        <w:t>5. API contract outline</w:t>
      </w:r>
    </w:p>
    <w:p>
      <w:pPr>
        <w:pStyle w:val="ListBullet"/>
      </w:pPr>
      <w:r>
        <w:t>GET /api/catalog/categories — active categories.</w:t>
      </w:r>
    </w:p>
    <w:p>
      <w:pPr>
        <w:pStyle w:val="ListBullet"/>
      </w:pPr>
      <w:r>
        <w:t>GET /api/catalog/products?category=&amp;q=&amp;cursor= — active/available catalogue with pagination.</w:t>
      </w:r>
    </w:p>
    <w:p>
      <w:pPr>
        <w:pStyle w:val="ListBullet"/>
      </w:pPr>
      <w:r>
        <w:t>GET /api/catalog/products/{id} — public product detail.</w:t>
      </w:r>
    </w:p>
    <w:p>
      <w:pPr>
        <w:pStyle w:val="ListBullet"/>
      </w:pPr>
      <w:r>
        <w:t>POST /api/checkout — authenticated customer or supported guest flow; accepts address ID/snapshot, cart items as product IDs and quantities, payment method, idempotency key. Server fetches prices, validates zone/store/minimum/stock, computes totals, and creates the order.</w:t>
      </w:r>
    </w:p>
    <w:p>
      <w:pPr>
        <w:pStyle w:val="ListBullet"/>
      </w:pPr>
      <w:r>
        <w:t>GET /api/orders — current customer's orders only.</w:t>
      </w:r>
    </w:p>
    <w:p>
      <w:pPr>
        <w:pStyle w:val="ListBullet"/>
      </w:pPr>
      <w:r>
        <w:t>GET /api/orders/{id} — order details after ownership/role authorization.</w:t>
      </w:r>
    </w:p>
    <w:p>
      <w:pPr>
        <w:pStyle w:val="ListBullet"/>
      </w:pPr>
      <w:r>
        <w:t>POST /api/orders/{id}/cancel — permitted customer cancellation or authorized staff action, with policy checks.</w:t>
      </w:r>
    </w:p>
    <w:p>
      <w:pPr>
        <w:pStyle w:val="ListBullet"/>
      </w:pPr>
      <w:r>
        <w:t>GET /api/admin/orders?status=&amp;date= — staff only.</w:t>
      </w:r>
    </w:p>
    <w:p>
      <w:pPr>
        <w:pStyle w:val="ListBullet"/>
      </w:pPr>
      <w:r>
        <w:t>POST /api/admin/orders/{id}/transition — staff only; accepts target status and reason; validates state graph.</w:t>
      </w:r>
    </w:p>
    <w:p>
      <w:pPr>
        <w:pStyle w:val="ListBullet"/>
      </w:pPr>
      <w:r>
        <w:t>POST /api/admin/products / PATCH /api/admin/products/{id} — manager/admin only.</w:t>
      </w:r>
    </w:p>
    <w:p>
      <w:pPr>
        <w:pStyle w:val="ListBullet"/>
      </w:pPr>
      <w:r>
        <w:t>POST /api/admin/inventory-adjustments — manager/admin only; reason required.</w:t>
      </w:r>
    </w:p>
    <w:p>
      <w:pPr>
        <w:pStyle w:val="ListBullet"/>
      </w:pPr>
      <w:r>
        <w:t>POST /api/webhooks/payment/{provider} — verify provider signature, deduplicate event, reconcile payment; only if online payment is enabled.</w:t>
      </w:r>
    </w:p>
    <w:p>
      <w:pPr>
        <w:pStyle w:val="ListBullet"/>
      </w:pPr>
      <w:r>
        <w:t>Use consistent JSON error format: code, safe message, optional field errors, request ID. Never return stack traces or internal database messages.</w:t>
      </w:r>
    </w:p>
    <w:p>
      <w:pPr>
        <w:pStyle w:val="Heading1"/>
      </w:pPr>
      <w:r>
        <w:t>6. Checkout transaction flow</w:t>
      </w:r>
    </w:p>
    <w:p>
      <w:pPr>
        <w:pStyle w:val="ListBullet"/>
      </w:pPr>
      <w:r>
        <w:t>1. Authenticate customer or establish the approved guest identity model.</w:t>
      </w:r>
    </w:p>
    <w:p>
      <w:pPr>
        <w:pStyle w:val="ListBullet"/>
      </w:pPr>
      <w:r>
        <w:t>2. Validate payload schema and idempotency key.</w:t>
      </w:r>
    </w:p>
    <w:p>
      <w:pPr>
        <w:pStyle w:val="ListBullet"/>
      </w:pPr>
      <w:r>
        <w:t>3. Load current product prices, active flags, stock, store state, delivery zone, fee, and policy from trusted server-side sources.</w:t>
      </w:r>
    </w:p>
    <w:p>
      <w:pPr>
        <w:pStyle w:val="ListBullet"/>
      </w:pPr>
      <w:r>
        <w:t>4. Recalculate subtotal and enforce delivery-charge threshold ₹250 (25000 paise) using the approved qualifying-subtotal rule.</w:t>
      </w:r>
    </w:p>
    <w:p>
      <w:pPr>
        <w:pStyle w:val="ListBullet"/>
      </w:pPr>
      <w:r>
        <w:t>5. Within a transaction, lock/check inventory, create order and item snapshots, reserve/deduct stock according to policy, create status event, and persist idempotency result.</w:t>
      </w:r>
    </w:p>
    <w:p>
      <w:pPr>
        <w:pStyle w:val="ListBullet"/>
      </w:pPr>
      <w:r>
        <w:t>6. Commit transaction; return order reference and next action.</w:t>
      </w:r>
    </w:p>
    <w:p>
      <w:pPr>
        <w:pStyle w:val="ListBullet"/>
      </w:pPr>
      <w:r>
        <w:t>7. Send notifications asynchronously or after commit. Notification failure must not roll back a valid order.</w:t>
      </w:r>
    </w:p>
    <w:p>
      <w:pPr>
        <w:pStyle w:val="ListBullet"/>
      </w:pPr>
      <w:r>
        <w:t>8. For online payment, use the provider's server-side flow and verified webhook. Payment retries/webhooks must be idempotent.</w:t>
      </w:r>
    </w:p>
    <w:p>
      <w:pPr>
        <w:pStyle w:val="Heading1"/>
      </w:pPr>
      <w:r>
        <w:t>7. Security and privacy architecture</w:t>
      </w:r>
    </w:p>
    <w:p>
      <w:pPr>
        <w:pStyle w:val="ListBullet"/>
      </w:pPr>
      <w:r>
        <w:t>Use provider-managed authentication rather than custom password storage. Enforce role checks server-side for every privileged action.</w:t>
      </w:r>
    </w:p>
    <w:p>
      <w:pPr>
        <w:pStyle w:val="ListBullet"/>
      </w:pPr>
      <w:r>
        <w:t>Keep privileged database/service keys and payment secrets server-only. Never prefix secrets with public-exposure environment variable names.</w:t>
      </w:r>
    </w:p>
    <w:p>
      <w:pPr>
        <w:pStyle w:val="ListBullet"/>
      </w:pPr>
      <w:r>
        <w:t>Validate all input on the server. Rate-limit login, checkout, cancellation, and webhooks as appropriate.</w:t>
      </w:r>
    </w:p>
    <w:p>
      <w:pPr>
        <w:pStyle w:val="ListBullet"/>
      </w:pPr>
      <w:r>
        <w:t>Use HTTPS, secure session/cookie settings, CSRF protections appropriate to the chosen auth pattern, safe file upload constraints, and dependency scanning.</w:t>
      </w:r>
    </w:p>
    <w:p>
      <w:pPr>
        <w:pStyle w:val="ListBullet"/>
      </w:pPr>
      <w:r>
        <w:t>Use least privilege, audit sensitive mutations, avoid exposing full customer phone/address in broad reports, and keep production/test projects separate.</w:t>
      </w:r>
    </w:p>
    <w:p>
      <w:pPr>
        <w:pStyle w:val="ListBullet"/>
      </w:pPr>
      <w:r>
        <w:t>Create a threat model covering IDOR, privilege escalation, price tampering, stock races, duplicate requests, webhook spoofing/replay, XSS, SQL injection, secrets leakage, and data export abuse.</w:t>
      </w:r>
    </w:p>
    <w:p>
      <w:pPr>
        <w:pStyle w:val="Heading1"/>
      </w:pPr>
      <w:r>
        <w:t>8. Architecture decisions requiring approval</w:t>
      </w:r>
    </w:p>
    <w:p>
      <w:pPr>
        <w:pStyle w:val="ListBullet"/>
      </w:pPr>
      <w:r>
        <w:t>Guest checkout vs mandatory account/OTP login.</w:t>
      </w:r>
    </w:p>
    <w:p>
      <w:pPr>
        <w:pStyle w:val="ListBullet"/>
      </w:pPr>
      <w:r>
        <w:t>Stock reservation at checkout vs order acceptance; reservation expiry and release behavior.</w:t>
      </w:r>
    </w:p>
    <w:p>
      <w:pPr>
        <w:pStyle w:val="ListBullet"/>
      </w:pPr>
      <w:r>
        <w:t>Whether delivery fee/tax/discounts affect ₹250 qualifying subtotal.</w:t>
      </w:r>
    </w:p>
    <w:p>
      <w:pPr>
        <w:pStyle w:val="ListBullet"/>
      </w:pPr>
      <w:r>
        <w:t>Whether customers can cancel after acceptance/preparation.</w:t>
      </w:r>
    </w:p>
    <w:p>
      <w:pPr>
        <w:pStyle w:val="ListBullet"/>
      </w:pPr>
      <w:r>
        <w:t>Online payment provider and refund policy.</w:t>
      </w:r>
    </w:p>
    <w:p>
      <w:pPr>
        <w:pStyle w:val="ListBullet"/>
      </w:pPr>
      <w:r>
        <w:t>Single web app/PWA now vs native Android app now.</w:t>
      </w:r>
    </w:p>
    <w:p>
      <w:pPr>
        <w:pStyle w:val="ListBullet"/>
      </w:pPr>
      <w:r>
        <w:t>Exact service-area validation method and map/geocoding budget.</w:t>
      </w:r>
    </w:p>
    <w:p>
      <w:r>
        <w:br w:type="page"/>
      </w:r>
    </w:p>
    <w:p>
      <w:pPr>
        <w:pStyle w:val="Heading1"/>
      </w:pPr>
      <w:r>
        <w:t>Owner-approved update — Version 1.1</w:t>
      </w:r>
    </w:p>
    <w:p>
      <w:r>
        <w:t>This update supersedes any conflicting baseline assumptions in this document. Approved choices are recorded below; unknowns remain open and must not be silently invented by an AI coding agent.</w:t>
      </w:r>
    </w:p>
    <w:p>
      <w:pPr>
        <w:pStyle w:val="ListBullet"/>
      </w:pPr>
      <w:r>
        <w:rPr>
          <w:b/>
        </w:rPr>
        <w:t xml:space="preserve">Service area: </w:t>
      </w:r>
      <w:r>
        <w:t>Local neighbourhood; exact neighbourhoods, PIN codes, and service boundary remain to be confirmed.</w:t>
      </w:r>
    </w:p>
    <w:p>
      <w:pPr>
        <w:pStyle w:val="ListBullet"/>
      </w:pPr>
      <w:r>
        <w:rPr>
          <w:b/>
        </w:rPr>
        <w:t xml:space="preserve">Customer platform: </w:t>
      </w:r>
      <w:r>
        <w:t>Native Android customer app plus a separate store management website. A shared backend serves both.</w:t>
      </w:r>
    </w:p>
    <w:p>
      <w:pPr>
        <w:pStyle w:val="ListBullet"/>
      </w:pPr>
      <w:r>
        <w:rPr>
          <w:b/>
        </w:rPr>
        <w:t xml:space="preserve">Payment: </w:t>
      </w:r>
      <w:r>
        <w:t>Cash on Delivery (COD) and online payments. Online payment provider, merchant onboarding, supported methods, webhook setup, and refund/reconciliation process remain open.</w:t>
      </w:r>
    </w:p>
    <w:p>
      <w:pPr>
        <w:pStyle w:val="ListBullet"/>
      </w:pPr>
      <w:r>
        <w:rPr>
          <w:b/>
        </w:rPr>
        <w:t xml:space="preserve">Delivery: </w:t>
      </w:r>
      <w:r>
        <w:t>A dedicated delivery person. Staffing capacity, working hours, delivery assignment workflow, and delivery fee/ETA remain open.</w:t>
      </w:r>
    </w:p>
    <w:p>
      <w:pPr>
        <w:pStyle w:val="ListBullet"/>
      </w:pPr>
      <w:r>
        <w:rPr>
          <w:b/>
        </w:rPr>
        <w:t xml:space="preserve">Catalogue setup: </w:t>
      </w:r>
      <w:r>
        <w:t>Products will initially be entered manually through the store dashboard. Bulk CSV import is not an MVP requirement.</w:t>
      </w:r>
    </w:p>
    <w:p>
      <w:pPr>
        <w:pStyle w:val="ListBullet"/>
      </w:pPr>
      <w:r>
        <w:rPr>
          <w:b/>
        </w:rPr>
        <w:t xml:space="preserve">Budget: </w:t>
      </w:r>
      <w:r>
        <w:t>Keep initial costs minimal. Prefer a modular monolith and managed services with free/low-cost tiers where appropriate; verify current limits, production suitability, and ongoing costs before launch.</w:t>
      </w:r>
    </w:p>
    <w:p>
      <w:pPr>
        <w:pStyle w:val="ListBullet"/>
      </w:pPr>
      <w:r>
        <w:rPr>
          <w:b/>
        </w:rPr>
        <w:t>Delivery-charge threshold: initial value ₹250, editable in the dashboard. Not a delivery-charge threshold; below-threshold orders are accepted with the configured delivery fee.</w:t>
      </w:r>
      <w:r/>
    </w:p>
    <w:p>
      <w:pPr>
        <w:pStyle w:val="ListBullet"/>
      </w:pPr>
      <w:r>
        <w:rPr>
          <w:b/>
        </w:rPr>
        <w:t xml:space="preserve">Store contact: </w:t>
      </w:r>
      <w:r>
        <w:t>9837803293.</w:t>
      </w:r>
    </w:p>
    <w:p>
      <w:pPr>
        <w:pStyle w:val="Heading2"/>
      </w:pPr>
      <w:r>
        <w:t>Implementation implications</w:t>
      </w:r>
    </w:p>
    <w:p>
      <w:pPr>
        <w:pStyle w:val="ListBullet"/>
      </w:pPr>
      <w:r>
        <w:t>Build a native Android customer application and a separately protected store-management website, backed by one shared backend and database.</w:t>
      </w:r>
    </w:p>
    <w:p>
      <w:pPr>
        <w:pStyle w:val="ListBullet"/>
      </w:pPr>
      <w:r>
        <w:t>Keep the MVP architecture simple and low-cost. Avoid microservices, expensive real-time maps, and unnecessary paid integrations until the pilot proves they are needed.</w:t>
      </w:r>
    </w:p>
    <w:p>
      <w:pPr>
        <w:pStyle w:val="ListBullet"/>
      </w:pPr>
      <w:r>
        <w:t>Implement manual product/category creation and editing in the admin website as the primary catalogue workflow.</w:t>
      </w:r>
    </w:p>
    <w:p>
      <w:pPr>
        <w:pStyle w:val="ListBullet"/>
      </w:pPr>
      <w:r>
        <w:t>Support COD and online payment, but online payment must remain gated until a provider is selected, merchant onboarding is complete, server-side webhook signature verification is implemented, duplicate events are idempotent, and refunds/reconciliation are tested in sandbox.</w:t>
      </w:r>
    </w:p>
    <w:p>
      <w:pPr>
        <w:pStyle w:val="ListBullet"/>
      </w:pPr>
      <w:r>
        <w:t>Include a dedicated-delivery-person workflow at MVP level: assign a delivery person to an order, show the assigned delivery details only to authorized staff, and allow status updates. A separate rider app is not approved by the owner yet; decide whether delivery updates happen through the admin website or a minimal mobile web view.</w:t>
      </w:r>
    </w:p>
    <w:p>
      <w:pPr>
        <w:pStyle w:val="ListBullet"/>
      </w:pPr>
      <w:r>
        <w:t>Keep the ₹250 delivery-charge threshold check on the server and test it at below-threshold, exact-threshold, and above-threshold values.</w:t>
      </w:r>
    </w:p>
    <w:p>
      <w:pPr>
        <w:pStyle w:val="ListBullet"/>
      </w:pPr>
      <w:r>
        <w:t>Do not promise 10-minute delivery. Configure an honest delivery window after neighbourhood boundaries, opening hours, rider capacity, and delivery fees are confirmed.</w:t>
      </w:r>
    </w:p>
    <w:p>
      <w:pPr>
        <w:pStyle w:val="ListBullet"/>
      </w:pPr>
      <w:r>
        <w:t>Before production, confirm privacy notice, terms, cancellation/refund policy, tax/invoice requirements, and applicable Indian legal obligations with qualified professionals.</w:t>
      </w:r>
    </w:p>
    <w:p>
      <w:pPr>
        <w:pStyle w:val="Heading2"/>
      </w:pPr>
      <w:r>
        <w:t>Remaining unknowns — owner follow-up required</w:t>
      </w:r>
    </w:p>
    <w:p>
      <w:pPr>
        <w:pStyle w:val="ListBullet"/>
      </w:pPr>
      <w:r>
        <w:t>Exact neighbourhoods/PIN codes and how serviceability will be validated.</w:t>
      </w:r>
    </w:p>
    <w:p>
      <w:pPr>
        <w:pStyle w:val="ListBullet"/>
      </w:pPr>
      <w:r>
        <w:t>Store opening hours, order cut-off times, holidays, and whether orders can be placed while the store is closed.</w:t>
      </w:r>
    </w:p>
    <w:p>
      <w:pPr>
        <w:pStyle w:val="ListBullet"/>
      </w:pPr>
      <w:r>
        <w:t>Delivery fee policy (free, flat, or zone-based), any free-delivery threshold, and minimum/maximum delivery distance.</w:t>
      </w:r>
    </w:p>
    <w:p>
      <w:pPr>
        <w:pStyle w:val="ListBullet"/>
      </w:pPr>
      <w:r>
        <w:t>Delivery person's working hours, capacity, assignment process, proof of delivery, cash collection/reconciliation, and backup coverage.</w:t>
      </w:r>
    </w:p>
    <w:p>
      <w:pPr>
        <w:pStyle w:val="ListBullet"/>
      </w:pPr>
      <w:r>
        <w:t>Delivery ETA promise and how delays are communicated.</w:t>
      </w:r>
    </w:p>
    <w:p>
      <w:pPr>
        <w:pStyle w:val="ListBullet"/>
      </w:pPr>
      <w:r>
        <w:t>Online payment provider and methods (UPI intent/collect, cards, net banking, wallets), merchant account, settlement, refunds, and provider fees.</w:t>
      </w:r>
    </w:p>
    <w:p>
      <w:pPr>
        <w:pStyle w:val="ListBullet"/>
      </w:pPr>
      <w:r>
        <w:t>Whether customers must register/login or may check out as guests; phone verification/OTP provider and cost.</w:t>
      </w:r>
    </w:p>
    <w:p>
      <w:pPr>
        <w:pStyle w:val="ListBullet"/>
      </w:pPr>
      <w:r>
        <w:t>Whether COD orders need phone confirmation and what happens after repeated failed deliveries.</w:t>
      </w:r>
    </w:p>
    <w:p>
      <w:pPr>
        <w:pStyle w:val="ListBullet"/>
      </w:pPr>
      <w:r>
        <w:t>Substitution policy when an item is out of stock; whether customer approval is required before dispatch.</w:t>
      </w:r>
    </w:p>
    <w:p>
      <w:pPr>
        <w:pStyle w:val="ListBullet"/>
      </w:pPr>
      <w:r>
        <w:t>Cancellation cutoff, refund timeline, partial refunds, and inventory restoration rules.</w:t>
      </w:r>
    </w:p>
    <w:p>
      <w:pPr>
        <w:pStyle w:val="ListBullet"/>
      </w:pPr>
      <w:r>
        <w:t>Product data fields, initial catalogue size, images, SKUs, units/pack sizes, stock counting process, and who updates stock.</w:t>
      </w:r>
    </w:p>
    <w:p>
      <w:pPr>
        <w:pStyle w:val="ListBullet"/>
      </w:pPr>
      <w:r>
        <w:t>Whether ₹250 eligibility is calculated before discounts, tax, and delivery fee; whether coupons are planned.</w:t>
      </w:r>
    </w:p>
    <w:p>
      <w:pPr>
        <w:pStyle w:val="ListBullet"/>
      </w:pPr>
      <w:r>
        <w:t>Android distribution method: Google Play release versus direct/internal APK during pilot; app signing and update ownership.</w:t>
      </w:r>
    </w:p>
    <w:p>
      <w:pPr>
        <w:pStyle w:val="ListBullet"/>
      </w:pPr>
      <w:r>
        <w:t>Monthly cost ceiling, domain choice, hosting/database plan, monitoring, SMS/WhatsApp/push budget, and support ownership.</w:t>
      </w:r>
    </w:p>
    <w:p>
      <w:pPr>
        <w:pStyle w:val="ListBullet"/>
      </w:pPr>
      <w:r>
        <w:t>Tax/GST applicability, invoice format, privacy/retention policy, terms of service, and consumer complaint process.</w:t>
      </w:r>
    </w:p>
    <w:p>
      <w:r>
        <w:br w:type="page"/>
      </w:r>
    </w:p>
    <w:p>
      <w:pPr>
        <w:pStyle w:val="Heading1"/>
      </w:pPr>
      <w:r>
        <w:t>Owner-requested dashboard capabilities — Version 1.2</w:t>
      </w:r>
    </w:p>
    <w:p>
      <w:r>
        <w:t>These requirements extend the Version 1.1 owner decisions. If an earlier section conflicts, this Version 1.2 update takes precedence.</w:t>
      </w:r>
    </w:p>
    <w:p>
      <w:pPr>
        <w:pStyle w:val="ListBullet"/>
      </w:pPr>
      <w:r>
        <w:rPr>
          <w:b/>
        </w:rPr>
        <w:t xml:space="preserve">Store manager configurable service area: </w:t>
      </w:r>
      <w:r>
        <w:t>An authorized manager can edit the delivery service area from the dashboard, including supported neighbourhoods/PIN codes or configured boundaries. Checkout must validate the customer's address against the latest active configuration on the server. Changes are audited and take effect predictably; do not rely only on a client-side map check.</w:t>
      </w:r>
    </w:p>
    <w:p>
      <w:pPr>
        <w:pStyle w:val="ListBullet"/>
      </w:pPr>
      <w:r>
        <w:rPr>
          <w:b/>
        </w:rPr>
        <w:t xml:space="preserve">Product and price management: </w:t>
      </w:r>
      <w:r>
        <w:t>An authorized manager can add, edit, deactivate, or mark products unavailable; change product names, category, description, unit/pack size, image, price, and stock. Server-side checkout uses current database prices. Existing orders retain immutable item/price snapshots.</w:t>
      </w:r>
    </w:p>
    <w:p>
      <w:pPr>
        <w:pStyle w:val="ListBullet"/>
      </w:pPr>
      <w:r>
        <w:rPr>
          <w:b/>
        </w:rPr>
        <w:t>Free-delivery threshold: An authorized manager can configure the minimum eligible merchandise subtotal for free delivery. Below the threshold, the configured delivery fee applies; at/above it, delivery fee is zero. The existing ₹250 delivery-charge threshold remains a separate rule unless the owner explicitly chooses otherwise. Both values are validated server-side and displayed clearly at cart/checkout.</w:t>
      </w:r>
      <w:r/>
    </w:p>
    <w:p>
      <w:pPr>
        <w:pStyle w:val="ListBullet"/>
      </w:pPr>
      <w:r>
        <w:rPr>
          <w:b/>
        </w:rPr>
        <w:t xml:space="preserve">Delivery-person accounts: </w:t>
      </w:r>
      <w:r>
        <w:t>A manager/admin can create delivery-person accounts with a unique user ID and temporary/initial credential or invitation flow, assign the delivery role, activate/deactivate the account, and reset access. Delivery persons must not be able to grant roles, manage products/prices, change service areas, view all customer records, or access unrelated orders.</w:t>
      </w:r>
    </w:p>
    <w:p>
      <w:pPr>
        <w:pStyle w:val="ListBullet"/>
      </w:pPr>
      <w:r>
        <w:rPr>
          <w:b/>
        </w:rPr>
        <w:t xml:space="preserve">Delivery assignment and limited access: </w:t>
      </w:r>
      <w:r>
        <w:t>Authorized staff can assign an order to an active delivery person. Delivery users see only assigned orders and only the customer contact/address and order details necessary to fulfil those orders. They can update only approved delivery statuses (for example picked up/out for delivery/delivered) and must not edit prices, payment records, or order items.</w:t>
      </w:r>
    </w:p>
    <w:p>
      <w:pPr>
        <w:pStyle w:val="ListBullet"/>
      </w:pPr>
      <w:r>
        <w:rPr>
          <w:b/>
        </w:rPr>
        <w:t>Audit and safety: Log actor, timestamp, entity, and relevant before/after values for changes to service area, prices, products, delivery-charge threshold, free-delivery threshold, delivery fee, delivery-user account status, assignments, and delivery status. Never log passwords, OTPs, access tokens, or payment secrets.</w:t>
      </w:r>
      <w:r/>
    </w:p>
    <w:p>
      <w:pPr>
        <w:pStyle w:val="Heading2"/>
      </w:pPr>
      <w:r>
        <w:t>Additional unknowns to confirm</w:t>
      </w:r>
    </w:p>
    <w:p>
      <w:pPr>
        <w:pStyle w:val="ListBullet"/>
      </w:pPr>
      <w:r>
        <w:t>Service-area editing method: postal codes/neighbourhood list, drawn map polygon, radius, or a combination; whether manager edits need immediate activation or scheduled effective time.</w:t>
      </w:r>
    </w:p>
    <w:p>
      <w:pPr>
        <w:pStyle w:val="ListBullet"/>
      </w:pPr>
      <w:r>
        <w:t>Free-delivery threshold amount and the delivery fee charged below it; confirm whether qualifying subtotal is calculated before discounts/tax.</w:t>
      </w:r>
    </w:p>
    <w:p>
      <w:pPr>
        <w:pStyle w:val="ListBullet"/>
      </w:pPr>
      <w:r>
        <w:t>Confirm that ₹250 is the minimum merchandise subtotal to place any order and is independent of the free-delivery threshold.</w:t>
      </w:r>
    </w:p>
    <w:p>
      <w:pPr>
        <w:pStyle w:val="ListBullet"/>
      </w:pPr>
      <w:r>
        <w:t>Delivery-person account login method: phone + OTP, username/user ID + password, or invitation link; who can reset credentials and how identity is verified.</w:t>
      </w:r>
    </w:p>
    <w:p>
      <w:pPr>
        <w:pStyle w:val="ListBullet"/>
      </w:pPr>
      <w:r>
        <w:t>Whether delivery persons use the Android customer app with a role-specific interface, a separate rider app, or a mobile-friendly delivery web view.</w:t>
      </w:r>
    </w:p>
    <w:p>
      <w:pPr>
        <w:pStyle w:val="ListBullet"/>
      </w:pPr>
      <w:r>
        <w:t>Delivery statuses permitted for riders and what proof of delivery is required (OTP, photo, signature, or manager confirmation).</w:t>
      </w:r>
    </w:p>
    <w:p>
      <w:pPr>
        <w:pStyle w:val="ListBullet"/>
      </w:pPr>
      <w:r>
        <w:t>Whether delivery persons may collect COD and how cash is reconciled at end of shift.</w:t>
      </w:r>
    </w:p>
    <w:p>
      <w:pPr>
        <w:pStyle w:val="ListBullet"/>
      </w:pPr>
      <w:r>
        <w:t>Whether the store manager may create additional manager/admin users or only delivery-person accounts; avoid unrestricted self-service role escalation.</w:t>
      </w:r>
    </w:p>
    <w:p>
      <w:r>
        <w:br w:type="page"/>
      </w:r>
    </w:p>
    <w:p>
      <w:pPr>
        <w:pStyle w:val="Heading1"/>
      </w:pPr>
      <w:r>
        <w:t>Approved architecture and business-rule update — Version 1.3</w:t>
      </w:r>
    </w:p>
    <w:p>
      <w:pPr>
        <w:pStyle w:val="ListBullet"/>
      </w:pPr>
      <w:r>
        <w:t>This update takes precedence over conflicting older architecture or business-rule statements.</w:t>
      </w:r>
    </w:p>
    <w:p>
      <w:pPr>
        <w:pStyle w:val="ListBullet"/>
      </w:pPr>
      <w:r>
        <w:t>Persist manager-editable configuration for active service area, delivery-charge threshold, delivery fee, and free-delivery threshold. Validate all values server-side and maintain audit events for changes. Never hard-code ₹250 in client logic; it is only the initial configurable value.</w:t>
      </w:r>
    </w:p>
    <w:p>
      <w:pPr>
        <w:pStyle w:val="ListBullet"/>
      </w:pPr>
      <w:r>
        <w:t>Checkout policy: do not implement a hard minimum order of ₹250. Accept otherwise-valid carts below the configured delivery-charge threshold and add the configured delivery fee. Keep free-delivery threshold as a distinct setting. If threshold policies overlap, centralize the resolution in one tested server-side pricing function and obtain owner confirmation before production.</w:t>
      </w:r>
    </w:p>
    <w:p>
      <w:pPr>
        <w:pStyle w:val="ListBullet"/>
      </w:pPr>
      <w:r>
        <w:t>Use a single authoritative server-side function to calculate merchandise subtotal, delivery fee, applicable free-delivery eligibility, discounts/tax if configured, and final total. Client-supplied totals are untrusted. Return an itemized breakdown to the app and dashboard.</w:t>
      </w:r>
    </w:p>
    <w:p>
      <w:pPr>
        <w:pStyle w:val="ListBullet"/>
      </w:pPr>
      <w:r>
        <w:t>Add delivery-person accounts and order assignment with least-privilege authorization: delivery role reads only assigned orders and updates only allowed delivery statuses. Admin account creation/reset and sensitive configuration changes must be audited.</w:t>
      </w:r>
    </w:p>
    <w:p>
      <w:pPr>
        <w:pStyle w:val="Heading1"/>
      </w:pPr>
      <w:r>
        <w:t>Billing, POS, and inventory quantity model</w:t>
      </w:r>
    </w:p>
    <w:p>
      <w:pPr>
        <w:pStyle w:val="ListBullet"/>
      </w:pPr>
      <w:r>
        <w:t>Model product quantity_type as WEIGHTED or PACKED. Store an explicit selling price basis and unit. For weighted stock, use a canonical base unit (grams recommended) and deterministic kg-to-g conversion; preserve sufficient quantity precision.</w:t>
      </w:r>
    </w:p>
    <w:p>
      <w:pPr>
        <w:pStyle w:val="ListBullet"/>
      </w:pPr>
      <w:r>
        <w:t>Represent packed quantities as integer counts and enforce this in server-side validation and database constraints where supported.</w:t>
      </w:r>
    </w:p>
    <w:p>
      <w:pPr>
        <w:pStyle w:val="ListBullet"/>
      </w:pPr>
      <w:r>
        <w:t>Use server-side pricing functions for weighted and packed line totals, with a documented currency rounding policy. Avoid binary floating-point for money; use integer paise or a decimal type.</w:t>
      </w:r>
    </w:p>
    <w:p>
      <w:pPr>
        <w:pStyle w:val="ListBullet"/>
      </w:pPr>
      <w:r>
        <w:t>Persist bills with unique bill numbers, issue timestamps, line-item snapshots, unit/quantity, unit price, line totals, subtotal, fees, configured discounts/taxes, grand total, and payment status. Online bills preserve order-time snapshots.</w:t>
      </w:r>
    </w:p>
    <w:p>
      <w:pPr>
        <w:pStyle w:val="ListBullet"/>
      </w:pPr>
      <w:r>
        <w:t>Manual POS should create the sale, bill, and stock movement in one transaction or equivalent consistency boundary. Use idempotency keys to prevent duplicate sales on retries.</w:t>
      </w:r>
    </w:p>
    <w:p>
      <w:pPr>
        <w:pStyle w:val="ListBullet"/>
      </w:pPr>
      <w:r>
        <w:t>Enforce role-based permissions for bill creation, download, print, void, or correction. Audit voids, corrections, stock adjustments, and price overrides.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Balaji Provision Store | Project documentation pack |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75121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452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