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23B"/>
          <w:sz w:val="22"/>
        </w:rPr>
        <w:t>BALAJI PROVISION STORE</w:t>
      </w:r>
    </w:p>
    <w:p>
      <w:pPr>
        <w:pStyle w:val="Title"/>
        <w:jc w:val="center"/>
      </w:pPr>
      <w:r>
        <w:t>Project Pack &amp; AI Build Brief</w:t>
      </w:r>
    </w:p>
    <w:p>
      <w:pPr>
        <w:jc w:val="center"/>
      </w:pPr>
      <w:r>
        <w:rPr>
          <w:i/>
          <w:color w:val="5A5A5A"/>
          <w:sz w:val="20"/>
        </w:rPr>
        <w:t>A build-ready starting point for the customer ordering experience, store operations website, and shared backend</w:t>
      </w:r>
    </w:p>
    <w:p>
      <w:r>
        <w:t>Project: Balaji Provision Store — Hyperlocal Grocery Ordering Platform | Contact supplied: 9837803293 | Version 1.0 | 13 October 2026</w:t>
      </w:r>
    </w:p>
    <w:p>
      <w:r>
        <w:t>Status: Draft baseline — owner decisions and professional review required before production.</w:t>
      </w:r>
    </w:p>
    <w:p>
      <w:pPr>
        <w:pStyle w:val="Heading1"/>
      </w:pPr>
      <w:r>
        <w:t>Document control</w:t>
      </w:r>
    </w:p>
    <w:tbl>
      <w:tblPr>
        <w:tblStyle w:val="LightShading-Accent1"/>
        <w:tblW w:type="auto" w:w="0"/>
        <w:tblLook w:firstColumn="1" w:firstRow="1" w:lastColumn="0" w:lastRow="0" w:noHBand="0" w:noVBand="1" w:val="04A0"/>
      </w:tblPr>
      <w:tblGrid>
        <w:gridCol w:w="4968"/>
        <w:gridCol w:w="4968"/>
      </w:tblGrid>
      <w:tr>
        <w:tc>
          <w:tcPr>
            <w:tcW w:type="dxa" w:w="4968"/>
          </w:tcPr>
          <w:p>
            <w:r>
              <w:t>Owner</w:t>
            </w:r>
          </w:p>
        </w:tc>
        <w:tc>
          <w:tcPr>
            <w:tcW w:type="dxa" w:w="4968"/>
          </w:tcPr>
          <w:p>
            <w:r>
              <w:t>Balaji Provision Store</w:t>
            </w:r>
          </w:p>
        </w:tc>
      </w:tr>
      <w:tr>
        <w:tc>
          <w:tcPr>
            <w:tcW w:type="dxa" w:w="4968"/>
          </w:tcPr>
          <w:p>
            <w:r>
              <w:t>Purpose</w:t>
            </w:r>
          </w:p>
        </w:tc>
        <w:tc>
          <w:tcPr>
            <w:tcW w:type="dxa" w:w="4968"/>
          </w:tcPr>
          <w:p>
            <w:r>
              <w:t>AI-assisted planning and implementation</w:t>
            </w:r>
          </w:p>
        </w:tc>
      </w:tr>
      <w:tr>
        <w:tc>
          <w:tcPr>
            <w:tcW w:type="dxa" w:w="4968"/>
          </w:tcPr>
          <w:p>
            <w:r>
              <w:t>Version</w:t>
            </w:r>
          </w:p>
        </w:tc>
        <w:tc>
          <w:tcPr>
            <w:tcW w:type="dxa" w:w="4968"/>
          </w:tcPr>
          <w:p>
            <w:r>
              <w:t>1.0</w:t>
            </w:r>
          </w:p>
        </w:tc>
      </w:tr>
      <w:tr>
        <w:tc>
          <w:tcPr>
            <w:tcW w:type="dxa" w:w="4968"/>
          </w:tcPr>
          <w:p>
            <w:r>
              <w:t>Change control</w:t>
            </w:r>
          </w:p>
        </w:tc>
        <w:tc>
          <w:tcPr>
            <w:tcW w:type="dxa" w:w="4968"/>
          </w:tcPr>
          <w:p>
            <w:r>
              <w:t>Update this document and related tests when approved requirements change</w:t>
            </w:r>
          </w:p>
        </w:tc>
      </w:tr>
    </w:tbl>
    <w:p>
      <w:pPr>
        <w:pStyle w:val="Heading1"/>
      </w:pPr>
      <w:r>
        <w:t>1. Purpose</w:t>
      </w:r>
    </w:p>
    <w:p>
      <w:pPr>
        <w:pStyle w:val="ListBullet"/>
      </w:pPr>
      <w:r>
        <w:t>This document pack defines a practical first version of a hyperlocal grocery ordering platform for Balaji Provision Store. It is intended to be used by a founder, developer, designer, tester, and AI coding agent.</w:t>
      </w:r>
    </w:p>
    <w:p>
      <w:pPr>
        <w:pStyle w:val="ListBullet"/>
      </w:pPr>
      <w:r>
        <w:t>The goal is not to clone another company's branding or proprietary implementation. The goal is to provide familiar grocery-commerce workflows with a store-specific, reliable implementation.</w:t>
      </w:r>
    </w:p>
    <w:p>
      <w:pPr>
        <w:pStyle w:val="Heading1"/>
      </w:pPr>
      <w:r>
        <w:t>2. Business facts and assumptions</w:t>
      </w:r>
    </w:p>
    <w:p>
      <w:pPr>
        <w:pStyle w:val="ListBullet"/>
      </w:pPr>
      <w:r>
        <w:t>Store name: Balaji Provision Store.</w:t>
      </w:r>
    </w:p>
    <w:p>
      <w:pPr>
        <w:pStyle w:val="ListBullet"/>
      </w:pPr>
      <w:r>
        <w:t>Customer contact number supplied by the owner: 9837803293.</w:t>
      </w:r>
    </w:p>
    <w:p>
      <w:pPr>
        <w:pStyle w:val="ListBullet"/>
      </w:pPr>
      <w:r>
        <w:t>Initial delivery-charge threshold: ₹250, editable in the manager dashboard. This is not a delivery-charge threshold; below-threshold orders are allowed and incur the configured delivery fee.</w:t>
      </w:r>
    </w:p>
    <w:p>
      <w:pPr>
        <w:pStyle w:val="ListBullet"/>
      </w:pPr>
      <w:r>
        <w:t>Business model: one store / one inventory initially, serving a defined local delivery area.</w:t>
      </w:r>
    </w:p>
    <w:p>
      <w:pPr>
        <w:pStyle w:val="ListBullet"/>
      </w:pPr>
      <w:r>
        <w:t>Initial channel recommendation: responsive customer web app/PWA plus a separate private store admin website. This avoids maintaining two native apps at the start. A native Android app can be added after the workflow is proven.</w:t>
      </w:r>
    </w:p>
    <w:p>
      <w:pPr>
        <w:pStyle w:val="ListBullet"/>
      </w:pPr>
      <w:r>
        <w:t>Delivery promise: do not advertise a fixed 10-minute promise until the store has validated inventory, staffing, distance, and capacity. Start with an honest estimated delivery window.</w:t>
      </w:r>
    </w:p>
    <w:p>
      <w:pPr>
        <w:pStyle w:val="ListBullet"/>
      </w:pPr>
      <w:r>
        <w:t>Payment recommendation: support Cash on Delivery first if operationally suitable; add a payment gateway only after merchant onboarding, webhook verification, refunds, and reconciliation are tested.</w:t>
      </w:r>
    </w:p>
    <w:p>
      <w:pPr>
        <w:pStyle w:val="ListBullet"/>
      </w:pPr>
      <w:r>
        <w:t>Unknowns requiring owner decisions are listed in the Open Decisions document. Do not invent values for these.</w:t>
      </w:r>
    </w:p>
    <w:p>
      <w:pPr>
        <w:pStyle w:val="Heading1"/>
      </w:pPr>
      <w:r>
        <w:t>3. Included documents</w:t>
      </w:r>
    </w:p>
    <w:p>
      <w:pPr>
        <w:pStyle w:val="ListBullet"/>
      </w:pPr>
      <w:r>
        <w:t>01_PRD.docx — product vision, users, scope, requirements, metrics, and release priorities.</w:t>
      </w:r>
    </w:p>
    <w:p>
      <w:pPr>
        <w:pStyle w:val="ListBullet"/>
      </w:pPr>
      <w:r>
        <w:t>02_SDLC_and_Project_Plan.docx — lifecycle, work phases, gates, roles, and deliverables.</w:t>
      </w:r>
    </w:p>
    <w:p>
      <w:pPr>
        <w:pStyle w:val="ListBullet"/>
      </w:pPr>
      <w:r>
        <w:t>03_SRS_and_Acceptance_Criteria.docx — detailed functional and non-functional requirements with testable acceptance criteria.</w:t>
      </w:r>
    </w:p>
    <w:p>
      <w:pPr>
        <w:pStyle w:val="ListBullet"/>
      </w:pPr>
      <w:r>
        <w:t>04_Technical_Architecture_Data_and_API.docx — suggested architecture, entities, business rules, API contracts, and key transaction flows.</w:t>
      </w:r>
    </w:p>
    <w:p>
      <w:pPr>
        <w:pStyle w:val="ListBullet"/>
      </w:pPr>
      <w:r>
        <w:t>05_UX_Content_and_Screen_Spec.docx — screens, navigation, accessibility, and copy requirements.</w:t>
      </w:r>
    </w:p>
    <w:p>
      <w:pPr>
        <w:pStyle w:val="ListBullet"/>
      </w:pPr>
      <w:r>
        <w:t>06_QA_Test_Plan.docx — test strategy, cases, security checks, and release criteria.</w:t>
      </w:r>
    </w:p>
    <w:p>
      <w:pPr>
        <w:pStyle w:val="ListBullet"/>
      </w:pPr>
      <w:r>
        <w:t>07_Deployment_Security_and_Operations.docx — environments, secrets, backups, monitoring, incident response, and launch checklist.</w:t>
      </w:r>
    </w:p>
    <w:p>
      <w:pPr>
        <w:pStyle w:val="ListBullet"/>
      </w:pPr>
      <w:r>
        <w:t>08_Open_Decisions_and_Risks.docx — unresolved business choices, risks, mitigations, and launch checklist.</w:t>
      </w:r>
    </w:p>
    <w:p>
      <w:pPr>
        <w:pStyle w:val="Heading1"/>
      </w:pPr>
      <w:r>
        <w:t>4. Suggested baseline stack</w:t>
      </w:r>
    </w:p>
    <w:p>
      <w:pPr>
        <w:pStyle w:val="ListBullet"/>
      </w:pPr>
      <w:r>
        <w:t>Frontend: Next.js App Router + TypeScript + responsive UI, deployed as a web app/PWA. Official docs: https://nextjs.org/docs</w:t>
      </w:r>
    </w:p>
    <w:p>
      <w:pPr>
        <w:pStyle w:val="ListBullet"/>
      </w:pPr>
      <w:r>
        <w:t>Backend/data/auth: Supabase (PostgreSQL, Auth, Storage, Realtime where useful) with Row Level Security policies. Official Next.js quickstart: https://supabase.com/docs/guides/auth/quickstarts/nextjs</w:t>
      </w:r>
    </w:p>
    <w:p>
      <w:pPr>
        <w:pStyle w:val="ListBullet"/>
      </w:pPr>
      <w:r>
        <w:t>Hosting: a managed host compatible with Next.js; database/auth/storage via Supabase. Confirm regional availability, pricing, limits, backups, and production terms before committing.</w:t>
      </w:r>
    </w:p>
    <w:p>
      <w:pPr>
        <w:pStyle w:val="ListBullet"/>
      </w:pPr>
      <w:r>
        <w:t>Payments: optional gateway selected after business onboarding. Verify signatures on server-side webhooks; never trust a client redirect alone to mark an order paid.</w:t>
      </w:r>
    </w:p>
    <w:p>
      <w:pPr>
        <w:pStyle w:val="ListBullet"/>
      </w:pPr>
      <w:r>
        <w:t>Notifications: begin with order status in-app and optional WhatsApp/manual phone contact; add push/SMS only after provider setup and consent requirements are clear.</w:t>
      </w:r>
    </w:p>
    <w:p>
      <w:pPr>
        <w:pStyle w:val="ListBullet"/>
      </w:pPr>
      <w:r>
        <w:t>Maps/geocoding: optional for MVP. Start with manual address, landmark, pin code, and delivery-zone validation if that is sufficient for the service area.</w:t>
      </w:r>
    </w:p>
    <w:p>
      <w:pPr>
        <w:pStyle w:val="Heading1"/>
      </w:pPr>
      <w:r>
        <w:t>5. Master prompt for an AI coding agent</w:t>
      </w:r>
    </w:p>
    <w:p>
      <w:pPr>
        <w:pStyle w:val="ListBullet"/>
      </w:pPr>
      <w:r>
        <w:t>Act as a senior product engineer, architect, security engineer, UX designer, QA lead, and technical writer. Build the Balaji Provision Store hyperlocal grocery ordering platform strictly from the supplied PRD, SRS, architecture, UX, QA, deployment, and open-decisions documents.</w:t>
      </w:r>
    </w:p>
    <w:p>
      <w:pPr>
        <w:pStyle w:val="ListBullet"/>
      </w:pPr>
      <w:r>
        <w:t>Before coding: inspect the repository, summarize the current state, identify unanswered decisions, propose a phased implementation plan, and list assumptions. Do not silently invent business policies. Use safe defaults and mark unresolved choices.</w:t>
      </w:r>
    </w:p>
    <w:p>
      <w:pPr>
        <w:pStyle w:val="ListBullet"/>
      </w:pPr>
      <w:r>
        <w:t>Build a responsive customer shopping experience and a separately protected store-admin dashboard backed by one shared database and server-side business logic. Use the dashboard-configured delivery-charge threshold; never block an order merely because it is below ₹250. Treat the browser as untrusted. Use role-based authorization, least privilege, Row Level Security where applicable, schema validation, secure secrets, audit events for sensitive admin actions, and idempotent order creation.</w:t>
      </w:r>
    </w:p>
    <w:p>
      <w:pPr>
        <w:pStyle w:val="ListBullet"/>
      </w:pPr>
      <w:r>
        <w:t>Use database transactions or equivalent concurrency-safe logic for order placement and stock changes. Store price/name/unit snapshots in order items so historic receipts do not change when the catalogue changes. Never expose service-role keys or payment secrets to the browser. Verify payment webhooks and make webhook processing idempotent.</w:t>
      </w:r>
    </w:p>
    <w:p>
      <w:pPr>
        <w:pStyle w:val="ListBullet"/>
      </w:pPr>
      <w:r>
        <w:t>Work in small, reviewable milestones. For each milestone: implement, run formatting/lint/type checks, run unit/integration tests, explain files changed, report test results honestly, and document any remaining risks. Do not claim tests passed unless they were executed. Do not leave critical flows as fake buttons, hard-coded success states, or TODOs.</w:t>
      </w:r>
    </w:p>
    <w:p>
      <w:pPr>
        <w:pStyle w:val="ListBullet"/>
      </w:pPr>
      <w:r>
        <w:t>Create migrations and seed data; document environment variables in .env.example without real secrets; include a README with exact setup commands; add error, empty, loading, and offline states; provide accessible labels and keyboard navigation. Never use real customer data in seeds.</w:t>
      </w:r>
    </w:p>
    <w:p>
      <w:pPr>
        <w:pStyle w:val="ListBullet"/>
      </w:pPr>
      <w:r>
        <w:t>Follow this priority: (1) project skeleton and migrations, (2) auth/roles and catalogue, (3) cart and server-side delivery-charge threshold and fee validation, (4) transactional order placement, (5) admin order queue/status transitions, (6) inventory and product management, (7) customer order history/status, (8) payments and notifications only when provider details are configured, (9) hardening, observability, and deployment.</w:t>
      </w:r>
    </w:p>
    <w:p>
      <w:pPr>
        <w:pStyle w:val="ListBullet"/>
      </w:pPr>
      <w:r>
        <w:t>Acceptance means the requirements in the SRS and QA plan pass. If a requirement conflicts with security or reliable order handling, stop and explain the conflict rather than weakening controls. Keep a decision log and update docs when an approved decision changes.</w:t>
      </w:r>
    </w:p>
    <w:p>
      <w:pPr>
        <w:pStyle w:val="Heading1"/>
      </w:pPr>
      <w:r>
        <w:t>6. How to use this pack</w:t>
      </w:r>
    </w:p>
    <w:p>
      <w:pPr>
        <w:pStyle w:val="ListBullet"/>
      </w:pPr>
      <w:r>
        <w:t>1. Review the PRD and Open Decisions with the store owner.</w:t>
      </w:r>
    </w:p>
    <w:p>
      <w:pPr>
        <w:pStyle w:val="ListBullet"/>
      </w:pPr>
      <w:r>
        <w:t>2. Resolve P0 decisions: delivery area, hours, delivery fee, cancellation/refund rules, product units, payment modes, and who fulfils deliveries.</w:t>
      </w:r>
    </w:p>
    <w:p>
      <w:pPr>
        <w:pStyle w:val="ListBullet"/>
      </w:pPr>
      <w:r>
        <w:t>3. Ask the AI agent to plan only Phase 1. Review the plan before allowing code changes.</w:t>
      </w:r>
    </w:p>
    <w:p>
      <w:pPr>
        <w:pStyle w:val="ListBullet"/>
      </w:pPr>
      <w:r>
        <w:t>4. Require migrations, tests, and a working demo after each milestone.</w:t>
      </w:r>
    </w:p>
    <w:p>
      <w:pPr>
        <w:pStyle w:val="ListBullet"/>
      </w:pPr>
      <w:r>
        <w:t>5. Do not launch publicly until the release gate in the QA and Operations documents is met.</w:t>
      </w:r>
    </w:p>
    <w:p>
      <w:r>
        <w:br w:type="page"/>
      </w:r>
    </w:p>
    <w:p>
      <w:pPr>
        <w:pStyle w:val="Heading1"/>
      </w:pPr>
      <w:r>
        <w:t>Owner-approved update — Version 1.1</w:t>
      </w:r>
    </w:p>
    <w:p>
      <w:r>
        <w:t>This update supersedes any conflicting baseline assumptions in this document. Approved choices are recorded below; unknowns remain open and must not be silently invented by an AI coding agent.</w:t>
      </w:r>
    </w:p>
    <w:p>
      <w:pPr>
        <w:pStyle w:val="ListBullet"/>
      </w:pPr>
      <w:r>
        <w:rPr>
          <w:b/>
        </w:rPr>
        <w:t xml:space="preserve">Service area: </w:t>
      </w:r>
      <w:r>
        <w:t>Local neighbourhood; exact neighbourhoods, PIN codes, and service boundary remain to be confirmed.</w:t>
      </w:r>
    </w:p>
    <w:p>
      <w:pPr>
        <w:pStyle w:val="ListBullet"/>
      </w:pPr>
      <w:r>
        <w:rPr>
          <w:b/>
        </w:rPr>
        <w:t xml:space="preserve">Customer platform: </w:t>
      </w:r>
      <w:r>
        <w:t>Native Android customer app plus a separate store management website. A shared backend serves both.</w:t>
      </w:r>
    </w:p>
    <w:p>
      <w:pPr>
        <w:pStyle w:val="ListBullet"/>
      </w:pPr>
      <w:r>
        <w:rPr>
          <w:b/>
        </w:rPr>
        <w:t xml:space="preserve">Payment: </w:t>
      </w:r>
      <w:r>
        <w:t>Cash on Delivery (COD) and online payments. Online payment provider, merchant onboarding, supported methods, webhook setup, and refund/reconciliation process remain open.</w:t>
      </w:r>
    </w:p>
    <w:p>
      <w:pPr>
        <w:pStyle w:val="ListBullet"/>
      </w:pPr>
      <w:r>
        <w:rPr>
          <w:b/>
        </w:rPr>
        <w:t xml:space="preserve">Delivery: </w:t>
      </w:r>
      <w:r>
        <w:t>A dedicated delivery person. Staffing capacity, working hours, delivery assignment workflow, and delivery fee/ETA remain open.</w:t>
      </w:r>
    </w:p>
    <w:p>
      <w:pPr>
        <w:pStyle w:val="ListBullet"/>
      </w:pPr>
      <w:r>
        <w:rPr>
          <w:b/>
        </w:rPr>
        <w:t xml:space="preserve">Catalogue setup: </w:t>
      </w:r>
      <w:r>
        <w:t>Products will initially be entered manually through the store dashboard. Bulk CSV import is not an MVP requirement.</w:t>
      </w:r>
    </w:p>
    <w:p>
      <w:pPr>
        <w:pStyle w:val="ListBullet"/>
      </w:pPr>
      <w:r>
        <w:rPr>
          <w:b/>
        </w:rPr>
        <w:t xml:space="preserve">Budget: </w:t>
      </w:r>
      <w:r>
        <w:t>Keep initial costs minimal. Prefer a modular monolith and managed services with free/low-cost tiers where appropriate; verify current limits, production suitability, and ongoing costs before launch.</w:t>
      </w:r>
    </w:p>
    <w:p>
      <w:pPr>
        <w:pStyle w:val="ListBullet"/>
      </w:pPr>
      <w:r>
        <w:rPr>
          <w:b/>
        </w:rPr>
        <w:t>Delivery-charge threshold: initial value ₹250, editable in the dashboard. Not a delivery-charge threshold; below-threshold orders are accepted with the configured delivery fee.</w:t>
      </w:r>
      <w:r/>
    </w:p>
    <w:p>
      <w:pPr>
        <w:pStyle w:val="ListBullet"/>
      </w:pPr>
      <w:r>
        <w:rPr>
          <w:b/>
        </w:rPr>
        <w:t xml:space="preserve">Store contact: </w:t>
      </w:r>
      <w:r>
        <w:t>9837803293.</w:t>
      </w:r>
    </w:p>
    <w:p>
      <w:pPr>
        <w:pStyle w:val="Heading2"/>
      </w:pPr>
      <w:r>
        <w:t>Implementation implications</w:t>
      </w:r>
    </w:p>
    <w:p>
      <w:pPr>
        <w:pStyle w:val="ListBullet"/>
      </w:pPr>
      <w:r>
        <w:t>Build a native Android customer application and a separately protected store-management website, backed by one shared backend and database.</w:t>
      </w:r>
    </w:p>
    <w:p>
      <w:pPr>
        <w:pStyle w:val="ListBullet"/>
      </w:pPr>
      <w:r>
        <w:t>Keep the MVP architecture simple and low-cost. Avoid microservices, expensive real-time maps, and unnecessary paid integrations until the pilot proves they are needed.</w:t>
      </w:r>
    </w:p>
    <w:p>
      <w:pPr>
        <w:pStyle w:val="ListBullet"/>
      </w:pPr>
      <w:r>
        <w:t>Implement manual product/category creation and editing in the admin website as the primary catalogue workflow.</w:t>
      </w:r>
    </w:p>
    <w:p>
      <w:pPr>
        <w:pStyle w:val="ListBullet"/>
      </w:pPr>
      <w:r>
        <w:t>Support COD and online payment, but online payment must remain gated until a provider is selected, merchant onboarding is complete, server-side webhook signature verification is implemented, duplicate events are idempotent, and refunds/reconciliation are tested in sandbox.</w:t>
      </w:r>
    </w:p>
    <w:p>
      <w:pPr>
        <w:pStyle w:val="ListBullet"/>
      </w:pPr>
      <w:r>
        <w:t>Include a dedicated-delivery-person workflow at MVP level: assign a delivery person to an order, show the assigned delivery details only to authorized staff, and allow status updates. A separate rider app is not approved by the owner yet; decide whether delivery updates happen through the admin website or a minimal mobile web view.</w:t>
      </w:r>
    </w:p>
    <w:p>
      <w:pPr>
        <w:pStyle w:val="ListBullet"/>
      </w:pPr>
      <w:r>
        <w:t>Keep the ₹250 delivery-charge threshold check on the server and test it at below-threshold, exact-threshold, and above-threshold values.</w:t>
      </w:r>
    </w:p>
    <w:p>
      <w:pPr>
        <w:pStyle w:val="ListBullet"/>
      </w:pPr>
      <w:r>
        <w:t>Do not promise 10-minute delivery. Configure an honest delivery window after neighbourhood boundaries, opening hours, rider capacity, and delivery fees are confirmed.</w:t>
      </w:r>
    </w:p>
    <w:p>
      <w:pPr>
        <w:pStyle w:val="ListBullet"/>
      </w:pPr>
      <w:r>
        <w:t>Before production, confirm privacy notice, terms, cancellation/refund policy, tax/invoice requirements, and applicable Indian legal obligations with qualified professionals.</w:t>
      </w:r>
    </w:p>
    <w:p>
      <w:pPr>
        <w:pStyle w:val="Heading2"/>
      </w:pPr>
      <w:r>
        <w:t>Remaining unknowns — owner follow-up required</w:t>
      </w:r>
    </w:p>
    <w:p>
      <w:pPr>
        <w:pStyle w:val="ListBullet"/>
      </w:pPr>
      <w:r>
        <w:t>Exact neighbourhoods/PIN codes and how serviceability will be validated.</w:t>
      </w:r>
    </w:p>
    <w:p>
      <w:pPr>
        <w:pStyle w:val="ListBullet"/>
      </w:pPr>
      <w:r>
        <w:t>Store opening hours, order cut-off times, holidays, and whether orders can be placed while the store is closed.</w:t>
      </w:r>
    </w:p>
    <w:p>
      <w:pPr>
        <w:pStyle w:val="ListBullet"/>
      </w:pPr>
      <w:r>
        <w:t>Delivery fee policy (free, flat, or zone-based), any free-delivery threshold, and minimum/maximum delivery distance.</w:t>
      </w:r>
    </w:p>
    <w:p>
      <w:pPr>
        <w:pStyle w:val="ListBullet"/>
      </w:pPr>
      <w:r>
        <w:t>Delivery person's working hours, capacity, assignment process, proof of delivery, cash collection/reconciliation, and backup coverage.</w:t>
      </w:r>
    </w:p>
    <w:p>
      <w:pPr>
        <w:pStyle w:val="ListBullet"/>
      </w:pPr>
      <w:r>
        <w:t>Delivery ETA promise and how delays are communicated.</w:t>
      </w:r>
    </w:p>
    <w:p>
      <w:pPr>
        <w:pStyle w:val="ListBullet"/>
      </w:pPr>
      <w:r>
        <w:t>Online payment provider and methods (UPI intent/collect, cards, net banking, wallets), merchant account, settlement, refunds, and provider fees.</w:t>
      </w:r>
    </w:p>
    <w:p>
      <w:pPr>
        <w:pStyle w:val="ListBullet"/>
      </w:pPr>
      <w:r>
        <w:t>Whether customers must register/login or may check out as guests; phone verification/OTP provider and cost.</w:t>
      </w:r>
    </w:p>
    <w:p>
      <w:pPr>
        <w:pStyle w:val="ListBullet"/>
      </w:pPr>
      <w:r>
        <w:t>Whether COD orders need phone confirmation and what happens after repeated failed deliveries.</w:t>
      </w:r>
    </w:p>
    <w:p>
      <w:pPr>
        <w:pStyle w:val="ListBullet"/>
      </w:pPr>
      <w:r>
        <w:t>Substitution policy when an item is out of stock; whether customer approval is required before dispatch.</w:t>
      </w:r>
    </w:p>
    <w:p>
      <w:pPr>
        <w:pStyle w:val="ListBullet"/>
      </w:pPr>
      <w:r>
        <w:t>Cancellation cutoff, refund timeline, partial refunds, and inventory restoration rules.</w:t>
      </w:r>
    </w:p>
    <w:p>
      <w:pPr>
        <w:pStyle w:val="ListBullet"/>
      </w:pPr>
      <w:r>
        <w:t>Product data fields, initial catalogue size, images, SKUs, units/pack sizes, stock counting process, and who updates stock.</w:t>
      </w:r>
    </w:p>
    <w:p>
      <w:pPr>
        <w:pStyle w:val="ListBullet"/>
      </w:pPr>
      <w:r>
        <w:t>Whether ₹250 eligibility is calculated before discounts, tax, and delivery fee; whether coupons are planned.</w:t>
      </w:r>
    </w:p>
    <w:p>
      <w:pPr>
        <w:pStyle w:val="ListBullet"/>
      </w:pPr>
      <w:r>
        <w:t>Android distribution method: Google Play release versus direct/internal APK during pilot; app signing and update ownership.</w:t>
      </w:r>
    </w:p>
    <w:p>
      <w:pPr>
        <w:pStyle w:val="ListBullet"/>
      </w:pPr>
      <w:r>
        <w:t>Monthly cost ceiling, domain choice, hosting/database plan, monitoring, SMS/WhatsApp/push budget, and support ownership.</w:t>
      </w:r>
    </w:p>
    <w:p>
      <w:pPr>
        <w:pStyle w:val="ListBullet"/>
      </w:pPr>
      <w:r>
        <w:t>Tax/GST applicability, invoice format, privacy/retention policy, terms of service, and consumer complaint process.</w:t>
      </w:r>
    </w:p>
    <w:p>
      <w:pPr>
        <w:pStyle w:val="Heading2"/>
      </w:pPr>
      <w:r>
        <w:t>Revised AI coding-agent instruction</w:t>
      </w:r>
    </w:p>
    <w:p>
      <w:r>
        <w:t>Build the native Android customer app and store management website as separate clients over one secure backend. Use the approved decisions above. Before implementation, propose a cost-conscious architecture and list unresolved decisions. Do not replace the Android app with a PWA, do not add CSV import as an MVP dependency, and do not mark online payments complete until sandbox, webhook, idempotency, refund, and reconciliation tests pass. Implement the dedicated delivery workflow only to the extent approved; ask whether a separate rider interface is needed. Work in milestones, write automated tests, report actual test results, and never deploy or use production credentials without explicit approval.</w:t>
      </w:r>
    </w:p>
    <w:p>
      <w:r>
        <w:br w:type="page"/>
      </w:r>
    </w:p>
    <w:p>
      <w:pPr>
        <w:pStyle w:val="Heading1"/>
      </w:pPr>
      <w:r>
        <w:t>Owner-requested dashboard capabilities — Version 1.2</w:t>
      </w:r>
    </w:p>
    <w:p>
      <w:r>
        <w:t>These requirements extend the Version 1.1 owner decisions. If an earlier section conflicts, this Version 1.2 update takes precedence.</w:t>
      </w:r>
    </w:p>
    <w:p>
      <w:pPr>
        <w:pStyle w:val="ListBullet"/>
      </w:pPr>
      <w:r>
        <w:rPr>
          <w:b/>
        </w:rPr>
        <w:t xml:space="preserve">Store manager configurable service area: </w:t>
      </w:r>
      <w:r>
        <w:t>An authorized manager can edit the delivery service area from the dashboard, including supported neighbourhoods/PIN codes or configured boundaries. Checkout must validate the customer's address against the latest active configuration on the server. Changes are audited and take effect predictably; do not rely only on a client-side map check.</w:t>
      </w:r>
    </w:p>
    <w:p>
      <w:pPr>
        <w:pStyle w:val="ListBullet"/>
      </w:pPr>
      <w:r>
        <w:rPr>
          <w:b/>
        </w:rPr>
        <w:t xml:space="preserve">Product and price management: </w:t>
      </w:r>
      <w:r>
        <w:t>An authorized manager can add, edit, deactivate, or mark products unavailable; change product names, category, description, unit/pack size, image, price, and stock. Server-side checkout uses current database prices. Existing orders retain immutable item/price snapshots.</w:t>
      </w:r>
    </w:p>
    <w:p>
      <w:pPr>
        <w:pStyle w:val="ListBullet"/>
      </w:pPr>
      <w:r>
        <w:rPr>
          <w:b/>
        </w:rPr>
        <w:t>Free-delivery threshold: An authorized manager can configure the minimum eligible merchandise subtotal for free delivery. Below the threshold, the configured delivery fee applies; at/above it, delivery fee is zero. The existing ₹250 delivery-charge threshold remains a separate rule unless the owner explicitly chooses otherwise. Both values are validated server-side and displayed clearly at cart/checkout.</w:t>
      </w:r>
      <w:r/>
    </w:p>
    <w:p>
      <w:pPr>
        <w:pStyle w:val="ListBullet"/>
      </w:pPr>
      <w:r>
        <w:rPr>
          <w:b/>
        </w:rPr>
        <w:t xml:space="preserve">Delivery-person accounts: </w:t>
      </w:r>
      <w:r>
        <w:t>A manager/admin can create delivery-person accounts with a unique user ID and temporary/initial credential or invitation flow, assign the delivery role, activate/deactivate the account, and reset access. Delivery persons must not be able to grant roles, manage products/prices, change service areas, view all customer records, or access unrelated orders.</w:t>
      </w:r>
    </w:p>
    <w:p>
      <w:pPr>
        <w:pStyle w:val="ListBullet"/>
      </w:pPr>
      <w:r>
        <w:rPr>
          <w:b/>
        </w:rPr>
        <w:t xml:space="preserve">Delivery assignment and limited access: </w:t>
      </w:r>
      <w:r>
        <w:t>Authorized staff can assign an order to an active delivery person. Delivery users see only assigned orders and only the customer contact/address and order details necessary to fulfil those orders. They can update only approved delivery statuses (for example picked up/out for delivery/delivered) and must not edit prices, payment records, or order items.</w:t>
      </w:r>
    </w:p>
    <w:p>
      <w:pPr>
        <w:pStyle w:val="ListBullet"/>
      </w:pPr>
      <w:r>
        <w:rPr>
          <w:b/>
        </w:rPr>
        <w:t>Audit and safety: Log actor, timestamp, entity, and relevant before/after values for changes to service area, prices, products, delivery-charge threshold, free-delivery threshold, delivery fee, delivery-user account status, assignments, and delivery status. Never log passwords, OTPs, access tokens, or payment secrets.</w:t>
      </w:r>
      <w:r/>
    </w:p>
    <w:p>
      <w:pPr>
        <w:pStyle w:val="Heading2"/>
      </w:pPr>
      <w:r>
        <w:t>Additional unknowns to confirm</w:t>
      </w:r>
    </w:p>
    <w:p>
      <w:pPr>
        <w:pStyle w:val="ListBullet"/>
      </w:pPr>
      <w:r>
        <w:t>Service-area editing method: postal codes/neighbourhood list, drawn map polygon, radius, or a combination; whether manager edits need immediate activation or scheduled effective time.</w:t>
      </w:r>
    </w:p>
    <w:p>
      <w:pPr>
        <w:pStyle w:val="ListBullet"/>
      </w:pPr>
      <w:r>
        <w:t>Free-delivery threshold amount and the delivery fee charged below it; confirm whether qualifying subtotal is calculated before discounts/tax.</w:t>
      </w:r>
    </w:p>
    <w:p>
      <w:pPr>
        <w:pStyle w:val="ListBullet"/>
      </w:pPr>
      <w:r>
        <w:t>Confirm that ₹250 is the minimum merchandise subtotal to place any order and is independent of the free-delivery threshold.</w:t>
      </w:r>
    </w:p>
    <w:p>
      <w:pPr>
        <w:pStyle w:val="ListBullet"/>
      </w:pPr>
      <w:r>
        <w:t>Delivery-person account login method: phone + OTP, username/user ID + password, or invitation link; who can reset credentials and how identity is verified.</w:t>
      </w:r>
    </w:p>
    <w:p>
      <w:pPr>
        <w:pStyle w:val="ListBullet"/>
      </w:pPr>
      <w:r>
        <w:t>Whether delivery persons use the Android customer app with a role-specific interface, a separate rider app, or a mobile-friendly delivery web view.</w:t>
      </w:r>
    </w:p>
    <w:p>
      <w:pPr>
        <w:pStyle w:val="ListBullet"/>
      </w:pPr>
      <w:r>
        <w:t>Delivery statuses permitted for riders and what proof of delivery is required (OTP, photo, signature, or manager confirmation).</w:t>
      </w:r>
    </w:p>
    <w:p>
      <w:pPr>
        <w:pStyle w:val="ListBullet"/>
      </w:pPr>
      <w:r>
        <w:t>Whether delivery persons may collect COD and how cash is reconciled at end of shift.</w:t>
      </w:r>
    </w:p>
    <w:p>
      <w:pPr>
        <w:pStyle w:val="ListBullet"/>
      </w:pPr>
      <w:r>
        <w:t>Whether the store manager may create additional manager/admin users or only delivery-person accounts; avoid unrestricted self-service role escalation.</w:t>
      </w:r>
    </w:p>
    <w:p>
      <w:pPr>
        <w:pStyle w:val="Heading2"/>
      </w:pPr>
      <w:r>
        <w:t>AI coding-agent instructions for Version 1.2</w:t>
      </w:r>
    </w:p>
    <w:p>
      <w:r>
        <w:t>Implement manager-configurable delivery service areas, product/catalogue and price editing, a free-delivery threshold independent from the ₹250 delivery-charge threshold, and manager-created delivery-person identities. Use server-side authorization for every mutation and checkout decision. Delivery accounts must be least-privilege, and delivery persons must see only assigned orders. Create unique account identifiers without predictable insecure passwords; use a secure invitation/temporary credential reset flow and never display stored passwords. Add database migrations, validation, audit events, and automated tests for all these capabilities. Do not hard-code service areas, product prices, delivery fees, or free-delivery threshold in the frontend.</w:t>
      </w:r>
    </w:p>
    <w:p>
      <w:r>
        <w:br w:type="page"/>
      </w:r>
    </w:p>
    <w:p>
      <w:pPr>
        <w:pStyle w:val="Heading1"/>
      </w:pPr>
      <w:r>
        <w:t>Project-wide approved requirements — Version 1.3</w:t>
      </w:r>
    </w:p>
    <w:p>
      <w:pPr>
        <w:pStyle w:val="ListBullet"/>
      </w:pPr>
      <w:r>
        <w:t>This amendment incorporates the owner-edited PRD and the owner’s later clarifications. It takes precedence over any conflicting older baseline text in this document pack.</w:t>
      </w:r>
    </w:p>
    <w:p>
      <w:pPr>
        <w:pStyle w:val="ListBullet"/>
      </w:pPr>
      <w:r>
        <w:t>Customer platform: native Android customer app plus a separately protected store-management website, using one shared backend and database.</w:t>
      </w:r>
    </w:p>
    <w:p>
      <w:pPr>
        <w:pStyle w:val="ListBullet"/>
      </w:pPr>
      <w:r>
        <w:t>Payments: support Cash on Delivery (COD) and online payments. Online payments must remain gated until a provider is selected, merchant onboarding is complete, server-side webhook verification and idempotency are implemented, and payment/refund/reconciliation flows are tested.</w:t>
      </w:r>
    </w:p>
    <w:p>
      <w:pPr>
        <w:pStyle w:val="ListBullet"/>
      </w:pPr>
      <w:r>
        <w:t>Delivery: use a dedicated delivery person. The manager/admin can create unique delivery-person user IDs, configure access, assign deliveries, deactivate accounts, and reset access. Delivery users may see only orders assigned to them and only the data needed to fulfil them.</w:t>
      </w:r>
    </w:p>
    <w:p>
      <w:pPr>
        <w:pStyle w:val="ListBullet"/>
      </w:pPr>
      <w:r>
        <w:t>Catalogue: the manager enters and maintains products manually through the dashboard. The manager can edit product information, categories, prices, pack/unit/weight, images, stock, and availability.</w:t>
      </w:r>
    </w:p>
    <w:p>
      <w:pPr>
        <w:pStyle w:val="ListBullet"/>
      </w:pPr>
      <w:r>
        <w:t>Service area: the manager can change supported neighbourhoods/PIN codes or configured delivery boundaries from the dashboard. The server validates customer addresses against the active service area.</w:t>
      </w:r>
    </w:p>
    <w:p>
      <w:pPr>
        <w:pStyle w:val="ListBullet"/>
      </w:pPr>
      <w:r>
        <w:t>Delivery-charge policy: ₹250 is the initial configurable delivery-charge threshold, not a minimum order requirement. Customers may place orders below the threshold; orders below the currently configured threshold incur the configured delivery fee. The manager can change this threshold and delivery fee in the dashboard. Do not block checkout merely because the cart is below ₹250.</w:t>
      </w:r>
    </w:p>
    <w:p>
      <w:pPr>
        <w:pStyle w:val="ListBullet"/>
      </w:pPr>
      <w:r>
        <w:t>Free-delivery rule: keep the free-delivery threshold as a separate dashboard setting. If the business configures a free-delivery threshold, delivery is free at/above that threshold and the configured delivery fee applies below it, subject to the independently configured delivery-charge policy. Avoid ambiguous labels: clearly distinguish “delivery-charge threshold” from “free-delivery threshold”. Exact values and precedence must be shown consistently in cart, checkout, backend rules, and tests.</w:t>
      </w:r>
    </w:p>
    <w:p>
      <w:pPr>
        <w:pStyle w:val="ListBullet"/>
      </w:pPr>
      <w:r>
        <w:t>Budget: keep initial costs minimal; use a simple modular architecture and verify ongoing service costs before launch.</w:t>
      </w:r>
    </w:p>
    <w:p>
      <w:pPr>
        <w:pStyle w:val="ListBullet"/>
      </w:pPr>
      <w:r>
        <w:t>Security: enforce server-side authorization, least privilege, safe account setup/reset, and audit sensitive changes including service area, product/price/stock, delivery-charge threshold, free-delivery threshold, delivery fee, delivery accounts, assignments, and delivery status. Never log passwords, OTPs, tokens, or payment secrets.</w:t>
      </w:r>
    </w:p>
    <w:p>
      <w:pPr>
        <w:pStyle w:val="ListBullet"/>
      </w:pPr>
      <w:r>
        <w:t>AI implementation instruction: do not enforce a hard ₹250 minimum order. Treat the current ₹250 as an editable delivery-charge threshold unless the owner explicitly approves a separate minimum-order rule in the future. Test below threshold, exactly at threshold, and above threshold; include a test proving a below-threshold order is accepted and delivery fee is charged.</w:t>
      </w:r>
    </w:p>
    <w:p>
      <w:pPr>
        <w:pStyle w:val="Heading1"/>
      </w:pPr>
      <w:r>
        <w:t>Billing, POS, and quantity rules — owner-requested update</w:t>
      </w:r>
    </w:p>
    <w:p>
      <w:pPr>
        <w:pStyle w:val="ListBullet"/>
      </w:pPr>
      <w:r>
        <w:t>Provide one billing system for online orders and in-store/manual shop sales. Authorized staff can generate, view, download, and print bills. Include a unique bill number, date/time, line items, quantities and units, unit prices, line totals, subtotal, delivery fee where applicable, configured discounts/taxes, grand total, and payment method/status.</w:t>
      </w:r>
    </w:p>
    <w:p>
      <w:pPr>
        <w:pStyle w:val="ListBullet"/>
      </w:pPr>
      <w:r>
        <w:t>Online order bills must use immutable order-item and price snapshots so later inventory edits do not alter historical bills. Provide Download and Print actions in the management dashboard; customer access may be provided for that customer's own order.</w:t>
      </w:r>
    </w:p>
    <w:p>
      <w:pPr>
        <w:pStyle w:val="ListBullet"/>
      </w:pPr>
      <w:r>
        <w:t>Manual shop billing must provide a POS screen where staff search/select an inventory product and enter quantity. Fetch the current selling price from inventory and recalculate line and bill totals automatically whenever quantity changes. Do not accept arbitrary client-side prices; any explicitly permitted override must be role-controlled and audited.</w:t>
      </w:r>
    </w:p>
    <w:p>
      <w:pPr>
        <w:pStyle w:val="ListBullet"/>
      </w:pPr>
      <w:r>
        <w:t>Each inventory product must be configured as Weighted or Packed. Weighted products accept positive quantities in grams or kilograms, converted consistently to a canonical unit (grams recommended) for pricing and stock. Packed products accept positive integer quantities only; reject zero, negative, fractional, or malformed quantities.</w:t>
      </w:r>
    </w:p>
    <w:p>
      <w:pPr>
        <w:pStyle w:val="ListBullet"/>
      </w:pPr>
      <w:r>
        <w:t>Each product must have an explicit selling-price basis, such as per kg for weighted items and per pack/piece for packed items. Bills must show quantity and unit clearly (e.g. 250 g, 1.5 kg, 3 packs) and calculate totals using the configured price basis.</w:t>
      </w:r>
    </w:p>
    <w:p>
      <w:pPr>
        <w:pStyle w:val="ListBullet"/>
      </w:pPr>
      <w:r>
        <w:t>Record manual sale, bill, and stock deduction consistently and transaction-safely. Prevent overselling. Audit manual bills, voids/corrections, stock changes, and permitted price overrides. Define refund and bill-correction procedures before production.</w:t>
      </w:r>
    </w:p>
    <w:p>
      <w:pPr>
        <w:pStyle w:val="ListBullet"/>
      </w:pPr>
      <w:r>
        <w:t>Add acceptance tests for online bill download/print, manual product search and auto-pricing, quantity-driven recalculation, weighted grams/kilograms, packed integer validation, rounding, insufficient stock, and historical bill stability.</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Balaji Provision Store | Project documentation pack | Draft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5121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52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