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2101" w14:textId="5FD724DA" w:rsidR="00F22768" w:rsidRPr="0078310A" w:rsidRDefault="00F22768">
      <w:pPr>
        <w:rPr>
          <w:sz w:val="28"/>
          <w:szCs w:val="28"/>
        </w:rPr>
      </w:pPr>
      <w:r w:rsidRPr="0078310A">
        <w:rPr>
          <w:sz w:val="28"/>
          <w:szCs w:val="28"/>
        </w:rPr>
        <w:t>What is digital wallet?</w:t>
      </w:r>
    </w:p>
    <w:p w14:paraId="2E6A3938" w14:textId="6BB5857B" w:rsidR="00F22768" w:rsidRPr="0078310A" w:rsidRDefault="00F22768">
      <w:pPr>
        <w:rPr>
          <w:sz w:val="32"/>
          <w:szCs w:val="32"/>
        </w:rPr>
      </w:pPr>
      <w:r w:rsidRPr="0078310A">
        <w:rPr>
          <w:sz w:val="32"/>
          <w:szCs w:val="32"/>
        </w:rPr>
        <w:t>Digital wallet Is a cashless and contactless wallet used to collect the money received from vouchers which is based on the concept of e-RUPI. The digital wallet is not dependent on the banks. It is made in such a way that the people who is unbanked or limited to the internet, wallet presents a smooth and convenient method for beneficiaries to redeem services provided by government through e-RUPI.</w:t>
      </w:r>
    </w:p>
    <w:p w14:paraId="6B6E49A2" w14:textId="7E245031" w:rsidR="00F22768" w:rsidRPr="0078310A" w:rsidRDefault="00F22768">
      <w:pPr>
        <w:rPr>
          <w:sz w:val="28"/>
          <w:szCs w:val="28"/>
        </w:rPr>
      </w:pPr>
      <w:r w:rsidRPr="0078310A">
        <w:rPr>
          <w:sz w:val="28"/>
          <w:szCs w:val="28"/>
        </w:rPr>
        <w:t>How Does e-RUPI Operate?</w:t>
      </w:r>
    </w:p>
    <w:p w14:paraId="452EF427" w14:textId="77777777" w:rsidR="00F22768" w:rsidRPr="00F22768" w:rsidRDefault="00F22768" w:rsidP="0078310A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F22768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The corporate/Government Department (Sponsor) communicates information (specify fields such as name, cell phone number, amount, the purpose of the voucher, expiry date, and so on) with Issuer Bank to issue e-RUPI.</w:t>
      </w:r>
    </w:p>
    <w:p w14:paraId="355944A0" w14:textId="77777777" w:rsidR="00F22768" w:rsidRPr="00F22768" w:rsidRDefault="00F22768" w:rsidP="00F22768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F22768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The issuer bank/payer PSP submits a request to the NCPI (National Payments Corporation of India) to create an e-RUPI.</w:t>
      </w:r>
    </w:p>
    <w:p w14:paraId="3CAA7A67" w14:textId="77777777" w:rsidR="00F22768" w:rsidRPr="0078310A" w:rsidRDefault="00F22768" w:rsidP="00F22768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F22768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NPCI sends a success confirmation notification to Issuing Bank/Payer PSP. The issuer bank/payer PSP certifies e-RUPI generation back to the corporate/government entity, which will then distribute the QR or SMS string to the recipient.</w:t>
      </w:r>
    </w:p>
    <w:p w14:paraId="2A81DF53" w14:textId="11A44FFE" w:rsidR="00F22768" w:rsidRPr="0078310A" w:rsidRDefault="00F22768" w:rsidP="00F22768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The recipient receives the QR or SMS string in his wallet.</w:t>
      </w:r>
    </w:p>
    <w:p w14:paraId="1F76EEB3" w14:textId="725525C4" w:rsidR="00F22768" w:rsidRPr="00F22768" w:rsidRDefault="00F22768" w:rsidP="00F22768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If the QR or SMS is purpose specific then it will be saved in wallet. It </w:t>
      </w:r>
      <w:r w:rsidR="00B85129"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cannot</w:t>
      </w:r>
      <w:r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 be redeemed</w:t>
      </w:r>
      <w:r w:rsidR="00B85129"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. </w:t>
      </w:r>
    </w:p>
    <w:p w14:paraId="732697CF" w14:textId="77777777" w:rsidR="00F22768" w:rsidRPr="00F22768" w:rsidRDefault="00F22768" w:rsidP="00F22768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F22768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Beneficiary contacts merchant thru e-RUPI for redemption. Merchants validate e-RUPI vouchers, assess beneficiaries, and commence redemption requests. </w:t>
      </w:r>
    </w:p>
    <w:p w14:paraId="7A0471F7" w14:textId="5DE77AD8" w:rsidR="00E0414E" w:rsidRPr="0078310A" w:rsidRDefault="00F22768" w:rsidP="00E0414E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F22768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The merchant gives service to the recipient following successful redemption confirmation.</w:t>
      </w:r>
    </w:p>
    <w:p w14:paraId="4284BC51" w14:textId="7DC4FC2F" w:rsidR="0078310A" w:rsidRPr="0078310A" w:rsidRDefault="0078310A" w:rsidP="00E0414E">
      <w:pPr>
        <w:numPr>
          <w:ilvl w:val="0"/>
          <w:numId w:val="1"/>
        </w:numPr>
        <w:shd w:val="clear" w:color="auto" w:fill="FCFFFD"/>
        <w:spacing w:before="100" w:beforeAutospacing="1" w:after="75" w:line="390" w:lineRule="atLeast"/>
        <w:ind w:left="990"/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Inter" w:eastAsia="Times New Roman" w:hAnsi="Inter" w:cs="Times New Roman"/>
          <w:color w:val="333333"/>
          <w:kern w:val="0"/>
          <w:sz w:val="28"/>
          <w:szCs w:val="32"/>
          <w:lang w:eastAsia="en-IN"/>
          <w14:ligatures w14:val="none"/>
        </w:rPr>
        <w:t>If the QR or SMS message is not purpose specific not then can be redeemed in the wallet and we can use digital currency to transact from wallet to wallet.</w:t>
      </w:r>
    </w:p>
    <w:p w14:paraId="1437889D" w14:textId="77777777" w:rsidR="00F22768" w:rsidRDefault="00F22768"/>
    <w:p w14:paraId="5634BD04" w14:textId="77777777" w:rsidR="0078310A" w:rsidRDefault="0078310A"/>
    <w:p w14:paraId="121AA29C" w14:textId="77777777" w:rsidR="0078310A" w:rsidRDefault="0078310A"/>
    <w:p w14:paraId="194669FB" w14:textId="2F5DAD6C" w:rsidR="00AE44CA" w:rsidRDefault="00B07489">
      <w:r>
        <w:rPr>
          <w:noProof/>
        </w:rPr>
        <w:lastRenderedPageBreak/>
        <w:drawing>
          <wp:inline distT="0" distB="0" distL="0" distR="0" wp14:anchorId="52A66E59" wp14:editId="0847972A">
            <wp:extent cx="6188710" cy="4641850"/>
            <wp:effectExtent l="0" t="0" r="2540" b="6350"/>
            <wp:docPr id="75905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1D55" w14:textId="77777777" w:rsidR="00AE44CA" w:rsidRDefault="00AE44CA"/>
    <w:p w14:paraId="3A193FC6" w14:textId="77777777" w:rsidR="00AE44CA" w:rsidRDefault="00AE44CA"/>
    <w:p w14:paraId="0A0F51FE" w14:textId="77777777" w:rsidR="00AE44CA" w:rsidRDefault="00AE44CA"/>
    <w:p w14:paraId="1FE9E038" w14:textId="50F30ABE" w:rsidR="00176739" w:rsidRPr="0078310A" w:rsidRDefault="0078310A">
      <w:pPr>
        <w:rPr>
          <w:sz w:val="32"/>
          <w:szCs w:val="32"/>
        </w:rPr>
      </w:pPr>
      <w:r w:rsidRPr="0078310A">
        <w:rPr>
          <w:sz w:val="32"/>
          <w:szCs w:val="32"/>
        </w:rPr>
        <w:t>Benefits for Corporates:</w:t>
      </w:r>
    </w:p>
    <w:p w14:paraId="4A631493" w14:textId="220E35A0" w:rsidR="0078310A" w:rsidRPr="0078310A" w:rsidRDefault="0078310A" w:rsidP="0078310A">
      <w:pPr>
        <w:numPr>
          <w:ilvl w:val="0"/>
          <w:numId w:val="2"/>
        </w:numPr>
        <w:spacing w:after="3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Corporates can enable well-being of their employees by distributing the </w:t>
      </w:r>
      <w:r w:rsidR="00D336EE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e-RUPI</w:t>
      </w: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 Prepaid Vouchers</w:t>
      </w:r>
      <w:r w:rsidR="00D336EE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 which is collected in wallet.</w:t>
      </w:r>
    </w:p>
    <w:p w14:paraId="5619228B" w14:textId="77777777" w:rsidR="0078310A" w:rsidRPr="0078310A" w:rsidRDefault="0078310A" w:rsidP="0078310A">
      <w:pPr>
        <w:numPr>
          <w:ilvl w:val="0"/>
          <w:numId w:val="2"/>
        </w:numPr>
        <w:spacing w:after="3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It is an end-to-end digital transaction and does not require any physical issuance (card/voucher) hence leading to cost reduction</w:t>
      </w:r>
    </w:p>
    <w:p w14:paraId="1D4F11DA" w14:textId="481F4E4C" w:rsidR="0078310A" w:rsidRPr="0078310A" w:rsidRDefault="0078310A" w:rsidP="0078310A">
      <w:pPr>
        <w:numPr>
          <w:ilvl w:val="0"/>
          <w:numId w:val="2"/>
        </w:numPr>
        <w:spacing w:after="3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Visibility for voucher utilisation - Voucher redemption can be tracked by the </w:t>
      </w:r>
      <w:r w:rsidR="00D336EE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receiver.</w:t>
      </w:r>
    </w:p>
    <w:p w14:paraId="7D6CAC7C" w14:textId="6E7F3562" w:rsidR="0078310A" w:rsidRPr="0078310A" w:rsidRDefault="0078310A" w:rsidP="0078310A">
      <w:pPr>
        <w:numPr>
          <w:ilvl w:val="0"/>
          <w:numId w:val="2"/>
        </w:numPr>
        <w:spacing w:after="3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Quick, safe &amp; contactless voucher </w:t>
      </w:r>
      <w:r w:rsidR="00D336EE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 xml:space="preserve">redemption and digital </w:t>
      </w:r>
    </w:p>
    <w:p w14:paraId="0D3B835A" w14:textId="77777777" w:rsidR="0078310A" w:rsidRDefault="0078310A"/>
    <w:p w14:paraId="12A57279" w14:textId="42B12FE3" w:rsidR="0078310A" w:rsidRPr="0078310A" w:rsidRDefault="0078310A">
      <w:pPr>
        <w:rPr>
          <w:sz w:val="28"/>
          <w:szCs w:val="28"/>
        </w:rPr>
      </w:pPr>
      <w:r w:rsidRPr="0078310A">
        <w:rPr>
          <w:sz w:val="28"/>
          <w:szCs w:val="28"/>
        </w:rPr>
        <w:t>Benefits for End-users:</w:t>
      </w:r>
    </w:p>
    <w:p w14:paraId="00289169" w14:textId="77777777" w:rsidR="0078310A" w:rsidRPr="0078310A" w:rsidRDefault="0078310A" w:rsidP="0078310A">
      <w:pPr>
        <w:numPr>
          <w:ilvl w:val="0"/>
          <w:numId w:val="3"/>
        </w:numPr>
        <w:spacing w:after="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b/>
          <w:bCs/>
          <w:color w:val="333333"/>
          <w:kern w:val="0"/>
          <w:sz w:val="28"/>
          <w:szCs w:val="32"/>
          <w:bdr w:val="none" w:sz="0" w:space="0" w:color="auto" w:frame="1"/>
          <w:lang w:eastAsia="en-IN"/>
          <w14:ligatures w14:val="none"/>
        </w:rPr>
        <w:t>Contactless</w:t>
      </w: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 - Beneficiary need not carry a print out of the e-voucher</w:t>
      </w:r>
    </w:p>
    <w:p w14:paraId="2F5F1AD3" w14:textId="77777777" w:rsidR="0078310A" w:rsidRPr="0078310A" w:rsidRDefault="0078310A" w:rsidP="0078310A">
      <w:pPr>
        <w:numPr>
          <w:ilvl w:val="0"/>
          <w:numId w:val="3"/>
        </w:numPr>
        <w:spacing w:after="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b/>
          <w:bCs/>
          <w:color w:val="333333"/>
          <w:kern w:val="0"/>
          <w:sz w:val="28"/>
          <w:szCs w:val="32"/>
          <w:bdr w:val="none" w:sz="0" w:space="0" w:color="auto" w:frame="1"/>
          <w:lang w:eastAsia="en-IN"/>
          <w14:ligatures w14:val="none"/>
        </w:rPr>
        <w:t>Easy redemption</w:t>
      </w: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 - It is a 2-step redemption process</w:t>
      </w:r>
    </w:p>
    <w:p w14:paraId="6E94D489" w14:textId="77777777" w:rsidR="0078310A" w:rsidRPr="0078310A" w:rsidRDefault="0078310A" w:rsidP="0078310A">
      <w:pPr>
        <w:numPr>
          <w:ilvl w:val="0"/>
          <w:numId w:val="3"/>
        </w:numPr>
        <w:spacing w:after="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b/>
          <w:bCs/>
          <w:color w:val="333333"/>
          <w:kern w:val="0"/>
          <w:sz w:val="28"/>
          <w:szCs w:val="32"/>
          <w:bdr w:val="none" w:sz="0" w:space="0" w:color="auto" w:frame="1"/>
          <w:lang w:eastAsia="en-IN"/>
          <w14:ligatures w14:val="none"/>
        </w:rPr>
        <w:lastRenderedPageBreak/>
        <w:t>Safe and Secure</w:t>
      </w: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 - Beneficiaries do not need to share personal details and hence their privacy is maintained</w:t>
      </w:r>
    </w:p>
    <w:p w14:paraId="5EAA89B9" w14:textId="77777777" w:rsidR="0078310A" w:rsidRPr="0078310A" w:rsidRDefault="0078310A" w:rsidP="0078310A">
      <w:pPr>
        <w:numPr>
          <w:ilvl w:val="0"/>
          <w:numId w:val="3"/>
        </w:numPr>
        <w:spacing w:after="0" w:line="300" w:lineRule="atLeast"/>
        <w:ind w:left="1335"/>
        <w:textAlignment w:val="baseline"/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</w:pPr>
      <w:r w:rsidRPr="0078310A">
        <w:rPr>
          <w:rFonts w:ascii="open_sansregular" w:eastAsia="Times New Roman" w:hAnsi="open_sansregular" w:cs="Times New Roman"/>
          <w:b/>
          <w:bCs/>
          <w:color w:val="333333"/>
          <w:kern w:val="0"/>
          <w:sz w:val="28"/>
          <w:szCs w:val="32"/>
          <w:bdr w:val="none" w:sz="0" w:space="0" w:color="auto" w:frame="1"/>
          <w:lang w:eastAsia="en-IN"/>
          <w14:ligatures w14:val="none"/>
        </w:rPr>
        <w:t>Only mobile phone and e-voucher required</w:t>
      </w:r>
      <w:r w:rsidRPr="0078310A">
        <w:rPr>
          <w:rFonts w:ascii="open_sansregular" w:eastAsia="Times New Roman" w:hAnsi="open_sansregular" w:cs="Times New Roman"/>
          <w:color w:val="333333"/>
          <w:kern w:val="0"/>
          <w:sz w:val="28"/>
          <w:szCs w:val="32"/>
          <w:lang w:eastAsia="en-IN"/>
          <w14:ligatures w14:val="none"/>
        </w:rPr>
        <w:t> - Users redeeming the voucher need not have a digital payment app or a bank account</w:t>
      </w:r>
    </w:p>
    <w:p w14:paraId="2E7F4807" w14:textId="77777777" w:rsidR="0078310A" w:rsidRDefault="0078310A">
      <w:pPr>
        <w:rPr>
          <w:sz w:val="28"/>
          <w:szCs w:val="28"/>
        </w:rPr>
      </w:pPr>
    </w:p>
    <w:p w14:paraId="60AB6C6A" w14:textId="77777777" w:rsidR="00DA1234" w:rsidRPr="00DA1234" w:rsidRDefault="00DA1234" w:rsidP="00DA1234">
      <w:pPr>
        <w:rPr>
          <w:sz w:val="28"/>
          <w:szCs w:val="28"/>
        </w:rPr>
      </w:pPr>
    </w:p>
    <w:p w14:paraId="417E633D" w14:textId="77777777" w:rsidR="00DA1234" w:rsidRPr="00DA1234" w:rsidRDefault="00DA1234" w:rsidP="00DA1234">
      <w:pPr>
        <w:rPr>
          <w:sz w:val="28"/>
          <w:szCs w:val="28"/>
        </w:rPr>
      </w:pPr>
    </w:p>
    <w:p w14:paraId="4C30C845" w14:textId="77777777" w:rsidR="00DA1234" w:rsidRDefault="00DA1234" w:rsidP="00DA1234">
      <w:pPr>
        <w:rPr>
          <w:sz w:val="28"/>
          <w:szCs w:val="28"/>
        </w:rPr>
      </w:pPr>
    </w:p>
    <w:p w14:paraId="7146B2BC" w14:textId="5EB0B7E2" w:rsidR="00DA1234" w:rsidRPr="00DA1234" w:rsidRDefault="00DA1234" w:rsidP="00DA1234">
      <w:pPr>
        <w:jc w:val="center"/>
        <w:rPr>
          <w:sz w:val="28"/>
          <w:szCs w:val="28"/>
        </w:rPr>
      </w:pPr>
      <w:r w:rsidRPr="00DA1234">
        <w:rPr>
          <w:sz w:val="28"/>
          <w:szCs w:val="28"/>
        </w:rPr>
        <w:drawing>
          <wp:inline distT="0" distB="0" distL="0" distR="0" wp14:anchorId="3C8B503D" wp14:editId="479206A8">
            <wp:extent cx="4200739" cy="4732317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CCDCFF6-6C0A-7B7A-4334-4BECC2E5EF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CCDCFF6-6C0A-7B7A-4334-4BECC2E5EF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739" cy="47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234" w:rsidRPr="00DA1234" w:rsidSect="007831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open_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500"/>
    <w:multiLevelType w:val="multilevel"/>
    <w:tmpl w:val="F8C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20414"/>
    <w:multiLevelType w:val="multilevel"/>
    <w:tmpl w:val="55E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D2B8F"/>
    <w:multiLevelType w:val="multilevel"/>
    <w:tmpl w:val="7B9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636072">
    <w:abstractNumId w:val="2"/>
  </w:num>
  <w:num w:numId="2" w16cid:durableId="1182747321">
    <w:abstractNumId w:val="0"/>
  </w:num>
  <w:num w:numId="3" w16cid:durableId="1022439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39"/>
    <w:rsid w:val="00176739"/>
    <w:rsid w:val="004C30FD"/>
    <w:rsid w:val="0078310A"/>
    <w:rsid w:val="00937838"/>
    <w:rsid w:val="00AE44CA"/>
    <w:rsid w:val="00B07489"/>
    <w:rsid w:val="00B85129"/>
    <w:rsid w:val="00D336EE"/>
    <w:rsid w:val="00DA1234"/>
    <w:rsid w:val="00E0414E"/>
    <w:rsid w:val="00F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D635"/>
  <w15:chartTrackingRefBased/>
  <w15:docId w15:val="{C0178B5A-554D-413A-A57F-E525C098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83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Gupta</dc:creator>
  <cp:keywords/>
  <dc:description/>
  <cp:lastModifiedBy>Janhvi Gupta</cp:lastModifiedBy>
  <cp:revision>2</cp:revision>
  <dcterms:created xsi:type="dcterms:W3CDTF">2023-05-12T11:49:00Z</dcterms:created>
  <dcterms:modified xsi:type="dcterms:W3CDTF">2023-05-12T18:00:00Z</dcterms:modified>
</cp:coreProperties>
</file>