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95000">
      <w:pPr>
        <w:rPr>
          <w:rFonts w:hint="eastAsia" w:ascii="黑体" w:hAnsi="黑体" w:eastAsia="黑体" w:cs="黑体"/>
          <w:sz w:val="28"/>
          <w:szCs w:val="28"/>
        </w:rPr>
      </w:pPr>
      <w:r>
        <w:rPr>
          <w:rFonts w:hint="eastAsia" w:ascii="黑体" w:hAnsi="黑体" w:eastAsia="黑体" w:cs="黑体"/>
          <w:sz w:val="28"/>
          <w:szCs w:val="28"/>
        </w:rPr>
        <w:br w:type="page"/>
      </w:r>
    </w:p>
    <w:p w14:paraId="0D78FD70">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p>
    <w:p w14:paraId="04FE6963">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3F78CC40">
      <w:pPr>
        <w:pStyle w:val="9"/>
      </w:pPr>
      <w:r>
        <w:rPr>
          <w:rFonts w:hint="eastAsia" w:asciiTheme="minorHAnsi" w:hAnsiTheme="minorHAnsi" w:eastAsiaTheme="minorEastAsia" w:cstheme="minorBidi"/>
          <w:kern w:val="2"/>
          <w:sz w:val="32"/>
          <w:szCs w:val="24"/>
          <w:lang w:val="en-US" w:eastAsia="zh-CN" w:bidi="ar-SA"/>
        </w:rPr>
        <w:fldChar w:fldCharType="begin"/>
      </w:r>
      <w:r>
        <w:rPr>
          <w:rFonts w:hint="eastAsia" w:asciiTheme="minorHAnsi" w:hAnsiTheme="minorHAnsi" w:eastAsiaTheme="minorEastAsia" w:cstheme="minorBidi"/>
          <w:kern w:val="2"/>
          <w:sz w:val="32"/>
          <w:szCs w:val="24"/>
          <w:lang w:val="en-US" w:eastAsia="zh-CN" w:bidi="ar-SA"/>
        </w:rPr>
        <w:instrText xml:space="preserve">TOC \o "1-3" \h \u </w:instrText>
      </w:r>
      <w:r>
        <w:rPr>
          <w:rFonts w:hint="eastAsia" w:asciiTheme="minorHAnsi" w:hAnsiTheme="minorHAnsi" w:eastAsiaTheme="minorEastAsia" w:cstheme="minorBidi"/>
          <w:kern w:val="2"/>
          <w:sz w:val="32"/>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_Toc31234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前言:</w:t>
      </w:r>
      <w:r>
        <w:tab/>
      </w:r>
      <w:r>
        <w:fldChar w:fldCharType="begin"/>
      </w:r>
      <w:r>
        <w:instrText xml:space="preserve"> PAGEREF _Toc31234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71FE2AA9">
      <w:pPr>
        <w:pStyle w:val="9"/>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_Toc17704 </w:instrText>
      </w:r>
      <w:r>
        <w:rPr>
          <w:rFonts w:hint="eastAsia" w:asciiTheme="minorHAnsi" w:hAnsiTheme="minorHAnsi" w:eastAsiaTheme="minorEastAsia" w:cstheme="minorBidi"/>
          <w:kern w:val="2"/>
          <w:szCs w:val="24"/>
          <w:lang w:val="en-US" w:eastAsia="zh-CN" w:bidi="ar-SA"/>
        </w:rPr>
        <w:fldChar w:fldCharType="separate"/>
      </w:r>
      <w:r>
        <w:rPr>
          <w:rFonts w:hint="eastAsia"/>
        </w:rPr>
        <w:t>一、 我国人工智能赋能教育的发展现状</w:t>
      </w:r>
      <w:r>
        <w:tab/>
      </w:r>
      <w:r>
        <w:fldChar w:fldCharType="begin"/>
      </w:r>
      <w:r>
        <w:instrText xml:space="preserve"> PAGEREF _Toc17704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3F7102BB">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_Toc661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（一）发展现状</w:t>
      </w:r>
      <w:r>
        <w:tab/>
      </w:r>
      <w:r>
        <w:fldChar w:fldCharType="begin"/>
      </w:r>
      <w:r>
        <w:instrText xml:space="preserve"> PAGEREF _Toc661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51FC2B63">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_Toc26021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制度设计：顶层设计指导地方同步推进</w:t>
      </w:r>
      <w:r>
        <w:tab/>
      </w:r>
      <w:r>
        <w:fldChar w:fldCharType="begin"/>
      </w:r>
      <w:r>
        <w:instrText xml:space="preserve"> PAGEREF _Toc26021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75681B7E">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_Toc17053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基础</w:t>
      </w:r>
      <w:r>
        <w:rPr>
          <w:rFonts w:hint="eastAsia"/>
          <w:lang w:val="en-US" w:eastAsia="zh-CN"/>
        </w:rPr>
        <w:t>建设：以</w:t>
      </w:r>
      <w:r>
        <w:rPr>
          <w:rFonts w:hint="default"/>
          <w:lang w:val="en-US" w:eastAsia="zh-CN"/>
        </w:rPr>
        <w:t>国家平台为枢纽省域底座为中枢纵向贯通</w:t>
      </w:r>
      <w:r>
        <w:tab/>
      </w:r>
      <w:r>
        <w:fldChar w:fldCharType="begin"/>
      </w:r>
      <w:r>
        <w:instrText xml:space="preserve"> PAGEREF _Toc17053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2E7E6913">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_Toc20656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技术应用：从单一工具向多元主体拓展</w:t>
      </w:r>
      <w:r>
        <w:tab/>
      </w:r>
      <w:r>
        <w:fldChar w:fldCharType="begin"/>
      </w:r>
      <w:r>
        <w:instrText xml:space="preserve"> PAGEREF _Toc20656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02AC5293">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_Toc20790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行业生态：国家引领、地方跟进、产学研协同</w:t>
      </w:r>
      <w:r>
        <w:tab/>
      </w:r>
      <w:r>
        <w:fldChar w:fldCharType="begin"/>
      </w:r>
      <w:r>
        <w:instrText xml:space="preserve"> PAGEREF _Toc20790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454EB36F">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_Toc16980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（二）</w:t>
      </w:r>
      <w:r>
        <w:rPr>
          <w:rFonts w:hint="default"/>
        </w:rPr>
        <w:t>结构性挑战与瓶颈</w:t>
      </w:r>
      <w:r>
        <w:tab/>
      </w:r>
      <w:r>
        <w:fldChar w:fldCharType="begin"/>
      </w:r>
      <w:r>
        <w:instrText xml:space="preserve"> PAGEREF _Toc16980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59589D0C">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_Toc32281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数据风险：教育数据泄露泛化</w:t>
      </w:r>
      <w:r>
        <w:tab/>
      </w:r>
      <w:r>
        <w:fldChar w:fldCharType="begin"/>
      </w:r>
      <w:r>
        <w:instrText xml:space="preserve"> PAGEREF _Toc32281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11771ED8">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_Toc10202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技术风险：技术程序标准缺失</w:t>
      </w:r>
      <w:r>
        <w:tab/>
      </w:r>
      <w:r>
        <w:fldChar w:fldCharType="begin"/>
      </w:r>
      <w:r>
        <w:instrText xml:space="preserve"> PAGEREF _Toc10202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07EE7B88">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_Toc13335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主体风险：教育主体技术依赖与教育同质化</w:t>
      </w:r>
      <w:r>
        <w:tab/>
      </w:r>
      <w:r>
        <w:fldChar w:fldCharType="begin"/>
      </w:r>
      <w:r>
        <w:instrText xml:space="preserve"> PAGEREF _Toc13335 \h </w:instrText>
      </w:r>
      <w:r>
        <w:fldChar w:fldCharType="separate"/>
      </w:r>
      <w:r>
        <w:t>11</w:t>
      </w:r>
      <w:r>
        <w:fldChar w:fldCharType="end"/>
      </w:r>
      <w:r>
        <w:rPr>
          <w:rFonts w:hint="eastAsia" w:asciiTheme="minorHAnsi" w:hAnsiTheme="minorHAnsi" w:eastAsiaTheme="minorEastAsia" w:cstheme="minorBidi"/>
          <w:kern w:val="2"/>
          <w:szCs w:val="24"/>
          <w:lang w:val="en-US" w:eastAsia="zh-CN" w:bidi="ar-SA"/>
        </w:rPr>
        <w:fldChar w:fldCharType="end"/>
      </w:r>
    </w:p>
    <w:p w14:paraId="40F6A81A">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_Toc20691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社会风险：</w:t>
      </w:r>
      <w:r>
        <w:rPr>
          <w:rFonts w:hint="eastAsia"/>
          <w:lang w:val="en-US" w:eastAsia="zh-CN"/>
        </w:rPr>
        <w:t>体系建设与治理防控缺漏</w:t>
      </w:r>
      <w:r>
        <w:tab/>
      </w:r>
      <w:r>
        <w:fldChar w:fldCharType="begin"/>
      </w:r>
      <w:r>
        <w:instrText xml:space="preserve"> PAGEREF _Toc20691 \h </w:instrText>
      </w:r>
      <w:r>
        <w:fldChar w:fldCharType="separate"/>
      </w:r>
      <w:r>
        <w:t>12</w:t>
      </w:r>
      <w:r>
        <w:fldChar w:fldCharType="end"/>
      </w:r>
      <w:r>
        <w:rPr>
          <w:rFonts w:hint="eastAsia" w:asciiTheme="minorHAnsi" w:hAnsiTheme="minorHAnsi" w:eastAsiaTheme="minorEastAsia" w:cstheme="minorBidi"/>
          <w:kern w:val="2"/>
          <w:szCs w:val="24"/>
          <w:lang w:val="en-US" w:eastAsia="zh-CN" w:bidi="ar-SA"/>
        </w:rPr>
        <w:fldChar w:fldCharType="end"/>
      </w:r>
    </w:p>
    <w:p w14:paraId="4D07DE5E">
      <w:pPr>
        <w:pStyle w:val="9"/>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_Toc23668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二、国内外的模式与特点</w:t>
      </w:r>
      <w:r>
        <w:tab/>
      </w:r>
      <w:r>
        <w:fldChar w:fldCharType="begin"/>
      </w:r>
      <w:r>
        <w:instrText xml:space="preserve"> PAGEREF _Toc23668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699BE933">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_Toc24963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（一）</w:t>
      </w:r>
      <w:r>
        <w:rPr>
          <w:rFonts w:hint="eastAsia"/>
        </w:rPr>
        <w:t>政策创新</w:t>
      </w:r>
      <w:r>
        <w:tab/>
      </w:r>
      <w:r>
        <w:fldChar w:fldCharType="begin"/>
      </w:r>
      <w:r>
        <w:instrText xml:space="preserve"> PAGEREF _Toc24963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0D919E35">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_Toc12848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美国</w:t>
      </w:r>
      <w:r>
        <w:tab/>
      </w:r>
      <w:r>
        <w:fldChar w:fldCharType="begin"/>
      </w:r>
      <w:r>
        <w:instrText xml:space="preserve"> PAGEREF _Toc12848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75430C93">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日本</w:t>
      </w:r>
      <w:r>
        <w:tab/>
      </w:r>
      <w:r>
        <w:fldChar w:fldCharType="begin"/>
      </w:r>
      <w:r>
        <w:instrText xml:space="preserve"> PAGEREF _Toc22924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30746512">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_Toc11389 </w:instrText>
      </w:r>
      <w:r>
        <w:rPr>
          <w:rFonts w:hint="eastAsia" w:asciiTheme="minorHAnsi" w:hAnsiTheme="minorHAnsi" w:eastAsiaTheme="minorEastAsia" w:cstheme="minorBidi"/>
          <w:kern w:val="2"/>
          <w:szCs w:val="24"/>
          <w:lang w:val="en-US" w:eastAsia="zh-CN" w:bidi="ar-SA"/>
        </w:rPr>
        <w:fldChar w:fldCharType="separate"/>
      </w:r>
      <w:r>
        <w:rPr>
          <w:rFonts w:hint="eastAsia"/>
        </w:rPr>
        <w:t>（二）治理路径</w:t>
      </w:r>
      <w:r>
        <w:tab/>
      </w:r>
      <w:r>
        <w:fldChar w:fldCharType="begin"/>
      </w:r>
      <w:r>
        <w:instrText xml:space="preserve"> PAGEREF _Toc11389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7C3AC6AF">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_Toc22796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欧盟</w:t>
      </w:r>
      <w:r>
        <w:tab/>
      </w:r>
      <w:r>
        <w:fldChar w:fldCharType="begin"/>
      </w:r>
      <w:r>
        <w:instrText xml:space="preserve"> PAGEREF _Toc22796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09039EF3">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_Toc8686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新加坡</w:t>
      </w:r>
      <w:r>
        <w:tab/>
      </w:r>
      <w:r>
        <w:fldChar w:fldCharType="begin"/>
      </w:r>
      <w:r>
        <w:instrText xml:space="preserve"> PAGEREF _Toc8686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41812087">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_Toc24456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（三）创新实践</w:t>
      </w:r>
      <w:r>
        <w:tab/>
      </w:r>
      <w:r>
        <w:fldChar w:fldCharType="begin"/>
      </w:r>
      <w:r>
        <w:instrText xml:space="preserve"> PAGEREF _Toc24456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2878FFDC">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_Toc4651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中国</w:t>
      </w:r>
      <w:r>
        <w:tab/>
      </w:r>
      <w:r>
        <w:fldChar w:fldCharType="begin"/>
      </w:r>
      <w:r>
        <w:instrText xml:space="preserve"> PAGEREF _Toc4651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4CBEFB2B">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_Toc23389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英国</w:t>
      </w:r>
      <w:r>
        <w:tab/>
      </w:r>
      <w:r>
        <w:fldChar w:fldCharType="begin"/>
      </w:r>
      <w:r>
        <w:instrText xml:space="preserve"> PAGEREF _Toc23389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0FDE5787">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_Toc12840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（四）伦理风险</w:t>
      </w:r>
      <w:r>
        <w:tab/>
      </w:r>
      <w:r>
        <w:fldChar w:fldCharType="begin"/>
      </w:r>
      <w:r>
        <w:instrText xml:space="preserve"> PAGEREF _Toc12840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53AD3C9A">
      <w:pPr>
        <w:pStyle w:val="9"/>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_Toc21904 </w:instrText>
      </w:r>
      <w:r>
        <w:rPr>
          <w:rFonts w:hint="eastAsia" w:asciiTheme="minorHAnsi" w:hAnsiTheme="minorHAnsi" w:eastAsiaTheme="minorEastAsia" w:cstheme="minorBidi"/>
          <w:kern w:val="2"/>
          <w:szCs w:val="24"/>
          <w:lang w:val="en-US" w:eastAsia="zh-CN" w:bidi="ar-SA"/>
        </w:rPr>
        <w:fldChar w:fldCharType="separate"/>
      </w:r>
      <w:r>
        <w:rPr>
          <w:rFonts w:hint="eastAsia"/>
        </w:rPr>
        <w:t>三、人工智能在教育领域应用的发展趋势</w:t>
      </w:r>
      <w:r>
        <w:tab/>
      </w:r>
      <w:r>
        <w:fldChar w:fldCharType="begin"/>
      </w:r>
      <w:r>
        <w:instrText xml:space="preserve"> PAGEREF _Toc21904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51545FE6">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_Toc30514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一</w:t>
      </w:r>
      <w:r>
        <w:rPr>
          <w:rFonts w:hint="eastAsia"/>
          <w:lang w:eastAsia="zh-CN"/>
        </w:rPr>
        <w:t>）</w:t>
      </w:r>
      <w:r>
        <w:t>个性化学习：从</w:t>
      </w:r>
      <w:r>
        <w:rPr>
          <w:rFonts w:hint="eastAsia"/>
          <w:lang w:eastAsia="zh-CN"/>
        </w:rPr>
        <w:t>“</w:t>
      </w:r>
      <w:r>
        <w:t>标准化</w:t>
      </w:r>
      <w:r>
        <w:rPr>
          <w:rFonts w:hint="eastAsia"/>
          <w:lang w:eastAsia="zh-CN"/>
        </w:rPr>
        <w:t>”</w:t>
      </w:r>
      <w:r>
        <w:t>走向</w:t>
      </w:r>
      <w:r>
        <w:rPr>
          <w:rFonts w:hint="eastAsia"/>
          <w:lang w:eastAsia="zh-CN"/>
        </w:rPr>
        <w:t>“</w:t>
      </w:r>
      <w:r>
        <w:t>精准化</w:t>
      </w:r>
      <w:r>
        <w:rPr>
          <w:rFonts w:hint="eastAsia"/>
          <w:lang w:eastAsia="zh-CN"/>
        </w:rPr>
        <w:t>”</w:t>
      </w:r>
      <w:r>
        <w:tab/>
      </w:r>
      <w:r>
        <w:fldChar w:fldCharType="begin"/>
      </w:r>
      <w:r>
        <w:instrText xml:space="preserve"> PAGEREF _Toc30514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1F990F69">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_Toc9514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案</w:t>
      </w:r>
      <w:r>
        <w:rPr>
          <w:rFonts w:hint="eastAsia"/>
        </w:rPr>
        <w:t>例分析</w:t>
      </w:r>
      <w:r>
        <w:tab/>
      </w:r>
      <w:r>
        <w:fldChar w:fldCharType="begin"/>
      </w:r>
      <w:r>
        <w:instrText xml:space="preserve"> PAGEREF _Toc9514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20BE1ED8">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_Toc32596 </w:instrText>
      </w:r>
      <w:r>
        <w:rPr>
          <w:rFonts w:hint="eastAsia" w:asciiTheme="minorHAnsi" w:hAnsiTheme="minorHAnsi" w:eastAsiaTheme="minorEastAsia" w:cstheme="minorBidi"/>
          <w:kern w:val="2"/>
          <w:szCs w:val="24"/>
          <w:lang w:val="en-US" w:eastAsia="zh-CN" w:bidi="ar-SA"/>
        </w:rPr>
        <w:fldChar w:fldCharType="separate"/>
      </w:r>
      <w:r>
        <w:rPr>
          <w:rFonts w:hint="eastAsia" w:ascii="黑体" w:hAnsi="黑体" w:eastAsia="黑体"/>
          <w:bCs/>
          <w:szCs w:val="32"/>
        </w:rPr>
        <w:t>经验总结</w:t>
      </w:r>
      <w:r>
        <w:tab/>
      </w:r>
      <w:r>
        <w:fldChar w:fldCharType="begin"/>
      </w:r>
      <w:r>
        <w:instrText xml:space="preserve"> PAGEREF _Toc32596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rPr>
        <w:fldChar w:fldCharType="end"/>
      </w:r>
    </w:p>
    <w:p w14:paraId="43DFD5DC">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_Toc11922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二</w:t>
      </w:r>
      <w:r>
        <w:rPr>
          <w:rFonts w:hint="eastAsia"/>
          <w:lang w:eastAsia="zh-CN"/>
        </w:rPr>
        <w:t>）</w:t>
      </w:r>
      <w:r>
        <w:t>教学流程智能化：教师角色从</w:t>
      </w:r>
      <w:r>
        <w:rPr>
          <w:rFonts w:hint="eastAsia"/>
          <w:lang w:eastAsia="zh-CN"/>
        </w:rPr>
        <w:t>“</w:t>
      </w:r>
      <w:r>
        <w:t>传授者</w:t>
      </w:r>
      <w:r>
        <w:rPr>
          <w:rFonts w:hint="eastAsia"/>
          <w:lang w:eastAsia="zh-CN"/>
        </w:rPr>
        <w:t>”</w:t>
      </w:r>
      <w:r>
        <w:t>转向</w:t>
      </w:r>
      <w:r>
        <w:rPr>
          <w:rFonts w:hint="eastAsia"/>
          <w:lang w:eastAsia="zh-CN"/>
        </w:rPr>
        <w:t>“</w:t>
      </w:r>
      <w:r>
        <w:t>设计者</w:t>
      </w:r>
      <w:r>
        <w:rPr>
          <w:rFonts w:hint="eastAsia"/>
          <w:lang w:eastAsia="zh-CN"/>
        </w:rPr>
        <w:t>”</w:t>
      </w:r>
      <w:r>
        <w:tab/>
      </w:r>
      <w:r>
        <w:fldChar w:fldCharType="begin"/>
      </w:r>
      <w:r>
        <w:instrText xml:space="preserve"> PAGEREF _Toc11922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7271703C">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_Toc27096 </w:instrText>
      </w:r>
      <w:r>
        <w:rPr>
          <w:rFonts w:hint="eastAsia" w:asciiTheme="minorHAnsi" w:hAnsiTheme="minorHAnsi" w:eastAsiaTheme="minorEastAsia" w:cstheme="minorBidi"/>
          <w:kern w:val="2"/>
          <w:szCs w:val="24"/>
          <w:lang w:val="en-US" w:eastAsia="zh-CN" w:bidi="ar-SA"/>
        </w:rPr>
        <w:fldChar w:fldCharType="separate"/>
      </w:r>
      <w:r>
        <w:rPr>
          <w:rFonts w:hint="eastAsia"/>
        </w:rPr>
        <w:t>案例分析</w:t>
      </w:r>
      <w:r>
        <w:tab/>
      </w:r>
      <w:r>
        <w:fldChar w:fldCharType="begin"/>
      </w:r>
      <w:r>
        <w:instrText xml:space="preserve"> PAGEREF _Toc27096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204D7C0B">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_Toc5749 </w:instrText>
      </w:r>
      <w:r>
        <w:rPr>
          <w:rFonts w:hint="eastAsia" w:asciiTheme="minorHAnsi" w:hAnsiTheme="minorHAnsi" w:eastAsiaTheme="minorEastAsia" w:cstheme="minorBidi"/>
          <w:kern w:val="2"/>
          <w:szCs w:val="24"/>
          <w:lang w:val="en-US" w:eastAsia="zh-CN" w:bidi="ar-SA"/>
        </w:rPr>
        <w:fldChar w:fldCharType="separate"/>
      </w:r>
      <w:r>
        <w:rPr>
          <w:rFonts w:hint="eastAsia"/>
          <w:bCs w:val="0"/>
        </w:rPr>
        <w:t>经验总结</w:t>
      </w:r>
      <w:r>
        <w:tab/>
      </w:r>
      <w:r>
        <w:fldChar w:fldCharType="begin"/>
      </w:r>
      <w:r>
        <w:instrText xml:space="preserve"> PAGEREF _Toc5749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760F8D97">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_Toc2299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三</w:t>
      </w:r>
      <w:r>
        <w:rPr>
          <w:rFonts w:hint="eastAsia"/>
          <w:lang w:eastAsia="zh-CN"/>
        </w:rPr>
        <w:t>）</w:t>
      </w:r>
      <w:r>
        <w:rPr>
          <w:rFonts w:hint="eastAsia"/>
        </w:rPr>
        <w:t>沉浸式</w:t>
      </w:r>
      <w:r>
        <w:t>跨学科</w:t>
      </w:r>
      <w:r>
        <w:rPr>
          <w:rFonts w:hint="eastAsia"/>
        </w:rPr>
        <w:t>学习</w:t>
      </w:r>
      <w:r>
        <w:t>：打破学科壁垒，</w:t>
      </w:r>
      <w:r>
        <w:rPr>
          <w:rFonts w:hint="eastAsia"/>
        </w:rPr>
        <w:t>重塑教育内容与形态</w:t>
      </w:r>
      <w:r>
        <w:tab/>
      </w:r>
      <w:r>
        <w:fldChar w:fldCharType="begin"/>
      </w:r>
      <w:r>
        <w:instrText xml:space="preserve"> PAGEREF _Toc2299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09CE548C">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_Toc19782 </w:instrText>
      </w:r>
      <w:r>
        <w:rPr>
          <w:rFonts w:hint="eastAsia" w:asciiTheme="minorHAnsi" w:hAnsiTheme="minorHAnsi" w:eastAsiaTheme="minorEastAsia" w:cstheme="minorBidi"/>
          <w:kern w:val="2"/>
          <w:szCs w:val="24"/>
          <w:lang w:val="en-US" w:eastAsia="zh-CN" w:bidi="ar-SA"/>
        </w:rPr>
        <w:fldChar w:fldCharType="separate"/>
      </w:r>
      <w:r>
        <w:rPr>
          <w:rFonts w:hint="eastAsia"/>
        </w:rPr>
        <w:t>案例分析</w:t>
      </w:r>
      <w:r>
        <w:tab/>
      </w:r>
      <w:r>
        <w:fldChar w:fldCharType="begin"/>
      </w:r>
      <w:r>
        <w:instrText xml:space="preserve"> PAGEREF _Toc19782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44BDD17C">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_Toc24069 </w:instrText>
      </w:r>
      <w:r>
        <w:rPr>
          <w:rFonts w:hint="eastAsia" w:asciiTheme="minorHAnsi" w:hAnsiTheme="minorHAnsi" w:eastAsiaTheme="minorEastAsia" w:cstheme="minorBidi"/>
          <w:kern w:val="2"/>
          <w:szCs w:val="24"/>
          <w:lang w:val="en-US" w:eastAsia="zh-CN" w:bidi="ar-SA"/>
        </w:rPr>
        <w:fldChar w:fldCharType="separate"/>
      </w:r>
      <w:r>
        <w:rPr>
          <w:rFonts w:hint="eastAsia"/>
        </w:rPr>
        <w:t>经验总结</w:t>
      </w:r>
      <w:r>
        <w:tab/>
      </w:r>
      <w:r>
        <w:fldChar w:fldCharType="begin"/>
      </w:r>
      <w:r>
        <w:instrText xml:space="preserve"> PAGEREF _Toc24069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4A01303D">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_Toc16213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四</w:t>
      </w:r>
      <w:r>
        <w:rPr>
          <w:rFonts w:hint="eastAsia"/>
          <w:lang w:eastAsia="zh-CN"/>
        </w:rPr>
        <w:t>）</w:t>
      </w:r>
      <w:r>
        <w:rPr>
          <w:rFonts w:hint="eastAsia"/>
        </w:rPr>
        <w:t>教育公平深化：打破时空壁垒，实现资源普惠</w:t>
      </w:r>
      <w:r>
        <w:tab/>
      </w:r>
      <w:r>
        <w:fldChar w:fldCharType="begin"/>
      </w:r>
      <w:r>
        <w:instrText xml:space="preserve"> PAGEREF _Toc16213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618AA1CE">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_Toc7018 </w:instrText>
      </w:r>
      <w:r>
        <w:rPr>
          <w:rFonts w:hint="eastAsia" w:asciiTheme="minorHAnsi" w:hAnsiTheme="minorHAnsi" w:eastAsiaTheme="minorEastAsia" w:cstheme="minorBidi"/>
          <w:kern w:val="2"/>
          <w:szCs w:val="24"/>
          <w:lang w:val="en-US" w:eastAsia="zh-CN" w:bidi="ar-SA"/>
        </w:rPr>
        <w:fldChar w:fldCharType="separate"/>
      </w:r>
      <w:r>
        <w:rPr>
          <w:rFonts w:hint="eastAsia"/>
        </w:rPr>
        <w:t>案例分析</w:t>
      </w:r>
      <w:r>
        <w:tab/>
      </w:r>
      <w:r>
        <w:fldChar w:fldCharType="begin"/>
      </w:r>
      <w:r>
        <w:instrText xml:space="preserve"> PAGEREF _Toc7018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5533A66C">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_Toc5904 </w:instrText>
      </w:r>
      <w:r>
        <w:rPr>
          <w:rFonts w:hint="eastAsia" w:asciiTheme="minorHAnsi" w:hAnsiTheme="minorHAnsi" w:eastAsiaTheme="minorEastAsia" w:cstheme="minorBidi"/>
          <w:kern w:val="2"/>
          <w:szCs w:val="24"/>
          <w:lang w:val="en-US" w:eastAsia="zh-CN" w:bidi="ar-SA"/>
        </w:rPr>
        <w:fldChar w:fldCharType="separate"/>
      </w:r>
      <w:r>
        <w:rPr>
          <w:rFonts w:hint="eastAsia"/>
        </w:rPr>
        <w:t>经验总结</w:t>
      </w:r>
      <w:r>
        <w:tab/>
      </w:r>
      <w:r>
        <w:fldChar w:fldCharType="begin"/>
      </w:r>
      <w:r>
        <w:instrText xml:space="preserve"> PAGEREF _Toc5904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382777DF">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_Toc1178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五</w:t>
      </w:r>
      <w:r>
        <w:rPr>
          <w:rFonts w:hint="eastAsia"/>
          <w:lang w:eastAsia="zh-CN"/>
        </w:rPr>
        <w:t>）</w:t>
      </w:r>
      <w:r>
        <w:rPr>
          <w:rFonts w:hint="eastAsia"/>
        </w:rPr>
        <w:t>特殊教育普惠化：从</w:t>
      </w:r>
      <w:r>
        <w:rPr>
          <w:rFonts w:hint="eastAsia"/>
          <w:lang w:eastAsia="zh-CN"/>
        </w:rPr>
        <w:t>“</w:t>
      </w:r>
      <w:r>
        <w:rPr>
          <w:rFonts w:hint="eastAsia"/>
        </w:rPr>
        <w:t>边缘关怀</w:t>
      </w:r>
      <w:r>
        <w:rPr>
          <w:rFonts w:hint="eastAsia"/>
          <w:lang w:eastAsia="zh-CN"/>
        </w:rPr>
        <w:t>”</w:t>
      </w:r>
      <w:r>
        <w:rPr>
          <w:rFonts w:hint="eastAsia"/>
        </w:rPr>
        <w:t>走向</w:t>
      </w:r>
      <w:r>
        <w:rPr>
          <w:rFonts w:hint="eastAsia"/>
          <w:lang w:eastAsia="zh-CN"/>
        </w:rPr>
        <w:t>“</w:t>
      </w:r>
      <w:r>
        <w:rPr>
          <w:rFonts w:hint="eastAsia"/>
        </w:rPr>
        <w:t>全面赋能</w:t>
      </w:r>
      <w:r>
        <w:rPr>
          <w:rFonts w:hint="eastAsia"/>
          <w:lang w:eastAsia="zh-CN"/>
        </w:rPr>
        <w:t>”</w:t>
      </w:r>
      <w:r>
        <w:tab/>
      </w:r>
      <w:r>
        <w:fldChar w:fldCharType="begin"/>
      </w:r>
      <w:r>
        <w:instrText xml:space="preserve"> PAGEREF _Toc1178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0FFA81A6">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_Toc10741 </w:instrText>
      </w:r>
      <w:r>
        <w:rPr>
          <w:rFonts w:hint="eastAsia" w:asciiTheme="minorHAnsi" w:hAnsiTheme="minorHAnsi" w:eastAsiaTheme="minorEastAsia" w:cstheme="minorBidi"/>
          <w:kern w:val="2"/>
          <w:szCs w:val="24"/>
          <w:lang w:val="en-US" w:eastAsia="zh-CN" w:bidi="ar-SA"/>
        </w:rPr>
        <w:fldChar w:fldCharType="separate"/>
      </w:r>
      <w:r>
        <w:rPr>
          <w:rFonts w:hint="eastAsia"/>
        </w:rPr>
        <w:t>案例分析</w:t>
      </w:r>
      <w:r>
        <w:tab/>
      </w:r>
      <w:r>
        <w:fldChar w:fldCharType="begin"/>
      </w:r>
      <w:r>
        <w:instrText xml:space="preserve"> PAGEREF _Toc10741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60446396">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_Toc427 </w:instrText>
      </w:r>
      <w:r>
        <w:rPr>
          <w:rFonts w:hint="eastAsia" w:asciiTheme="minorHAnsi" w:hAnsiTheme="minorHAnsi" w:eastAsiaTheme="minorEastAsia" w:cstheme="minorBidi"/>
          <w:kern w:val="2"/>
          <w:szCs w:val="24"/>
          <w:lang w:val="en-US" w:eastAsia="zh-CN" w:bidi="ar-SA"/>
        </w:rPr>
        <w:fldChar w:fldCharType="separate"/>
      </w:r>
      <w:r>
        <w:rPr>
          <w:rFonts w:hint="eastAsia"/>
        </w:rPr>
        <w:t>经验总结</w:t>
      </w:r>
      <w:r>
        <w:tab/>
      </w:r>
      <w:r>
        <w:fldChar w:fldCharType="begin"/>
      </w:r>
      <w:r>
        <w:instrText xml:space="preserve"> PAGEREF _Toc427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43624B1B">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_Toc11817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六</w:t>
      </w:r>
      <w:r>
        <w:rPr>
          <w:rFonts w:hint="eastAsia"/>
          <w:lang w:eastAsia="zh-CN"/>
        </w:rPr>
        <w:t>）</w:t>
      </w:r>
      <w:r>
        <w:rPr>
          <w:rFonts w:hint="eastAsia"/>
        </w:rPr>
        <w:t>全民</w:t>
      </w:r>
      <w:r>
        <w:t>学习终身</w:t>
      </w:r>
      <w:r>
        <w:rPr>
          <w:rFonts w:hint="eastAsia"/>
        </w:rPr>
        <w:t>化：从</w:t>
      </w:r>
      <w:r>
        <w:rPr>
          <w:rFonts w:hint="eastAsia"/>
          <w:lang w:eastAsia="zh-CN"/>
        </w:rPr>
        <w:t>“</w:t>
      </w:r>
      <w:r>
        <w:rPr>
          <w:rFonts w:hint="eastAsia"/>
        </w:rPr>
        <w:t>阶段学习</w:t>
      </w:r>
      <w:r>
        <w:rPr>
          <w:rFonts w:hint="eastAsia"/>
          <w:lang w:eastAsia="zh-CN"/>
        </w:rPr>
        <w:t>”</w:t>
      </w:r>
      <w:r>
        <w:rPr>
          <w:rFonts w:hint="eastAsia"/>
        </w:rPr>
        <w:t>到</w:t>
      </w:r>
      <w:r>
        <w:rPr>
          <w:rFonts w:hint="eastAsia"/>
          <w:lang w:eastAsia="zh-CN"/>
        </w:rPr>
        <w:t>“</w:t>
      </w:r>
      <w:r>
        <w:rPr>
          <w:rFonts w:hint="eastAsia"/>
        </w:rPr>
        <w:t>终身发展</w:t>
      </w:r>
      <w:r>
        <w:rPr>
          <w:rFonts w:hint="eastAsia"/>
          <w:lang w:eastAsia="zh-CN"/>
        </w:rPr>
        <w:t>”</w:t>
      </w:r>
      <w:r>
        <w:tab/>
      </w:r>
      <w:r>
        <w:fldChar w:fldCharType="begin"/>
      </w:r>
      <w:r>
        <w:instrText xml:space="preserve"> PAGEREF _Toc11817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2D269CCD">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_Toc11524 </w:instrText>
      </w:r>
      <w:r>
        <w:rPr>
          <w:rFonts w:hint="eastAsia" w:asciiTheme="minorHAnsi" w:hAnsiTheme="minorHAnsi" w:eastAsiaTheme="minorEastAsia" w:cstheme="minorBidi"/>
          <w:kern w:val="2"/>
          <w:szCs w:val="24"/>
          <w:lang w:val="en-US" w:eastAsia="zh-CN" w:bidi="ar-SA"/>
        </w:rPr>
        <w:fldChar w:fldCharType="separate"/>
      </w:r>
      <w:r>
        <w:rPr>
          <w:rFonts w:hint="eastAsia"/>
        </w:rPr>
        <w:t>案例分析</w:t>
      </w:r>
      <w:r>
        <w:tab/>
      </w:r>
      <w:r>
        <w:fldChar w:fldCharType="begin"/>
      </w:r>
      <w:r>
        <w:instrText xml:space="preserve"> PAGEREF _Toc11524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4017804D">
      <w:pPr>
        <w:pStyle w:val="6"/>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_Toc1503 </w:instrText>
      </w:r>
      <w:r>
        <w:rPr>
          <w:rFonts w:hint="eastAsia" w:asciiTheme="minorHAnsi" w:hAnsiTheme="minorHAnsi" w:eastAsiaTheme="minorEastAsia" w:cstheme="minorBidi"/>
          <w:kern w:val="2"/>
          <w:szCs w:val="24"/>
          <w:lang w:val="en-US" w:eastAsia="zh-CN" w:bidi="ar-SA"/>
        </w:rPr>
        <w:fldChar w:fldCharType="separate"/>
      </w:r>
      <w:r>
        <w:rPr>
          <w:rFonts w:hint="eastAsia"/>
        </w:rPr>
        <w:t>经验总结</w:t>
      </w:r>
      <w:r>
        <w:tab/>
      </w:r>
      <w:r>
        <w:fldChar w:fldCharType="begin"/>
      </w:r>
      <w:r>
        <w:instrText xml:space="preserve"> PAGEREF _Toc1503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1E622000">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_Toc5043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七</w:t>
      </w:r>
      <w:r>
        <w:rPr>
          <w:rFonts w:hint="eastAsia"/>
          <w:lang w:eastAsia="zh-CN"/>
        </w:rPr>
        <w:t>）</w:t>
      </w:r>
      <w:r>
        <w:rPr>
          <w:rFonts w:hint="eastAsia"/>
        </w:rPr>
        <w:t>……</w:t>
      </w:r>
      <w:r>
        <w:tab/>
      </w:r>
      <w:r>
        <w:fldChar w:fldCharType="begin"/>
      </w:r>
      <w:r>
        <w:instrText xml:space="preserve"> PAGEREF _Toc5043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474DCE46">
      <w:pPr>
        <w:pStyle w:val="9"/>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_Toc5882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四、</w:t>
      </w:r>
      <w:r>
        <w:rPr>
          <w:rFonts w:hint="eastAsia"/>
        </w:rPr>
        <w:t>推进人工智能教育应用</w:t>
      </w:r>
      <w:r>
        <w:rPr>
          <w:rFonts w:hint="eastAsia"/>
          <w:lang w:val="en-US" w:eastAsia="zh-CN"/>
        </w:rPr>
        <w:t>的对策建议</w:t>
      </w:r>
      <w:r>
        <w:tab/>
      </w:r>
      <w:r>
        <w:fldChar w:fldCharType="begin"/>
      </w:r>
      <w:r>
        <w:instrText xml:space="preserve"> PAGEREF _Toc5882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7A34E24E">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_Toc25873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（一）针对数据风险的对策建议</w:t>
      </w:r>
      <w:r>
        <w:tab/>
      </w:r>
      <w:r>
        <w:fldChar w:fldCharType="begin"/>
      </w:r>
      <w:r>
        <w:instrText xml:space="preserve"> PAGEREF _Toc25873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6D3C07C4">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_Toc6267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（二）针对技术与能力风险的对策建议</w:t>
      </w:r>
      <w:r>
        <w:tab/>
      </w:r>
      <w:r>
        <w:fldChar w:fldCharType="begin"/>
      </w:r>
      <w:r>
        <w:instrText xml:space="preserve"> PAGEREF _Toc6267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410070CE">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_Toc29917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三</w:t>
      </w:r>
      <w:r>
        <w:rPr>
          <w:rFonts w:hint="eastAsia"/>
          <w:lang w:eastAsia="zh-CN"/>
        </w:rPr>
        <w:t>）</w:t>
      </w:r>
      <w:r>
        <w:rPr>
          <w:rFonts w:hint="eastAsia"/>
        </w:rPr>
        <w:t>针对技术依赖与同质化风险的对策建议</w:t>
      </w:r>
      <w:r>
        <w:tab/>
      </w:r>
      <w:r>
        <w:fldChar w:fldCharType="begin"/>
      </w:r>
      <w:r>
        <w:instrText xml:space="preserve"> PAGEREF _Toc29917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34C00069">
      <w:pPr>
        <w:pStyle w:val="12"/>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_Toc19656 </w:instrText>
      </w:r>
      <w:r>
        <w:rPr>
          <w:rFonts w:hint="eastAsia" w:asciiTheme="minorHAnsi" w:hAnsiTheme="minorHAnsi" w:eastAsiaTheme="minorEastAsia" w:cstheme="minorBidi"/>
          <w:kern w:val="2"/>
          <w:szCs w:val="24"/>
          <w:lang w:val="en-US" w:eastAsia="zh-CN" w:bidi="ar-SA"/>
        </w:rPr>
        <w:fldChar w:fldCharType="separate"/>
      </w:r>
      <w:r>
        <w:rPr>
          <w:rFonts w:hint="eastAsia"/>
          <w:lang w:eastAsia="zh-CN"/>
        </w:rPr>
        <w:t>（</w:t>
      </w:r>
      <w:r>
        <w:rPr>
          <w:rFonts w:hint="eastAsia"/>
          <w:lang w:val="en-US" w:eastAsia="zh-CN"/>
        </w:rPr>
        <w:t>四</w:t>
      </w:r>
      <w:r>
        <w:rPr>
          <w:rFonts w:hint="eastAsia"/>
          <w:lang w:eastAsia="zh-CN"/>
        </w:rPr>
        <w:t>）</w:t>
      </w:r>
      <w:r>
        <w:rPr>
          <w:rFonts w:hint="eastAsia"/>
        </w:rPr>
        <w:t>针对治理与制度</w:t>
      </w:r>
      <w:r>
        <w:rPr>
          <w:rFonts w:hint="eastAsia"/>
          <w:lang w:val="en-US" w:eastAsia="zh-CN"/>
        </w:rPr>
        <w:t>风险</w:t>
      </w:r>
      <w:r>
        <w:rPr>
          <w:rFonts w:hint="eastAsia"/>
        </w:rPr>
        <w:t>的对策建议</w:t>
      </w:r>
      <w:r>
        <w:tab/>
      </w:r>
      <w:r>
        <w:fldChar w:fldCharType="begin"/>
      </w:r>
      <w:r>
        <w:instrText xml:space="preserve"> PAGEREF _Toc19656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14:paraId="01816162">
      <w:pPr>
        <w:tabs>
          <w:tab w:val="left" w:pos="1969"/>
        </w:tabs>
        <w:rPr>
          <w:rFonts w:hint="eastAsia" w:asciiTheme="minorHAnsi" w:hAnsiTheme="minorHAnsi" w:eastAsiaTheme="minorEastAsia" w:cstheme="minorBidi"/>
          <w:kern w:val="2"/>
          <w:sz w:val="32"/>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p w14:paraId="3B5A0B5F">
      <w:pPr>
        <w:tabs>
          <w:tab w:val="left" w:pos="1969"/>
        </w:tabs>
        <w:rPr>
          <w:rFonts w:hint="eastAsia" w:asciiTheme="minorHAnsi" w:hAnsiTheme="minorHAnsi" w:eastAsiaTheme="minorEastAsia" w:cstheme="minorBidi"/>
          <w:kern w:val="2"/>
          <w:sz w:val="32"/>
          <w:szCs w:val="24"/>
          <w:lang w:val="en-US" w:eastAsia="zh-CN" w:bidi="ar-SA"/>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366B85C3">
      <w:pPr>
        <w:pStyle w:val="2"/>
        <w:numPr>
          <w:ilvl w:val="0"/>
          <w:numId w:val="0"/>
        </w:numPr>
        <w:bidi w:val="0"/>
        <w:rPr>
          <w:rFonts w:hint="eastAsia"/>
          <w:lang w:val="en-US" w:eastAsia="zh-CN"/>
        </w:rPr>
      </w:pPr>
      <w:bookmarkStart w:id="0" w:name="_Toc15468"/>
      <w:bookmarkStart w:id="1" w:name="_Toc31234"/>
      <w:bookmarkStart w:id="2" w:name="_Toc24305"/>
      <w:bookmarkStart w:id="3" w:name="_Toc25696"/>
      <w:bookmarkStart w:id="4" w:name="_Toc15102"/>
      <w:r>
        <w:rPr>
          <w:rFonts w:hint="eastAsia"/>
          <w:lang w:val="en-US" w:eastAsia="zh-CN"/>
        </w:rPr>
        <w:t>前言:</w:t>
      </w:r>
      <w:bookmarkEnd w:id="0"/>
      <w:bookmarkEnd w:id="1"/>
    </w:p>
    <w:p w14:paraId="7969F865">
      <w:pPr>
        <w:rPr>
          <w:rFonts w:hint="default"/>
          <w:lang w:val="en-US" w:eastAsia="zh-CN"/>
        </w:rPr>
      </w:pPr>
    </w:p>
    <w:p w14:paraId="6F836F46">
      <w:pPr>
        <w:rPr>
          <w:rFonts w:hint="default"/>
          <w:lang w:val="en-US" w:eastAsia="zh-CN"/>
        </w:rPr>
      </w:pPr>
      <w:r>
        <w:rPr>
          <w:rFonts w:hint="default"/>
          <w:lang w:val="en-US" w:eastAsia="zh-CN"/>
        </w:rPr>
        <w:br w:type="page"/>
      </w:r>
    </w:p>
    <w:bookmarkEnd w:id="2"/>
    <w:bookmarkEnd w:id="3"/>
    <w:bookmarkEnd w:id="4"/>
    <w:p w14:paraId="670084AE">
      <w:pPr>
        <w:pStyle w:val="3"/>
        <w:numPr>
          <w:ilvl w:val="0"/>
          <w:numId w:val="3"/>
        </w:numPr>
        <w:bidi w:val="0"/>
        <w:ind w:left="0" w:leftChars="0" w:firstLine="0" w:firstLineChars="0"/>
        <w:outlineLvl w:val="0"/>
        <w:rPr>
          <w:rFonts w:hint="eastAsia"/>
        </w:rPr>
      </w:pPr>
      <w:bookmarkStart w:id="5" w:name="_Toc17704"/>
      <w:bookmarkStart w:id="6" w:name="_Toc9729"/>
      <w:bookmarkStart w:id="7" w:name="_Toc17927"/>
      <w:bookmarkStart w:id="8" w:name="_Toc31425"/>
      <w:bookmarkStart w:id="9" w:name="_Toc9724"/>
      <w:r>
        <w:rPr>
          <w:rFonts w:hint="eastAsia"/>
        </w:rPr>
        <w:t>我国人工智能赋能教育的发展现状</w:t>
      </w:r>
      <w:bookmarkEnd w:id="5"/>
    </w:p>
    <w:p w14:paraId="27738C7F">
      <w:pPr>
        <w:bidi w:val="0"/>
        <w:rPr>
          <w:rFonts w:hint="default"/>
          <w:lang w:val="en-US" w:eastAsia="zh-CN"/>
        </w:rPr>
      </w:pPr>
      <w:r>
        <w:rPr>
          <w:rFonts w:hint="default"/>
          <w:lang w:val="en-US" w:eastAsia="zh-CN"/>
        </w:rPr>
        <w:t>教育既是一项基本人权，也是推动社会进步和国家可持续发展的基础。随着人工智能技术迭代与教育数字化战略推进，我国人工智能赋能教育已由局部试点迈向体系化建设</w:t>
      </w:r>
      <w:r>
        <w:rPr>
          <w:rFonts w:hint="eastAsia"/>
          <w:lang w:val="en-US" w:eastAsia="zh-CN"/>
        </w:rPr>
        <w:t>，通过梳理我国中央政策及北上广深地方方案措施来梳理和概述当前我国人工智能赋能教育发展现状及挑战现状</w:t>
      </w:r>
      <w:r>
        <w:rPr>
          <w:rFonts w:hint="default"/>
          <w:lang w:val="en-US" w:eastAsia="zh-CN"/>
        </w:rPr>
        <w:t>。</w:t>
      </w:r>
    </w:p>
    <w:bookmarkEnd w:id="6"/>
    <w:bookmarkEnd w:id="7"/>
    <w:bookmarkEnd w:id="8"/>
    <w:bookmarkEnd w:id="9"/>
    <w:p w14:paraId="63FBEF29">
      <w:pPr>
        <w:pStyle w:val="4"/>
        <w:bidi w:val="0"/>
        <w:outlineLvl w:val="1"/>
        <w:rPr>
          <w:rFonts w:hint="default"/>
        </w:rPr>
      </w:pPr>
      <w:bookmarkStart w:id="10" w:name="_Toc661"/>
      <w:r>
        <w:rPr>
          <w:rFonts w:hint="default"/>
          <w:lang w:val="en-US" w:eastAsia="zh-CN"/>
        </w:rPr>
        <w:t>（一）发展现状</w:t>
      </w:r>
      <w:bookmarkEnd w:id="10"/>
    </w:p>
    <w:p w14:paraId="4DF2047E">
      <w:pPr>
        <w:pStyle w:val="5"/>
        <w:bidi w:val="0"/>
        <w:outlineLvl w:val="2"/>
        <w:rPr>
          <w:rFonts w:hint="default"/>
        </w:rPr>
      </w:pPr>
      <w:bookmarkStart w:id="11" w:name="_Toc26021"/>
      <w:r>
        <w:rPr>
          <w:rFonts w:hint="default"/>
          <w:lang w:val="en-US" w:eastAsia="zh-CN"/>
        </w:rPr>
        <w:t>制度设计：顶层设计指导地方同步推进</w:t>
      </w:r>
      <w:bookmarkEnd w:id="11"/>
    </w:p>
    <w:p w14:paraId="3222AEEE">
      <w:pPr>
        <w:pStyle w:val="13"/>
        <w:keepNext w:val="0"/>
        <w:keepLines w:val="0"/>
        <w:widowControl/>
        <w:suppressLineNumbers w:val="0"/>
        <w:kinsoku/>
        <w:wordWrap/>
        <w:overflowPunct/>
        <w:bidi w:val="0"/>
        <w:spacing w:before="0" w:beforeAutospacing="0" w:after="0" w:afterAutospacing="0"/>
        <w:ind w:left="0"/>
        <w:jc w:val="both"/>
        <w:textAlignment w:val="center"/>
        <w:rPr>
          <w:rFonts w:hint="default" w:eastAsia="方正仿宋GBK" w:asciiTheme="minorAscii" w:hAnsiTheme="minorAscii" w:cstheme="minorBidi"/>
          <w:kern w:val="2"/>
          <w:sz w:val="32"/>
          <w:szCs w:val="24"/>
          <w:lang w:val="en-US" w:eastAsia="zh-CN" w:bidi="ar-SA"/>
        </w:rPr>
      </w:pPr>
      <w:r>
        <w:rPr>
          <w:rFonts w:hint="default" w:eastAsia="方正仿宋GBK" w:asciiTheme="minorAscii" w:hAnsiTheme="minorAscii" w:cstheme="minorBidi"/>
          <w:b/>
          <w:bCs/>
          <w:kern w:val="2"/>
          <w:sz w:val="32"/>
          <w:szCs w:val="24"/>
          <w:lang w:val="en-US" w:eastAsia="zh-CN" w:bidi="ar-SA"/>
        </w:rPr>
        <w:t>从国家层面看，围绕新一代人工智能与教育数字化的政策体系逐步完善</w:t>
      </w:r>
      <w:r>
        <w:rPr>
          <w:rFonts w:hint="eastAsia" w:cstheme="minorBidi"/>
          <w:b/>
          <w:bCs/>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明确将教育纳入重点应用与示范范围，提出平台、数据、人才与治理的系统布局</w:t>
      </w:r>
      <w:r>
        <w:rPr>
          <w:rFonts w:hint="eastAsia"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《教育强国建设规划纲要</w:t>
      </w:r>
      <w:r>
        <w:rPr>
          <w:rFonts w:hint="eastAsia" w:eastAsia="方正仿宋GBK" w:asciiTheme="minorAscii" w:hAnsiTheme="minorAscii"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2024-2035年</w:t>
      </w:r>
      <w:r>
        <w:rPr>
          <w:rFonts w:hint="eastAsia" w:eastAsia="方正仿宋GBK" w:asciiTheme="minorAscii" w:hAnsiTheme="minorAscii"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》中明确提出</w:t>
      </w:r>
      <w:r>
        <w:rPr>
          <w:rFonts w:hint="eastAsia"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促进人工智能助力教育变</w:t>
      </w:r>
      <w:r>
        <w:rPr>
          <w:rFonts w:hint="default" w:eastAsia="方正仿宋GBK" w:asciiTheme="minorAscii" w:hAnsiTheme="minorAscii" w:cstheme="minorBidi"/>
          <w:kern w:val="2"/>
          <w:sz w:val="32"/>
          <w:szCs w:val="24"/>
          <w:lang w:val="en-US" w:eastAsia="zh-CN" w:bidi="ar-SA"/>
        </w:rPr>
        <w:t>革</w:t>
      </w:r>
      <w:r>
        <w:rPr>
          <w:rFonts w:hint="eastAsia" w:cstheme="minorBidi"/>
          <w:kern w:val="2"/>
          <w:sz w:val="32"/>
          <w:szCs w:val="24"/>
          <w:lang w:val="en-US" w:eastAsia="zh-CN" w:bidi="ar-SA"/>
        </w:rPr>
        <w:t>”</w:t>
      </w:r>
      <w:r>
        <w:rPr>
          <w:rFonts w:hint="eastAsia" w:eastAsia="方正仿宋GBK" w:asciiTheme="minorAscii" w:hAnsiTheme="minorAscii" w:cstheme="minorBidi"/>
          <w:kern w:val="2"/>
          <w:sz w:val="32"/>
          <w:szCs w:val="24"/>
          <w:lang w:val="en-US" w:eastAsia="zh-CN" w:bidi="ar-SA"/>
        </w:rPr>
        <w:t>和</w:t>
      </w:r>
      <w:r>
        <w:rPr>
          <w:rFonts w:hint="eastAsia"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实施国家教育数字化战略</w:t>
      </w:r>
      <w:r>
        <w:rPr>
          <w:rFonts w:hint="eastAsia" w:cstheme="minorBidi"/>
          <w:kern w:val="2"/>
          <w:sz w:val="32"/>
          <w:szCs w:val="24"/>
          <w:lang w:val="en-US" w:eastAsia="zh-CN" w:bidi="ar-SA"/>
        </w:rPr>
        <w:t>”</w:t>
      </w:r>
      <w:r>
        <w:rPr>
          <w:rFonts w:hint="eastAsia" w:eastAsia="方正仿宋GBK" w:asciiTheme="minorAscii" w:hAnsiTheme="minorAscii" w:cstheme="minorBidi"/>
          <w:kern w:val="2"/>
          <w:sz w:val="32"/>
          <w:szCs w:val="24"/>
          <w:lang w:val="en-US" w:eastAsia="zh-CN" w:bidi="ar-SA"/>
        </w:rPr>
        <w:t>的</w:t>
      </w:r>
      <w:r>
        <w:rPr>
          <w:rFonts w:hint="default" w:eastAsia="方正仿宋GBK" w:asciiTheme="minorAscii" w:hAnsiTheme="minorAscii" w:cstheme="minorBidi"/>
          <w:kern w:val="2"/>
          <w:sz w:val="32"/>
          <w:szCs w:val="24"/>
          <w:lang w:val="en-US" w:eastAsia="zh-CN" w:bidi="ar-SA"/>
        </w:rPr>
        <w:t>核心任务</w:t>
      </w:r>
      <w:r>
        <w:rPr>
          <w:rFonts w:hint="eastAsia" w:eastAsia="方正仿宋GBK" w:asciiTheme="minorAscii" w:hAnsiTheme="minorAscii"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w:t>
      </w:r>
      <w:r>
        <w:rPr>
          <w:rFonts w:hint="eastAsia" w:eastAsia="方正仿宋GBK" w:asciiTheme="minorAscii" w:hAnsiTheme="minorAscii" w:cstheme="minorBidi"/>
          <w:kern w:val="2"/>
          <w:sz w:val="32"/>
          <w:szCs w:val="24"/>
          <w:lang w:val="en-US" w:eastAsia="zh-CN" w:bidi="ar-SA"/>
        </w:rPr>
        <w:t>国务院关于深入实施</w:t>
      </w:r>
      <w:r>
        <w:rPr>
          <w:rFonts w:hint="eastAsia" w:cstheme="minorBidi"/>
          <w:kern w:val="2"/>
          <w:sz w:val="32"/>
          <w:szCs w:val="24"/>
          <w:lang w:val="en-US" w:eastAsia="zh-CN" w:bidi="ar-SA"/>
        </w:rPr>
        <w:t>“</w:t>
      </w:r>
      <w:r>
        <w:rPr>
          <w:rFonts w:hint="eastAsia" w:eastAsia="方正仿宋GBK" w:asciiTheme="minorAscii" w:hAnsiTheme="minorAscii" w:cstheme="minorBidi"/>
          <w:kern w:val="2"/>
          <w:sz w:val="32"/>
          <w:szCs w:val="24"/>
          <w:lang w:val="en-US" w:eastAsia="zh-CN" w:bidi="ar-SA"/>
        </w:rPr>
        <w:t>人工智能+</w:t>
      </w:r>
      <w:r>
        <w:rPr>
          <w:rFonts w:hint="eastAsia" w:cstheme="minorBidi"/>
          <w:kern w:val="2"/>
          <w:sz w:val="32"/>
          <w:szCs w:val="24"/>
          <w:lang w:val="en-US" w:eastAsia="zh-CN" w:bidi="ar-SA"/>
        </w:rPr>
        <w:t>”</w:t>
      </w:r>
      <w:r>
        <w:rPr>
          <w:rFonts w:hint="eastAsia" w:eastAsia="方正仿宋GBK" w:asciiTheme="minorAscii" w:hAnsiTheme="minorAscii" w:cstheme="minorBidi"/>
          <w:kern w:val="2"/>
          <w:sz w:val="32"/>
          <w:szCs w:val="24"/>
          <w:lang w:val="en-US" w:eastAsia="zh-CN" w:bidi="ar-SA"/>
        </w:rPr>
        <w:t>行动的意见》</w:t>
      </w:r>
      <w:r>
        <w:rPr>
          <w:rFonts w:hint="default" w:eastAsia="方正仿宋GBK" w:asciiTheme="minorAscii" w:hAnsiTheme="minorAscii" w:cstheme="minorBidi"/>
          <w:kern w:val="2"/>
          <w:sz w:val="32"/>
          <w:szCs w:val="24"/>
          <w:lang w:val="en-US" w:eastAsia="zh-CN" w:bidi="ar-SA"/>
        </w:rPr>
        <w:t>全面启动</w:t>
      </w:r>
      <w:r>
        <w:rPr>
          <w:rFonts w:hint="eastAsia" w:cstheme="minorBidi"/>
          <w:kern w:val="2"/>
          <w:sz w:val="32"/>
          <w:szCs w:val="24"/>
          <w:lang w:val="en-US" w:eastAsia="zh-CN" w:bidi="ar-SA"/>
        </w:rPr>
        <w:t>“</w:t>
      </w:r>
      <w:r>
        <w:rPr>
          <w:rFonts w:hint="default" w:eastAsia="方正仿宋GBK" w:asciiTheme="minorAscii" w:hAnsiTheme="minorAscii" w:cstheme="minorBidi"/>
          <w:kern w:val="2"/>
          <w:sz w:val="32"/>
          <w:szCs w:val="24"/>
          <w:lang w:val="en-US" w:eastAsia="zh-CN" w:bidi="ar-SA"/>
        </w:rPr>
        <w:t>人工智能</w:t>
      </w: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w:t>
      </w:r>
      <w:r>
        <w:rPr>
          <w:rFonts w:hint="eastAsia" w:eastAsia="方正仿宋GBK" w:asciiTheme="minorAscii" w:hAnsiTheme="minorAscii" w:cstheme="minorBidi"/>
          <w:kern w:val="2"/>
          <w:sz w:val="32"/>
          <w:szCs w:val="24"/>
          <w:lang w:val="en-US" w:eastAsia="zh-CN" w:bidi="ar-SA"/>
        </w:rPr>
        <w:t>行动，推动AI与各行各业特别是教育领域的深度融合。</w:t>
      </w:r>
    </w:p>
    <w:p w14:paraId="48678015">
      <w:pPr>
        <w:bidi w:val="0"/>
        <w:rPr>
          <w:rFonts w:hint="default"/>
          <w:lang w:val="en-US" w:eastAsia="zh-CN"/>
        </w:rPr>
      </w:pPr>
      <w:r>
        <w:rPr>
          <w:rFonts w:hint="default"/>
          <w:b/>
          <w:bCs/>
          <w:lang w:val="en-US" w:eastAsia="zh-CN"/>
        </w:rPr>
        <w:t>从地方实践看，各省市以区域智慧教育平台为抓手，配套出台实施方案与评价机制</w:t>
      </w:r>
      <w:r>
        <w:rPr>
          <w:rFonts w:hint="eastAsia"/>
          <w:b/>
          <w:bCs/>
          <w:lang w:val="en-US" w:eastAsia="zh-CN"/>
        </w:rPr>
        <w:t>。</w:t>
      </w:r>
      <w:r>
        <w:rPr>
          <w:rFonts w:hint="default"/>
          <w:lang w:val="en-US" w:eastAsia="zh-CN"/>
        </w:rPr>
        <w:t>推动校域在课程建设、课堂应用与治理制度上的落地转化，形成</w:t>
      </w:r>
      <w:r>
        <w:rPr>
          <w:rFonts w:hint="eastAsia"/>
          <w:lang w:val="en-US" w:eastAsia="zh-CN"/>
        </w:rPr>
        <w:t>“</w:t>
      </w:r>
      <w:r>
        <w:rPr>
          <w:rFonts w:hint="default"/>
          <w:lang w:val="en-US" w:eastAsia="zh-CN"/>
        </w:rPr>
        <w:t>省级统筹—市县落地—校本实施</w:t>
      </w:r>
      <w:r>
        <w:rPr>
          <w:rFonts w:hint="eastAsia"/>
          <w:lang w:val="en-US" w:eastAsia="zh-CN"/>
        </w:rPr>
        <w:t>”</w:t>
      </w:r>
      <w:r>
        <w:rPr>
          <w:rFonts w:hint="default"/>
          <w:lang w:val="en-US" w:eastAsia="zh-CN"/>
        </w:rPr>
        <w:t>的协同推进格局。</w:t>
      </w:r>
    </w:p>
    <w:p w14:paraId="45B281A4">
      <w:pPr>
        <w:pStyle w:val="4"/>
        <w:bidi w:val="0"/>
      </w:pPr>
      <w:bookmarkStart w:id="12" w:name="_Toc17053"/>
      <w:r>
        <w:rPr>
          <w:rFonts w:hint="default"/>
          <w:lang w:val="en-US" w:eastAsia="zh-CN"/>
        </w:rPr>
        <w:t>基础</w:t>
      </w:r>
      <w:r>
        <w:rPr>
          <w:rFonts w:hint="eastAsia"/>
          <w:lang w:val="en-US" w:eastAsia="zh-CN"/>
        </w:rPr>
        <w:t>建设：以</w:t>
      </w:r>
      <w:r>
        <w:rPr>
          <w:rFonts w:hint="default"/>
          <w:lang w:val="en-US" w:eastAsia="zh-CN"/>
        </w:rPr>
        <w:t>国家平台为枢纽省域底座为中枢纵向贯通</w:t>
      </w:r>
      <w:bookmarkEnd w:id="12"/>
    </w:p>
    <w:p w14:paraId="58BAB924">
      <w:pPr>
        <w:bidi w:val="0"/>
      </w:pPr>
      <w:r>
        <w:rPr>
          <w:rFonts w:hint="eastAsia"/>
          <w:b/>
          <w:bCs/>
        </w:rPr>
        <w:t>从国家战略层面看，</w:t>
      </w:r>
      <w:r>
        <w:rPr>
          <w:rFonts w:hint="eastAsia"/>
          <w:b/>
          <w:bCs/>
          <w:lang w:val="en-US" w:eastAsia="zh-CN"/>
        </w:rPr>
        <w:t>形成以</w:t>
      </w:r>
      <w:r>
        <w:rPr>
          <w:rFonts w:hint="default"/>
          <w:b/>
          <w:bCs/>
          <w:lang w:val="en-US" w:eastAsia="zh-CN"/>
        </w:rPr>
        <w:t>国家</w:t>
      </w:r>
      <w:r>
        <w:rPr>
          <w:rFonts w:hint="default"/>
          <w:b/>
          <w:bCs/>
          <w:lang w:val="en-US" w:eastAsia="zh-CN"/>
        </w:rPr>
        <w:t>平台为枢纽、省域数字底座为中枢，形成纵向贯通的资源与数据循环，夯实应用的可持续基础。</w:t>
      </w:r>
      <w:r>
        <w:rPr>
          <w:rFonts w:hint="default"/>
          <w:lang w:val="en-US" w:eastAsia="zh-CN"/>
        </w:rPr>
        <w:t>2017年《新一代人工智能发展规划》将教育确定为人工智能重点应用领域之一，提出要</w:t>
      </w:r>
      <w:r>
        <w:rPr>
          <w:rFonts w:hint="eastAsia"/>
          <w:lang w:val="en-US" w:eastAsia="zh-CN"/>
        </w:rPr>
        <w:t>“</w:t>
      </w:r>
      <w:r>
        <w:rPr>
          <w:rFonts w:hint="default"/>
          <w:lang w:val="en-US" w:eastAsia="zh-CN"/>
        </w:rPr>
        <w:t>在教育等重点领域开展试点示范</w:t>
      </w:r>
      <w:r>
        <w:rPr>
          <w:rFonts w:hint="eastAsia"/>
          <w:lang w:val="en-US" w:eastAsia="zh-CN"/>
        </w:rPr>
        <w:t>”</w:t>
      </w:r>
      <w:r>
        <w:rPr>
          <w:rFonts w:hint="default"/>
          <w:lang w:val="en-US" w:eastAsia="zh-CN"/>
        </w:rPr>
        <w:t>，并明确人工智能对人才培养、教育模式创新的基础性作用。《教育强国建设规划纲要（2024—2035年）》提出</w:t>
      </w:r>
      <w:r>
        <w:rPr>
          <w:rFonts w:hint="eastAsia"/>
          <w:lang w:val="en-US" w:eastAsia="zh-CN"/>
        </w:rPr>
        <w:t>“</w:t>
      </w:r>
      <w:r>
        <w:rPr>
          <w:rFonts w:hint="default"/>
          <w:lang w:val="en-US" w:eastAsia="zh-CN"/>
        </w:rPr>
        <w:t>实施国家教育数字化战略</w:t>
      </w:r>
      <w:r>
        <w:rPr>
          <w:rFonts w:hint="eastAsia"/>
          <w:lang w:val="en-US" w:eastAsia="zh-CN"/>
        </w:rPr>
        <w:t>”“</w:t>
      </w:r>
      <w:r>
        <w:rPr>
          <w:rFonts w:hint="default"/>
          <w:lang w:val="en-US" w:eastAsia="zh-CN"/>
        </w:rPr>
        <w:t>促进人工智能助力教育变革</w:t>
      </w:r>
      <w:r>
        <w:rPr>
          <w:rFonts w:hint="eastAsia"/>
          <w:lang w:val="en-US" w:eastAsia="zh-CN"/>
        </w:rPr>
        <w:t>”</w:t>
      </w:r>
      <w:r>
        <w:rPr>
          <w:rFonts w:hint="default"/>
          <w:lang w:val="en-US" w:eastAsia="zh-CN"/>
        </w:rPr>
        <w:t>，建强用好国家智慧教育公共服务平台、国家教育大数据中心、教育专网与算力共享网络，推进智慧校园建设。2025年教育部等九部门《关于加快推进教育数字化的意见》提出完善</w:t>
      </w:r>
      <w:r>
        <w:rPr>
          <w:rFonts w:hint="eastAsia"/>
          <w:lang w:val="en-US" w:eastAsia="zh-CN"/>
        </w:rPr>
        <w:t>“</w:t>
      </w:r>
      <w:r>
        <w:rPr>
          <w:rFonts w:hint="default"/>
          <w:lang w:val="en-US" w:eastAsia="zh-CN"/>
        </w:rPr>
        <w:t>四横五纵</w:t>
      </w:r>
      <w:r>
        <w:rPr>
          <w:rFonts w:hint="eastAsia"/>
          <w:lang w:val="en-US" w:eastAsia="zh-CN"/>
        </w:rPr>
        <w:t>”</w:t>
      </w:r>
      <w:r>
        <w:rPr>
          <w:rFonts w:hint="default"/>
          <w:lang w:val="en-US" w:eastAsia="zh-CN"/>
        </w:rPr>
        <w:t>平台资源布局，统一数据标准与接口标准，逐步实现</w:t>
      </w:r>
      <w:r>
        <w:rPr>
          <w:rFonts w:hint="eastAsia"/>
          <w:lang w:val="en-US" w:eastAsia="zh-CN"/>
        </w:rPr>
        <w:t>“</w:t>
      </w:r>
      <w:r>
        <w:rPr>
          <w:rFonts w:hint="default"/>
          <w:lang w:val="en-US" w:eastAsia="zh-CN"/>
        </w:rPr>
        <w:t>一数一源</w:t>
      </w:r>
      <w:r>
        <w:rPr>
          <w:rFonts w:hint="eastAsia"/>
          <w:lang w:val="en-US" w:eastAsia="zh-CN"/>
        </w:rPr>
        <w:t>”</w:t>
      </w:r>
      <w:r>
        <w:rPr>
          <w:rFonts w:hint="default"/>
          <w:lang w:val="en-US" w:eastAsia="zh-CN"/>
        </w:rPr>
        <w:t>。</w:t>
      </w:r>
    </w:p>
    <w:p w14:paraId="1B512C00">
      <w:pPr>
        <w:bidi w:val="0"/>
        <w:rPr>
          <w:rFonts w:hint="eastAsia"/>
        </w:rPr>
      </w:pPr>
      <w:r>
        <w:rPr>
          <w:rFonts w:hint="default"/>
          <w:lang w:val="en-US" w:eastAsia="zh-CN"/>
        </w:rPr>
        <w:t>省域层面形成</w:t>
      </w:r>
      <w:r>
        <w:rPr>
          <w:rFonts w:hint="eastAsia"/>
          <w:lang w:val="en-US" w:eastAsia="zh-CN"/>
        </w:rPr>
        <w:t>“</w:t>
      </w:r>
      <w:r>
        <w:rPr>
          <w:rFonts w:hint="default"/>
          <w:lang w:val="en-US" w:eastAsia="zh-CN"/>
        </w:rPr>
        <w:t>数据中枢+组织中枢+应用中枢</w:t>
      </w:r>
      <w:r>
        <w:rPr>
          <w:rFonts w:hint="eastAsia"/>
          <w:lang w:val="en-US" w:eastAsia="zh-CN"/>
        </w:rPr>
        <w:t>”</w:t>
      </w:r>
      <w:r>
        <w:rPr>
          <w:rFonts w:hint="default"/>
          <w:lang w:val="en-US" w:eastAsia="zh-CN"/>
        </w:rPr>
        <w:t>的数字底座（如浙江</w:t>
      </w:r>
      <w:r>
        <w:rPr>
          <w:rFonts w:hint="eastAsia"/>
          <w:lang w:val="en-US" w:eastAsia="zh-CN"/>
        </w:rPr>
        <w:t>“</w:t>
      </w:r>
      <w:r>
        <w:rPr>
          <w:rFonts w:hint="default"/>
          <w:lang w:val="en-US" w:eastAsia="zh-CN"/>
        </w:rPr>
        <w:t>教育魔方/教育大脑</w:t>
      </w:r>
      <w:r>
        <w:rPr>
          <w:rFonts w:hint="eastAsia"/>
          <w:lang w:val="en-US" w:eastAsia="zh-CN"/>
        </w:rPr>
        <w:t>”</w:t>
      </w:r>
      <w:r>
        <w:rPr>
          <w:rFonts w:hint="default"/>
          <w:lang w:val="en-US" w:eastAsia="zh-CN"/>
        </w:rPr>
        <w:t>、上海</w:t>
      </w:r>
      <w:r>
        <w:rPr>
          <w:rFonts w:hint="eastAsia"/>
          <w:lang w:val="en-US" w:eastAsia="zh-CN"/>
        </w:rPr>
        <w:t>“</w:t>
      </w:r>
      <w:r>
        <w:rPr>
          <w:rFonts w:hint="default"/>
          <w:lang w:val="en-US" w:eastAsia="zh-CN"/>
        </w:rPr>
        <w:t>学校数字基座</w:t>
      </w:r>
      <w:r>
        <w:rPr>
          <w:rFonts w:hint="eastAsia"/>
          <w:lang w:val="en-US" w:eastAsia="zh-CN"/>
        </w:rPr>
        <w:t>”</w:t>
      </w:r>
      <w:r>
        <w:rPr>
          <w:rFonts w:hint="default"/>
          <w:lang w:val="en-US" w:eastAsia="zh-CN"/>
        </w:rPr>
        <w:t>），在国家—省—校的纵向体系中实现资源与数据的贯通回流。</w:t>
      </w:r>
    </w:p>
    <w:p w14:paraId="28F364B5">
      <w:pPr>
        <w:pStyle w:val="13"/>
        <w:keepNext w:val="0"/>
        <w:keepLines w:val="0"/>
        <w:widowControl/>
        <w:suppressLineNumbers w:val="0"/>
        <w:spacing w:line="240" w:lineRule="auto"/>
      </w:pPr>
      <w:r>
        <w:rPr>
          <w:rFonts w:hint="eastAsia" w:ascii="宋体" w:hAnsi="宋体" w:eastAsia="宋体" w:cs="宋体"/>
          <w:sz w:val="21"/>
          <w:szCs w:val="21"/>
          <w:lang w:val="en-US" w:eastAsia="zh-CN"/>
        </w:rPr>
        <w:t>....</w:t>
      </w:r>
    </w:p>
    <w:p w14:paraId="07AA6164">
      <w:pPr>
        <w:pStyle w:val="4"/>
        <w:bidi w:val="0"/>
        <w:rPr>
          <w:rFonts w:hint="default"/>
        </w:rPr>
      </w:pPr>
      <w:bookmarkStart w:id="13" w:name="_Toc20656"/>
      <w:r>
        <w:rPr>
          <w:rFonts w:hint="default"/>
          <w:lang w:val="en-US" w:eastAsia="zh-CN"/>
        </w:rPr>
        <w:t>技术应用：从单一工具向多元主体拓展</w:t>
      </w:r>
      <w:bookmarkEnd w:id="13"/>
    </w:p>
    <w:p w14:paraId="4236C4C5">
      <w:pPr>
        <w:bidi w:val="0"/>
        <w:rPr>
          <w:rFonts w:hint="default"/>
          <w:lang w:val="en-US" w:eastAsia="zh-CN"/>
        </w:rPr>
      </w:pPr>
      <w:r>
        <w:t>在政策推动下，人工智能技术在教育领域的应用形态不断丰富，呈现出从单一工具化应用向平台化、系统化、智能化升级的趋势。</w:t>
      </w:r>
    </w:p>
    <w:p w14:paraId="0C919A69">
      <w:pPr>
        <w:bidi w:val="0"/>
      </w:pPr>
      <w:r>
        <w:rPr>
          <w:rFonts w:hint="default"/>
          <w:b/>
          <w:bCs/>
          <w:lang w:val="en-US" w:eastAsia="zh-CN"/>
        </w:rPr>
        <w:t>在应用形态上，技术从录播、批改等工具化环节扩展到</w:t>
      </w:r>
      <w:r>
        <w:rPr>
          <w:rFonts w:hint="eastAsia"/>
          <w:b/>
          <w:bCs/>
          <w:lang w:val="en-US" w:eastAsia="zh-CN"/>
        </w:rPr>
        <w:t>“</w:t>
      </w:r>
      <w:r>
        <w:rPr>
          <w:rFonts w:hint="default"/>
          <w:b/>
          <w:bCs/>
          <w:lang w:val="en-US" w:eastAsia="zh-CN"/>
        </w:rPr>
        <w:t>平台化—数据化—智能化</w:t>
      </w:r>
      <w:r>
        <w:rPr>
          <w:rFonts w:hint="eastAsia"/>
          <w:b/>
          <w:bCs/>
          <w:lang w:val="en-US" w:eastAsia="zh-CN"/>
        </w:rPr>
        <w:t>”</w:t>
      </w:r>
      <w:r>
        <w:rPr>
          <w:rFonts w:hint="default"/>
          <w:b/>
          <w:bCs/>
          <w:lang w:val="en-US" w:eastAsia="zh-CN"/>
        </w:rPr>
        <w:t>全流程</w:t>
      </w:r>
      <w:r>
        <w:rPr>
          <w:rFonts w:hint="eastAsia"/>
          <w:b/>
          <w:bCs/>
          <w:lang w:val="en-US" w:eastAsia="zh-CN"/>
        </w:rPr>
        <w:t>。</w:t>
      </w:r>
      <w:r>
        <w:rPr>
          <w:rFonts w:hint="default"/>
          <w:lang w:val="en-US" w:eastAsia="zh-CN"/>
        </w:rPr>
        <w:t>形成课堂交互、学习分析、自适应学习、智能评价与教育大模型等多场景联动。在主体结构上，高校、企业与出版教育服务机构协同研发与供给，面向基础教育、职业教育与高等教育分场景迭代，支持教师教学诊断与学生个性化学习支持。</w:t>
      </w:r>
      <w:r>
        <w:t>目前主要技术形态可归纳为以下几类：</w:t>
      </w:r>
    </w:p>
    <w:p w14:paraId="733BB37A">
      <w:pPr>
        <w:bidi w:val="0"/>
        <w:spacing w:line="240" w:lineRule="auto"/>
      </w:pPr>
      <w:r>
        <w:rPr>
          <w:b/>
          <w:bCs/>
        </w:rPr>
        <w:t>智能感知与交互技术</w:t>
      </w:r>
      <w:r>
        <w:rPr>
          <w:rFonts w:hint="eastAsia"/>
          <w:b/>
          <w:bCs/>
          <w:lang w:eastAsia="zh-CN"/>
        </w:rPr>
        <w:t>，</w:t>
      </w:r>
      <w:r>
        <w:t>包括语音识别与合成、计算机视觉、人机交互等，为智能课堂录播、自动板书识别、课堂行为分析、在线口语测评等提供基础支撑。例如，在课堂教学与在线教学场景中，AI能够自动识别学生的学习状态，辅助教师进行课堂调控和个别化辅导。</w:t>
      </w:r>
    </w:p>
    <w:p w14:paraId="1BC7BB96">
      <w:pPr>
        <w:bidi w:val="0"/>
        <w:spacing w:line="240" w:lineRule="auto"/>
      </w:pPr>
      <w:r>
        <w:rPr>
          <w:b/>
          <w:bCs/>
        </w:rPr>
        <w:t>数据挖掘与学习分析技术</w:t>
      </w:r>
      <w:r>
        <w:rPr>
          <w:rFonts w:hint="eastAsia"/>
          <w:b/>
          <w:bCs/>
          <w:lang w:eastAsia="zh-CN"/>
        </w:rPr>
        <w:t>，</w:t>
      </w:r>
      <w:r>
        <w:t>依托学习行为数据和过程数据，采用学习分析、知识图谱等技术对学生的知识掌握程度、学习路径和学习风格进行建模，为精准教学和个性化学习路径推荐提供依据。这一方向是</w:t>
      </w:r>
      <w:r>
        <w:rPr>
          <w:rFonts w:hint="eastAsia"/>
          <w:lang w:eastAsia="zh-CN"/>
        </w:rPr>
        <w:t>“</w:t>
      </w:r>
      <w:r>
        <w:t>人工智能+精准教学</w:t>
      </w:r>
      <w:r>
        <w:rPr>
          <w:rFonts w:hint="eastAsia"/>
          <w:lang w:eastAsia="zh-CN"/>
        </w:rPr>
        <w:t>”</w:t>
      </w:r>
      <w:r>
        <w:t>的关键技术支撑。</w:t>
      </w:r>
    </w:p>
    <w:p w14:paraId="62ECC6E4">
      <w:pPr>
        <w:bidi w:val="0"/>
        <w:spacing w:line="240" w:lineRule="auto"/>
      </w:pPr>
      <w:r>
        <w:rPr>
          <w:b/>
          <w:bCs/>
        </w:rPr>
        <w:t>自适应学习与推荐系统</w:t>
      </w:r>
      <w:r>
        <w:rPr>
          <w:rFonts w:hint="eastAsia"/>
          <w:b/>
          <w:bCs/>
          <w:lang w:eastAsia="zh-CN"/>
        </w:rPr>
        <w:t>，</w:t>
      </w:r>
      <w:r>
        <w:t>基于算法模型，对学生的答题轨迹、作业表现、学习时长等数据进行实时分析，动态推送匹配其能力水平和兴趣偏好的学习资源，实现</w:t>
      </w:r>
      <w:r>
        <w:rPr>
          <w:rFonts w:hint="eastAsia"/>
          <w:lang w:eastAsia="zh-CN"/>
        </w:rPr>
        <w:t>“</w:t>
      </w:r>
      <w:r>
        <w:t>千人千面</w:t>
      </w:r>
      <w:r>
        <w:rPr>
          <w:rFonts w:hint="eastAsia"/>
          <w:lang w:eastAsia="zh-CN"/>
        </w:rPr>
        <w:t>”</w:t>
      </w:r>
      <w:r>
        <w:t>的学习内容与节奏安排，在基础教育与在线教育平台中已得到较大规模应用。</w:t>
      </w:r>
    </w:p>
    <w:p w14:paraId="55E62485">
      <w:pPr>
        <w:bidi w:val="0"/>
        <w:spacing w:afterAutospacing="0" w:line="240" w:lineRule="auto"/>
      </w:pPr>
      <w:r>
        <w:rPr>
          <w:b/>
          <w:bCs/>
        </w:rPr>
        <w:t>智能评价与自动评分技术</w:t>
      </w:r>
      <w:r>
        <w:rPr>
          <w:rFonts w:hint="eastAsia"/>
          <w:b/>
          <w:bCs/>
          <w:lang w:eastAsia="zh-CN"/>
        </w:rPr>
        <w:t>，</w:t>
      </w:r>
      <w:r>
        <w:t>通过自然语言处理与机器学习，对学生的作文、主观题、口语表达等进行自动评分或辅助评分，结合过程性数据构建多维度学习画像，逐步实现从结果评价向过程评价、增值评价的转型。《关于加快推进教育数字化的意见》明确提出要</w:t>
      </w:r>
      <w:r>
        <w:rPr>
          <w:rFonts w:hint="eastAsia"/>
          <w:lang w:eastAsia="zh-CN"/>
        </w:rPr>
        <w:t>“</w:t>
      </w:r>
      <w:r>
        <w:t>建立基于大数据和人工智能支持的教育评价机制</w:t>
      </w:r>
      <w:r>
        <w:rPr>
          <w:rFonts w:hint="eastAsia"/>
          <w:lang w:eastAsia="zh-CN"/>
        </w:rPr>
        <w:t>”</w:t>
      </w:r>
      <w:r>
        <w:t>，推动考试评价与学业评价数字化、智能化转型。</w:t>
      </w:r>
    </w:p>
    <w:p w14:paraId="10346176">
      <w:pPr>
        <w:keepNext w:val="0"/>
        <w:keepLines w:val="0"/>
        <w:pageBreakBefore w:val="0"/>
        <w:widowControl/>
        <w:kinsoku/>
        <w:wordWrap/>
        <w:overflowPunct/>
        <w:topLinePunct w:val="0"/>
        <w:autoSpaceDE/>
        <w:autoSpaceDN/>
        <w:bidi w:val="0"/>
        <w:adjustRightInd/>
        <w:snapToGrid/>
        <w:spacing w:beforeAutospacing="0" w:after="118" w:afterLines="27" w:afterAutospacing="0" w:line="240" w:lineRule="auto"/>
        <w:textAlignment w:val="auto"/>
      </w:pPr>
      <w:r>
        <w:rPr>
          <w:b/>
          <w:bCs/>
        </w:rPr>
        <w:t>教育专用大模型与学科大模型</w:t>
      </w:r>
      <w:r>
        <w:rPr>
          <w:rFonts w:hint="eastAsia"/>
          <w:b/>
          <w:bCs/>
          <w:lang w:eastAsia="zh-CN"/>
        </w:rPr>
        <w:t>，</w:t>
      </w:r>
      <w:r>
        <w:t>近年来，教育部启动</w:t>
      </w:r>
      <w:r>
        <w:rPr>
          <w:rFonts w:hint="eastAsia"/>
          <w:lang w:eastAsia="zh-CN"/>
        </w:rPr>
        <w:t>“</w:t>
      </w:r>
      <w:r>
        <w:t>人工智能赋能教育行动</w:t>
      </w:r>
      <w:r>
        <w:rPr>
          <w:rFonts w:hint="eastAsia"/>
          <w:lang w:eastAsia="zh-CN"/>
        </w:rPr>
        <w:t>”</w:t>
      </w:r>
      <w:r>
        <w:t>，围绕人工智能通识教育、国家智慧教育平台智能升级、教育专用大模型应用示范和数字教育出海实施</w:t>
      </w:r>
      <w:r>
        <w:rPr>
          <w:rFonts w:hint="eastAsia"/>
          <w:lang w:eastAsia="zh-CN"/>
        </w:rPr>
        <w:t>“</w:t>
      </w:r>
      <w:r>
        <w:t>四大行动</w:t>
      </w:r>
      <w:r>
        <w:rPr>
          <w:rFonts w:hint="eastAsia"/>
          <w:lang w:eastAsia="zh-CN"/>
        </w:rPr>
        <w:t>”</w:t>
      </w:r>
      <w:r>
        <w:t>，推动教育领域大模型研发与示范应用。</w:t>
      </w:r>
      <w:r>
        <w:rPr>
          <w:rFonts w:hint="eastAsia"/>
          <w:lang w:eastAsia="zh-CN"/>
        </w:rPr>
        <w:t>“</w:t>
      </w:r>
      <w:r>
        <w:t>意见</w:t>
      </w:r>
      <w:r>
        <w:rPr>
          <w:rFonts w:hint="eastAsia"/>
          <w:lang w:eastAsia="zh-CN"/>
        </w:rPr>
        <w:t>”</w:t>
      </w:r>
      <w:r>
        <w:t>文件提出要建设教育大模型和数学、物理等基础学科专题大模型，支持教学资源生成、课堂辅助、智能问答和学习支持等新场景。</w:t>
      </w:r>
    </w:p>
    <w:p w14:paraId="41AC28DB">
      <w:pPr>
        <w:bidi w:val="0"/>
        <w:spacing w:beforeAutospacing="0" w:line="240" w:lineRule="auto"/>
        <w:rPr>
          <w:b/>
          <w:bCs/>
        </w:rPr>
      </w:pPr>
      <w:r>
        <w:rPr>
          <w:b/>
          <w:bCs/>
        </w:rPr>
        <w:t>在具体应用场景上，目前我国</w:t>
      </w:r>
      <w:r>
        <w:rPr>
          <w:rFonts w:hint="eastAsia"/>
          <w:b/>
          <w:bCs/>
          <w:lang w:eastAsia="zh-CN"/>
        </w:rPr>
        <w:t>“</w:t>
      </w:r>
      <w:r>
        <w:rPr>
          <w:b/>
          <w:bCs/>
        </w:rPr>
        <w:t>人工智能+教育</w:t>
      </w:r>
      <w:r>
        <w:rPr>
          <w:rFonts w:hint="eastAsia"/>
          <w:b/>
          <w:bCs/>
          <w:lang w:eastAsia="zh-CN"/>
        </w:rPr>
        <w:t>”</w:t>
      </w:r>
      <w:r>
        <w:rPr>
          <w:b/>
          <w:bCs/>
        </w:rPr>
        <w:t>主要集中于：</w:t>
      </w:r>
    </w:p>
    <w:p w14:paraId="5118D948">
      <w:pPr>
        <w:bidi w:val="0"/>
      </w:pPr>
      <w:r>
        <w:rPr>
          <w:rFonts w:hint="eastAsia"/>
          <w:b w:val="0"/>
          <w:bCs w:val="0"/>
          <w:lang w:val="en-US" w:eastAsia="zh-CN"/>
        </w:rPr>
        <w:t>1</w:t>
      </w:r>
      <w:r>
        <w:rPr>
          <w:rFonts w:hint="eastAsia"/>
          <w:b/>
          <w:bCs/>
          <w:lang w:val="en-US" w:eastAsia="zh-CN"/>
        </w:rPr>
        <w:t>）</w:t>
      </w:r>
      <w:r>
        <w:rPr>
          <w:b/>
          <w:bCs/>
        </w:rPr>
        <w:t>个性化学习支持</w:t>
      </w:r>
      <w:r>
        <w:rPr>
          <w:rFonts w:hint="eastAsia"/>
          <w:b/>
          <w:bCs/>
          <w:lang w:eastAsia="zh-CN"/>
        </w:rPr>
        <w:t>，</w:t>
      </w:r>
      <w:r>
        <w:t>通过学习平台为学生提供适配学情的课程资源、智能作业推荐和学习路径规划；</w:t>
      </w:r>
      <w:r>
        <w:rPr>
          <w:rFonts w:hint="eastAsia"/>
          <w:lang w:val="en-US" w:eastAsia="zh-CN"/>
        </w:rPr>
        <w:t>2</w:t>
      </w:r>
      <w:r>
        <w:rPr>
          <w:rFonts w:hint="eastAsia"/>
          <w:lang w:eastAsia="zh-CN"/>
        </w:rPr>
        <w:t>）</w:t>
      </w:r>
      <w:r>
        <w:rPr>
          <w:b/>
          <w:bCs/>
        </w:rPr>
        <w:t>课堂教学辅助</w:t>
      </w:r>
      <w:r>
        <w:rPr>
          <w:rFonts w:hint="eastAsia"/>
          <w:b w:val="0"/>
          <w:bCs w:val="0"/>
          <w:lang w:eastAsia="zh-CN"/>
        </w:rPr>
        <w:t>，</w:t>
      </w:r>
      <w:r>
        <w:t>利用智能黑板、课堂记录与分析系统，为教师提供实时教学反馈和课后教学诊断；</w:t>
      </w:r>
      <w:r>
        <w:rPr>
          <w:rFonts w:hint="eastAsia"/>
          <w:lang w:val="en-US" w:eastAsia="zh-CN"/>
        </w:rPr>
        <w:t>3）</w:t>
      </w:r>
      <w:r>
        <w:rPr>
          <w:b/>
          <w:bCs/>
        </w:rPr>
        <w:t>智能作业与考试管理</w:t>
      </w:r>
      <w:r>
        <w:rPr>
          <w:rFonts w:hint="eastAsia"/>
          <w:b w:val="0"/>
          <w:bCs w:val="0"/>
          <w:lang w:eastAsia="zh-CN"/>
        </w:rPr>
        <w:t>，</w:t>
      </w:r>
      <w:r>
        <w:t>自动批改客观题甚至部分主观题，生成学情报告，减轻教师重复性工作负担；</w:t>
      </w:r>
      <w:r>
        <w:rPr>
          <w:rFonts w:hint="eastAsia"/>
          <w:lang w:val="en-US" w:eastAsia="zh-CN"/>
        </w:rPr>
        <w:t>4）</w:t>
      </w:r>
      <w:r>
        <w:rPr>
          <w:b/>
          <w:bCs/>
        </w:rPr>
        <w:t>教学管理与教育治理</w:t>
      </w:r>
      <w:r>
        <w:rPr>
          <w:rFonts w:hint="eastAsia"/>
          <w:b w:val="0"/>
          <w:bCs w:val="0"/>
          <w:lang w:eastAsia="zh-CN"/>
        </w:rPr>
        <w:t>，</w:t>
      </w:r>
      <w:r>
        <w:t>对学校教学运行数据、资源使用数据和学生发展数据进行分析，为教育决策提供支撑。</w:t>
      </w:r>
    </w:p>
    <w:p w14:paraId="70D6E548">
      <w:pPr>
        <w:pStyle w:val="4"/>
        <w:bidi w:val="0"/>
        <w:rPr>
          <w:rFonts w:hint="default"/>
        </w:rPr>
      </w:pPr>
      <w:bookmarkStart w:id="14" w:name="_Toc20790"/>
      <w:r>
        <w:rPr>
          <w:rFonts w:hint="default"/>
          <w:lang w:val="en-US" w:eastAsia="zh-CN"/>
        </w:rPr>
        <w:t>行业生态：国家引领、地方跟进、产学研协同</w:t>
      </w:r>
      <w:bookmarkEnd w:id="14"/>
    </w:p>
    <w:p w14:paraId="3B18830E">
      <w:pPr>
        <w:bidi w:val="0"/>
        <w:rPr>
          <w:b/>
          <w:bCs/>
        </w:rPr>
      </w:pPr>
      <w:r>
        <w:rPr>
          <w:b/>
          <w:bCs/>
        </w:rPr>
        <w:t>我国</w:t>
      </w:r>
      <w:r>
        <w:rPr>
          <w:rFonts w:hint="eastAsia"/>
          <w:b/>
          <w:bCs/>
          <w:lang w:eastAsia="zh-CN"/>
        </w:rPr>
        <w:t>“</w:t>
      </w:r>
      <w:r>
        <w:rPr>
          <w:b/>
          <w:bCs/>
        </w:rPr>
        <w:t>人工智能+教育</w:t>
      </w:r>
      <w:r>
        <w:rPr>
          <w:rFonts w:hint="eastAsia"/>
          <w:b/>
          <w:bCs/>
          <w:lang w:eastAsia="zh-CN"/>
        </w:rPr>
        <w:t>”</w:t>
      </w:r>
      <w:r>
        <w:rPr>
          <w:b/>
          <w:bCs/>
        </w:rPr>
        <w:t>的行业生态和平台体系建呈现出</w:t>
      </w:r>
      <w:r>
        <w:rPr>
          <w:rFonts w:hint="eastAsia"/>
          <w:b/>
          <w:bCs/>
          <w:lang w:eastAsia="zh-CN"/>
        </w:rPr>
        <w:t>“</w:t>
      </w:r>
      <w:r>
        <w:rPr>
          <w:b/>
          <w:bCs/>
        </w:rPr>
        <w:t>国家平台引领、地方平台跟进、企业与高校协同参与</w:t>
      </w:r>
      <w:r>
        <w:rPr>
          <w:rFonts w:hint="eastAsia"/>
          <w:b/>
          <w:bCs/>
          <w:lang w:eastAsia="zh-CN"/>
        </w:rPr>
        <w:t>”</w:t>
      </w:r>
      <w:r>
        <w:rPr>
          <w:b/>
          <w:bCs/>
        </w:rPr>
        <w:t>的多元格局。</w:t>
      </w:r>
    </w:p>
    <w:p w14:paraId="3AEC9441">
      <w:pPr>
        <w:bidi w:val="0"/>
      </w:pPr>
      <w:r>
        <w:rPr>
          <w:b/>
          <w:bCs/>
        </w:rPr>
        <w:t>一是国家智慧教育公共服务平台的枢纽作用不断增强。</w:t>
      </w:r>
      <w:r>
        <w:t>根据2025年官方发布的数据，我国已建成世界最大的高质量国家智慧教育公共服务平台，平台集成5个子平台，接入32个省级平台，注册用户突破1.63亿，浏览量达到608亿次，构建起覆盖基础教育、职业教育、高等教育和终身教育</w:t>
      </w:r>
      <w:r>
        <w:rPr>
          <w:rFonts w:hint="eastAsia"/>
          <w:lang w:eastAsia="zh-CN"/>
        </w:rPr>
        <w:t>“</w:t>
      </w:r>
      <w:r>
        <w:t>四横</w:t>
      </w:r>
      <w:r>
        <w:rPr>
          <w:rFonts w:hint="eastAsia"/>
          <w:lang w:eastAsia="zh-CN"/>
        </w:rPr>
        <w:t>”</w:t>
      </w:r>
      <w:r>
        <w:t>，德智体美劳</w:t>
      </w:r>
      <w:r>
        <w:rPr>
          <w:rFonts w:hint="eastAsia"/>
          <w:lang w:eastAsia="zh-CN"/>
        </w:rPr>
        <w:t>“</w:t>
      </w:r>
      <w:r>
        <w:t>五纵</w:t>
      </w:r>
      <w:r>
        <w:rPr>
          <w:rFonts w:hint="eastAsia"/>
          <w:lang w:eastAsia="zh-CN"/>
        </w:rPr>
        <w:t>”</w:t>
      </w:r>
      <w:r>
        <w:t>的资源供给体系，成为公共教育资源的集中供给与服务枢纽。这为人工智能在教育领域的规模化应用提供了统一的基础载体和数据基础。</w:t>
      </w:r>
    </w:p>
    <w:p w14:paraId="5309E8B0">
      <w:pPr>
        <w:bidi w:val="0"/>
      </w:pPr>
      <w:r>
        <w:rPr>
          <w:b/>
          <w:bCs/>
        </w:rPr>
        <w:t>二是出版与教育服务机构、教育科技企业积极参与平台建设。</w:t>
      </w:r>
      <w:r>
        <w:t>在</w:t>
      </w:r>
      <w:r>
        <w:rPr>
          <w:rFonts w:hint="eastAsia"/>
          <w:lang w:eastAsia="zh-CN"/>
        </w:rPr>
        <w:t>“</w:t>
      </w:r>
      <w:r>
        <w:t>国家教育数字化战略行动</w:t>
      </w:r>
      <w:r>
        <w:rPr>
          <w:rFonts w:hint="eastAsia"/>
          <w:lang w:eastAsia="zh-CN"/>
        </w:rPr>
        <w:t>”</w:t>
      </w:r>
      <w:r>
        <w:t>中，中国教育出版传媒集团等承担了多个子平台的建设和运维任务，依托自身内容与渠道优势，推动数字资源与智能技术的深度融合。同时，一批教育科技企业围绕</w:t>
      </w:r>
      <w:r>
        <w:rPr>
          <w:rFonts w:hint="eastAsia"/>
          <w:lang w:eastAsia="zh-CN"/>
        </w:rPr>
        <w:t>“</w:t>
      </w:r>
      <w:r>
        <w:t>教学大模型</w:t>
      </w:r>
      <w:r>
        <w:rPr>
          <w:rFonts w:hint="eastAsia"/>
          <w:lang w:eastAsia="zh-CN"/>
        </w:rPr>
        <w:t>”“</w:t>
      </w:r>
      <w:r>
        <w:t>智能教室</w:t>
      </w:r>
      <w:r>
        <w:rPr>
          <w:rFonts w:hint="eastAsia"/>
          <w:lang w:eastAsia="zh-CN"/>
        </w:rPr>
        <w:t>”“</w:t>
      </w:r>
      <w:r>
        <w:t>智慧校园</w:t>
      </w:r>
      <w:r>
        <w:rPr>
          <w:rFonts w:hint="eastAsia"/>
          <w:lang w:eastAsia="zh-CN"/>
        </w:rPr>
        <w:t>”</w:t>
      </w:r>
      <w:r>
        <w:t>等方向布局，形成了较为活跃的产业生态。</w:t>
      </w:r>
    </w:p>
    <w:p w14:paraId="2AE8D024">
      <w:pPr>
        <w:bidi w:val="0"/>
      </w:pPr>
      <w:r>
        <w:rPr>
          <w:b/>
          <w:bCs/>
        </w:rPr>
        <w:t>三是区域与校本层面的智慧教育平台和应用场景不断扩展。</w:t>
      </w:r>
      <w:r>
        <w:t>各地在省级教育资源公共服务平台基础上，建设区域智慧教育平台、智慧校园系统和学段特色平台，通过</w:t>
      </w:r>
      <w:r>
        <w:rPr>
          <w:rFonts w:hint="eastAsia"/>
          <w:lang w:eastAsia="zh-CN"/>
        </w:rPr>
        <w:t>“</w:t>
      </w:r>
      <w:r>
        <w:t>云+端+应用</w:t>
      </w:r>
      <w:r>
        <w:rPr>
          <w:rFonts w:hint="eastAsia"/>
          <w:lang w:eastAsia="zh-CN"/>
        </w:rPr>
        <w:t>”</w:t>
      </w:r>
      <w:r>
        <w:t>的组合，引入智能批改、课堂分析、在线教研等应用，推动人工智能在日常教学与管理中的渗透。</w:t>
      </w:r>
    </w:p>
    <w:p w14:paraId="30F03C48">
      <w:pPr>
        <w:bidi w:val="0"/>
      </w:pPr>
      <w:r>
        <w:rPr>
          <w:b/>
          <w:bCs/>
        </w:rPr>
        <w:t>四是高校与科研机构成为人工智能教育创新的重要源头。</w:t>
      </w:r>
      <w:r>
        <w:t>一批高校依托人工智能学院、教育技术学科等平台，开展教育大模型、智能课堂、学习分析等研究，建设实验班、创新项目和示范课程，为</w:t>
      </w:r>
      <w:r>
        <w:rPr>
          <w:rFonts w:hint="eastAsia"/>
          <w:lang w:eastAsia="zh-CN"/>
        </w:rPr>
        <w:t>“</w:t>
      </w:r>
      <w:r>
        <w:t>人工智能+教育</w:t>
      </w:r>
      <w:r>
        <w:rPr>
          <w:rFonts w:hint="eastAsia"/>
          <w:lang w:eastAsia="zh-CN"/>
        </w:rPr>
        <w:t>”</w:t>
      </w:r>
      <w:r>
        <w:t>的理论创新与人才培养提供支撑。</w:t>
      </w:r>
    </w:p>
    <w:p w14:paraId="10973EFC">
      <w:pPr>
        <w:pStyle w:val="3"/>
        <w:bidi w:val="0"/>
      </w:pPr>
      <w:bookmarkStart w:id="15" w:name="_Toc352"/>
      <w:bookmarkStart w:id="16" w:name="_Toc9259"/>
      <w:bookmarkStart w:id="17" w:name="_Toc744"/>
      <w:bookmarkStart w:id="18" w:name="_Toc30843"/>
      <w:bookmarkStart w:id="19" w:name="_Toc16980"/>
      <w:r>
        <w:rPr>
          <w:rFonts w:hint="eastAsia"/>
          <w:lang w:val="en-US" w:eastAsia="zh-CN"/>
        </w:rPr>
        <w:t>（二）</w:t>
      </w:r>
      <w:bookmarkEnd w:id="15"/>
      <w:bookmarkEnd w:id="16"/>
      <w:bookmarkEnd w:id="17"/>
      <w:bookmarkEnd w:id="18"/>
      <w:r>
        <w:rPr>
          <w:rFonts w:hint="default"/>
        </w:rPr>
        <w:t>结构性挑战与瓶颈</w:t>
      </w:r>
      <w:bookmarkEnd w:id="19"/>
    </w:p>
    <w:p w14:paraId="16A8176E">
      <w:pPr>
        <w:bidi w:val="0"/>
      </w:pPr>
      <w:r>
        <w:t>我国</w:t>
      </w:r>
      <w:r>
        <w:rPr>
          <w:rFonts w:hint="eastAsia"/>
          <w:lang w:eastAsia="zh-CN"/>
        </w:rPr>
        <w:t>“</w:t>
      </w:r>
      <w:r>
        <w:t>人工智能+教育</w:t>
      </w:r>
      <w:r>
        <w:rPr>
          <w:rFonts w:hint="eastAsia"/>
          <w:lang w:eastAsia="zh-CN"/>
        </w:rPr>
        <w:t>”</w:t>
      </w:r>
      <w:r>
        <w:t>在快速推进过程中面临一系列结构性挑战。这些挑战不仅关乎技术本身，更深层地指向数据、</w:t>
      </w:r>
      <w:r>
        <w:rPr>
          <w:rFonts w:hint="eastAsia"/>
          <w:lang w:val="en-US" w:eastAsia="zh-CN"/>
        </w:rPr>
        <w:t>技术、主体、社会</w:t>
      </w:r>
      <w:r>
        <w:t>等方面的矛盾</w:t>
      </w:r>
      <w:r>
        <w:rPr>
          <w:rFonts w:hint="eastAsia"/>
          <w:lang w:val="en-US" w:eastAsia="zh-CN"/>
        </w:rPr>
        <w:t>与风险</w:t>
      </w:r>
      <w:r>
        <w:t>。</w:t>
      </w:r>
    </w:p>
    <w:p w14:paraId="56A48BEF">
      <w:pPr>
        <w:pStyle w:val="4"/>
        <w:bidi w:val="0"/>
        <w:rPr>
          <w:rFonts w:hint="default"/>
          <w:lang w:val="en-US" w:eastAsia="zh-CN"/>
        </w:rPr>
      </w:pPr>
      <w:bookmarkStart w:id="20" w:name="_Toc32281"/>
      <w:bookmarkStart w:id="63" w:name="_GoBack"/>
      <w:bookmarkEnd w:id="63"/>
      <w:r>
        <w:rPr>
          <w:rFonts w:hint="default"/>
          <w:lang w:val="en-US" w:eastAsia="zh-CN"/>
        </w:rPr>
        <w:t>数据风险：教育数据泄露泛化</w:t>
      </w:r>
      <w:bookmarkEnd w:id="20"/>
    </w:p>
    <w:p w14:paraId="077B52F6">
      <w:pPr>
        <w:bidi w:val="0"/>
        <w:rPr>
          <w:rFonts w:hint="eastAsia"/>
        </w:rPr>
      </w:pPr>
      <w:r>
        <w:rPr>
          <w:b/>
          <w:bCs/>
        </w:rPr>
        <w:t>数据标准不统一、互联互通不足仍然是制约人工智能教育应用深化的重要因素</w:t>
      </w:r>
      <w:r>
        <w:rPr>
          <w:rFonts w:hint="eastAsia"/>
          <w:b/>
          <w:bCs/>
          <w:lang w:eastAsia="zh-CN"/>
        </w:rPr>
        <w:t>。</w:t>
      </w:r>
      <w:r>
        <w:rPr>
          <w:rFonts w:hint="eastAsia"/>
          <w:lang w:val="en-US" w:eastAsia="zh-CN"/>
        </w:rPr>
        <w:t>应对数据风险</w:t>
      </w:r>
      <w:r>
        <w:rPr>
          <w:rFonts w:hint="eastAsia"/>
        </w:rPr>
        <w:t>必须打破</w:t>
      </w:r>
      <w:r>
        <w:rPr>
          <w:rFonts w:hint="eastAsia"/>
          <w:lang w:eastAsia="zh-CN"/>
        </w:rPr>
        <w:t>“</w:t>
      </w:r>
      <w:r>
        <w:rPr>
          <w:rFonts w:hint="eastAsia"/>
        </w:rPr>
        <w:t>数据孤岛</w:t>
      </w:r>
      <w:r>
        <w:rPr>
          <w:rFonts w:hint="eastAsia"/>
          <w:lang w:eastAsia="zh-CN"/>
        </w:rPr>
        <w:t>”</w:t>
      </w:r>
      <w:r>
        <w:rPr>
          <w:rFonts w:hint="eastAsia"/>
        </w:rPr>
        <w:t>，建立统一标准的数据底座，从</w:t>
      </w:r>
      <w:r>
        <w:rPr>
          <w:rFonts w:hint="eastAsia"/>
          <w:lang w:eastAsia="zh-CN"/>
        </w:rPr>
        <w:t>“</w:t>
      </w:r>
      <w:r>
        <w:rPr>
          <w:rFonts w:hint="eastAsia"/>
        </w:rPr>
        <w:t>数据汇聚</w:t>
      </w:r>
      <w:r>
        <w:rPr>
          <w:rFonts w:hint="eastAsia"/>
          <w:lang w:eastAsia="zh-CN"/>
        </w:rPr>
        <w:t>”</w:t>
      </w:r>
      <w:r>
        <w:rPr>
          <w:rFonts w:hint="eastAsia"/>
        </w:rPr>
        <w:t>向</w:t>
      </w:r>
      <w:r>
        <w:rPr>
          <w:rFonts w:hint="eastAsia"/>
          <w:lang w:eastAsia="zh-CN"/>
        </w:rPr>
        <w:t>“</w:t>
      </w:r>
      <w:r>
        <w:rPr>
          <w:rFonts w:hint="eastAsia"/>
        </w:rPr>
        <w:t>数据治理</w:t>
      </w:r>
      <w:r>
        <w:rPr>
          <w:rFonts w:hint="eastAsia"/>
          <w:lang w:eastAsia="zh-CN"/>
        </w:rPr>
        <w:t>”</w:t>
      </w:r>
      <w:r>
        <w:rPr>
          <w:rFonts w:hint="eastAsia"/>
        </w:rPr>
        <w:t>转型，确保数据的可用性、安全性与流通性。</w:t>
      </w:r>
    </w:p>
    <w:p w14:paraId="023A41C1">
      <w:pPr>
        <w:bidi w:val="0"/>
      </w:pPr>
      <w:r>
        <w:t>数据安全与隐私保护压力不断增大。《关于加快推进教育数字化的意见》明确指出，要建好国家教育大数据中心，统一数据标准与接口标准，建设跨层级、跨地域、跨部门的教育数据共享网络，并提出</w:t>
      </w:r>
      <w:r>
        <w:rPr>
          <w:rFonts w:hint="eastAsia"/>
          <w:lang w:eastAsia="zh-CN"/>
        </w:rPr>
        <w:t>“</w:t>
      </w:r>
      <w:r>
        <w:t>逐步实现‘一数一源’</w:t>
      </w:r>
      <w:r>
        <w:rPr>
          <w:rFonts w:hint="eastAsia"/>
          <w:lang w:eastAsia="zh-CN"/>
        </w:rPr>
        <w:t>”</w:t>
      </w:r>
      <w:r>
        <w:t>。随着国家智慧教育平台和各类区域平台汇聚了海量师生数据，如何落实数据全生命周期安全防护、防止数据泄露和滥用，已成为政策文件反复强调的重点。</w:t>
      </w:r>
    </w:p>
    <w:p w14:paraId="2C8EE563">
      <w:pPr>
        <w:pStyle w:val="4"/>
        <w:bidi w:val="0"/>
        <w:rPr>
          <w:rFonts w:hint="default"/>
          <w:lang w:val="en-US" w:eastAsia="zh-CN"/>
        </w:rPr>
      </w:pPr>
      <w:bookmarkStart w:id="21" w:name="_Toc10202"/>
      <w:r>
        <w:rPr>
          <w:rFonts w:hint="default"/>
          <w:lang w:val="en-US" w:eastAsia="zh-CN"/>
        </w:rPr>
        <w:t>技术风险：技术程序标准缺失</w:t>
      </w:r>
      <w:bookmarkEnd w:id="21"/>
    </w:p>
    <w:p w14:paraId="1483E276">
      <w:pPr>
        <w:bidi w:val="0"/>
        <w:rPr>
          <w:rFonts w:hint="default"/>
          <w:lang w:val="en-US" w:eastAsia="zh-CN"/>
        </w:rPr>
      </w:pPr>
      <w:r>
        <w:rPr>
          <w:rFonts w:hint="default"/>
          <w:b/>
          <w:bCs/>
          <w:lang w:val="en-US" w:eastAsia="zh-CN"/>
        </w:rPr>
        <w:t>技术应用需从</w:t>
      </w:r>
      <w:r>
        <w:rPr>
          <w:rFonts w:hint="eastAsia"/>
          <w:b/>
          <w:bCs/>
          <w:lang w:val="en-US" w:eastAsia="zh-CN"/>
        </w:rPr>
        <w:t>“</w:t>
      </w:r>
      <w:r>
        <w:rPr>
          <w:rFonts w:hint="default"/>
          <w:b/>
          <w:bCs/>
          <w:lang w:val="en-US" w:eastAsia="zh-CN"/>
        </w:rPr>
        <w:t>通用模型</w:t>
      </w:r>
      <w:r>
        <w:rPr>
          <w:rFonts w:hint="eastAsia"/>
          <w:b/>
          <w:bCs/>
          <w:lang w:val="en-US" w:eastAsia="zh-CN"/>
        </w:rPr>
        <w:t>”</w:t>
      </w:r>
      <w:r>
        <w:rPr>
          <w:rFonts w:hint="default"/>
          <w:b/>
          <w:bCs/>
          <w:lang w:val="en-US" w:eastAsia="zh-CN"/>
        </w:rPr>
        <w:t>向</w:t>
      </w:r>
      <w:r>
        <w:rPr>
          <w:rFonts w:hint="eastAsia"/>
          <w:b/>
          <w:bCs/>
          <w:lang w:val="en-US" w:eastAsia="zh-CN"/>
        </w:rPr>
        <w:t>“</w:t>
      </w:r>
      <w:r>
        <w:rPr>
          <w:rFonts w:hint="default"/>
          <w:b/>
          <w:bCs/>
          <w:lang w:val="en-US" w:eastAsia="zh-CN"/>
        </w:rPr>
        <w:t>教育专用模型</w:t>
      </w:r>
      <w:r>
        <w:rPr>
          <w:rFonts w:hint="eastAsia"/>
          <w:b/>
          <w:bCs/>
          <w:lang w:val="en-US" w:eastAsia="zh-CN"/>
        </w:rPr>
        <w:t>”</w:t>
      </w:r>
      <w:r>
        <w:rPr>
          <w:rFonts w:hint="default"/>
          <w:b/>
          <w:bCs/>
          <w:lang w:val="en-US" w:eastAsia="zh-CN"/>
        </w:rPr>
        <w:t>深化，重点解决算法黑箱与教育规律的适配问题，确立</w:t>
      </w:r>
      <w:r>
        <w:rPr>
          <w:rFonts w:hint="eastAsia"/>
          <w:b/>
          <w:bCs/>
          <w:lang w:val="en-US" w:eastAsia="zh-CN"/>
        </w:rPr>
        <w:t>“</w:t>
      </w:r>
      <w:r>
        <w:rPr>
          <w:rFonts w:hint="default"/>
          <w:b/>
          <w:bCs/>
          <w:lang w:val="en-US" w:eastAsia="zh-CN"/>
        </w:rPr>
        <w:t>技术服务育人</w:t>
      </w:r>
      <w:r>
        <w:rPr>
          <w:rFonts w:hint="eastAsia"/>
          <w:b/>
          <w:bCs/>
          <w:lang w:val="en-US" w:eastAsia="zh-CN"/>
        </w:rPr>
        <w:t>”</w:t>
      </w:r>
      <w:r>
        <w:rPr>
          <w:rFonts w:hint="default"/>
          <w:b/>
          <w:bCs/>
          <w:lang w:val="en-US" w:eastAsia="zh-CN"/>
        </w:rPr>
        <w:t>的底线逻辑。</w:t>
      </w:r>
      <w:r>
        <w:rPr>
          <w:rFonts w:hint="default"/>
          <w:lang w:val="en-US" w:eastAsia="zh-CN"/>
        </w:rPr>
        <w:t>依据《新一代人工智能发展规划》关于</w:t>
      </w:r>
      <w:r>
        <w:rPr>
          <w:rFonts w:hint="eastAsia"/>
          <w:lang w:val="en-US" w:eastAsia="zh-CN"/>
        </w:rPr>
        <w:t>“</w:t>
      </w:r>
      <w:r>
        <w:rPr>
          <w:rFonts w:hint="default"/>
          <w:lang w:val="en-US" w:eastAsia="zh-CN"/>
        </w:rPr>
        <w:t>建立可解释、可信赖的人工智能技术体系</w:t>
      </w:r>
      <w:r>
        <w:rPr>
          <w:rFonts w:hint="eastAsia"/>
          <w:lang w:val="en-US" w:eastAsia="zh-CN"/>
        </w:rPr>
        <w:t>”</w:t>
      </w:r>
      <w:r>
        <w:rPr>
          <w:rFonts w:hint="default"/>
          <w:lang w:val="en-US" w:eastAsia="zh-CN"/>
        </w:rPr>
        <w:t>的要求。</w:t>
      </w:r>
    </w:p>
    <w:p w14:paraId="6448FF2B">
      <w:pPr>
        <w:bidi w:val="0"/>
        <w:rPr>
          <w:rFonts w:hint="default"/>
          <w:lang w:val="en-US" w:eastAsia="zh-CN"/>
        </w:rPr>
      </w:pPr>
      <w:r>
        <w:rPr>
          <w:rFonts w:hint="default"/>
          <w:lang w:val="en-US" w:eastAsia="zh-CN"/>
        </w:rPr>
        <w:t>从技术层面看，一方面</w:t>
      </w:r>
      <w:r>
        <w:t>，核心技术与教育场景深度匹配仍有不足。尽管我国在语音识别、计算机视觉、自然语言处理等人工智能技术领域取得了显著进展，但面向教育的专用算法和模型仍在探索阶段。如何让大模型真正理解课程标准、学科知识体系和教学规律，仍需要持续的模型优化与场景打磨。</w:t>
      </w:r>
    </w:p>
    <w:p w14:paraId="6BA0F570">
      <w:pPr>
        <w:pStyle w:val="4"/>
        <w:bidi w:val="0"/>
        <w:rPr>
          <w:rFonts w:hint="default"/>
          <w:lang w:val="en-US" w:eastAsia="zh-CN"/>
        </w:rPr>
      </w:pPr>
      <w:bookmarkStart w:id="22" w:name="_Toc13335"/>
      <w:r>
        <w:rPr>
          <w:rFonts w:hint="default"/>
          <w:lang w:val="en-US" w:eastAsia="zh-CN"/>
        </w:rPr>
        <w:t>主体风险：教育主体技术依赖与教育同质化</w:t>
      </w:r>
      <w:bookmarkEnd w:id="22"/>
    </w:p>
    <w:p w14:paraId="7999309C">
      <w:pPr>
        <w:bidi w:val="0"/>
        <w:rPr>
          <w:rFonts w:hint="default"/>
          <w:lang w:val="en-US" w:eastAsia="zh-CN"/>
        </w:rPr>
      </w:pPr>
      <w:r>
        <w:rPr>
          <w:rFonts w:hint="eastAsia"/>
          <w:b/>
          <w:bCs/>
          <w:lang w:val="en-US" w:eastAsia="zh-CN"/>
        </w:rPr>
        <w:t>主体风险</w:t>
      </w:r>
      <w:r>
        <w:rPr>
          <w:rFonts w:hint="default"/>
          <w:b/>
          <w:bCs/>
          <w:lang w:val="en-US" w:eastAsia="zh-CN"/>
        </w:rPr>
        <w:t>主要体现为师生对技术的过度依赖与教育过程的同质化倾向。</w:t>
      </w:r>
      <w:r>
        <w:rPr>
          <w:rFonts w:hint="eastAsia"/>
          <w:lang w:val="en-US" w:eastAsia="zh-CN"/>
        </w:rPr>
        <w:t>在</w:t>
      </w:r>
      <w:r>
        <w:rPr>
          <w:rFonts w:hint="default"/>
          <w:lang w:val="en-US" w:eastAsia="zh-CN"/>
        </w:rPr>
        <w:t>重构</w:t>
      </w:r>
      <w:r>
        <w:rPr>
          <w:rFonts w:hint="eastAsia"/>
          <w:lang w:val="en-US" w:eastAsia="zh-CN"/>
        </w:rPr>
        <w:t>“</w:t>
      </w:r>
      <w:r>
        <w:rPr>
          <w:rFonts w:hint="default"/>
          <w:lang w:val="en-US" w:eastAsia="zh-CN"/>
        </w:rPr>
        <w:t>人机协同</w:t>
      </w:r>
      <w:r>
        <w:rPr>
          <w:rFonts w:hint="eastAsia"/>
          <w:lang w:val="en-US" w:eastAsia="zh-CN"/>
        </w:rPr>
        <w:t>”</w:t>
      </w:r>
      <w:r>
        <w:rPr>
          <w:rFonts w:hint="default"/>
          <w:lang w:val="en-US" w:eastAsia="zh-CN"/>
        </w:rPr>
        <w:t>关系</w:t>
      </w:r>
      <w:r>
        <w:rPr>
          <w:rFonts w:hint="eastAsia"/>
          <w:lang w:val="en-US" w:eastAsia="zh-CN"/>
        </w:rPr>
        <w:t>问题下</w:t>
      </w:r>
      <w:r>
        <w:rPr>
          <w:rFonts w:hint="default"/>
          <w:lang w:val="en-US" w:eastAsia="zh-CN"/>
        </w:rPr>
        <w:t>，教师</w:t>
      </w:r>
      <w:r>
        <w:rPr>
          <w:rFonts w:hint="eastAsia"/>
          <w:lang w:val="en-US" w:eastAsia="zh-CN"/>
        </w:rPr>
        <w:t>需</w:t>
      </w:r>
      <w:r>
        <w:rPr>
          <w:rFonts w:hint="default"/>
          <w:lang w:val="en-US" w:eastAsia="zh-CN"/>
        </w:rPr>
        <w:t>从</w:t>
      </w:r>
      <w:r>
        <w:rPr>
          <w:rFonts w:hint="eastAsia"/>
          <w:lang w:val="en-US" w:eastAsia="zh-CN"/>
        </w:rPr>
        <w:t>“</w:t>
      </w:r>
      <w:r>
        <w:rPr>
          <w:rFonts w:hint="default"/>
          <w:lang w:val="en-US" w:eastAsia="zh-CN"/>
        </w:rPr>
        <w:t>知识传授者</w:t>
      </w:r>
      <w:r>
        <w:rPr>
          <w:rFonts w:hint="eastAsia"/>
          <w:lang w:val="en-US" w:eastAsia="zh-CN"/>
        </w:rPr>
        <w:t>”</w:t>
      </w:r>
      <w:r>
        <w:rPr>
          <w:rFonts w:hint="default"/>
          <w:lang w:val="en-US" w:eastAsia="zh-CN"/>
        </w:rPr>
        <w:t>转型为</w:t>
      </w:r>
      <w:r>
        <w:rPr>
          <w:rFonts w:hint="eastAsia"/>
          <w:lang w:val="en-US" w:eastAsia="zh-CN"/>
        </w:rPr>
        <w:t>“</w:t>
      </w:r>
      <w:r>
        <w:rPr>
          <w:rFonts w:hint="default"/>
          <w:lang w:val="en-US" w:eastAsia="zh-CN"/>
        </w:rPr>
        <w:t>学习设计师</w:t>
      </w:r>
      <w:r>
        <w:rPr>
          <w:rFonts w:hint="eastAsia"/>
          <w:lang w:val="en-US" w:eastAsia="zh-CN"/>
        </w:rPr>
        <w:t>”</w:t>
      </w:r>
      <w:r>
        <w:rPr>
          <w:rFonts w:hint="default"/>
          <w:lang w:val="en-US" w:eastAsia="zh-CN"/>
        </w:rPr>
        <w:t>，学生需培养</w:t>
      </w:r>
      <w:r>
        <w:rPr>
          <w:rFonts w:hint="eastAsia"/>
          <w:lang w:val="en-US" w:eastAsia="zh-CN"/>
        </w:rPr>
        <w:t>“</w:t>
      </w:r>
      <w:r>
        <w:rPr>
          <w:rFonts w:hint="default"/>
          <w:lang w:val="en-US" w:eastAsia="zh-CN"/>
        </w:rPr>
        <w:t>数字韧性</w:t>
      </w:r>
      <w:r>
        <w:rPr>
          <w:rFonts w:hint="eastAsia"/>
          <w:lang w:val="en-US" w:eastAsia="zh-CN"/>
        </w:rPr>
        <w:t>”</w:t>
      </w:r>
      <w:r>
        <w:rPr>
          <w:rFonts w:hint="default"/>
          <w:lang w:val="en-US" w:eastAsia="zh-CN"/>
        </w:rPr>
        <w:t>与批判性思维，避免技术异化主体。《中小学人工智能教育通知》</w:t>
      </w:r>
      <w:r>
        <w:rPr>
          <w:rFonts w:hint="eastAsia"/>
          <w:lang w:val="en-US" w:eastAsia="zh-CN"/>
        </w:rPr>
        <w:t>中要求从课程体系、教学资源等方面推进人工智能教育在中小学的普及与深化。</w:t>
      </w:r>
      <w:r>
        <w:rPr>
          <w:rFonts w:hint="default"/>
          <w:lang w:val="en-US" w:eastAsia="zh-CN"/>
        </w:rPr>
        <w:t>一方面，部分教师过度依赖智能教案生成与自动批改，可能导致教学反思能力退化与师生情感交互缺失，出现</w:t>
      </w:r>
      <w:r>
        <w:rPr>
          <w:rFonts w:hint="eastAsia"/>
          <w:lang w:val="en-US" w:eastAsia="zh-CN"/>
        </w:rPr>
        <w:t>“</w:t>
      </w:r>
      <w:r>
        <w:rPr>
          <w:rFonts w:hint="default"/>
          <w:lang w:val="en-US" w:eastAsia="zh-CN"/>
        </w:rPr>
        <w:t>去专业化</w:t>
      </w:r>
      <w:r>
        <w:rPr>
          <w:rFonts w:hint="eastAsia"/>
          <w:lang w:val="en-US" w:eastAsia="zh-CN"/>
        </w:rPr>
        <w:t>”</w:t>
      </w:r>
      <w:r>
        <w:rPr>
          <w:rFonts w:hint="default"/>
          <w:lang w:val="en-US" w:eastAsia="zh-CN"/>
        </w:rPr>
        <w:t>隐忧；另一方面，学生若长期依赖生成式AI获取标准答案，易形成</w:t>
      </w:r>
      <w:r>
        <w:rPr>
          <w:rFonts w:hint="eastAsia"/>
          <w:lang w:val="en-US" w:eastAsia="zh-CN"/>
        </w:rPr>
        <w:t>“</w:t>
      </w:r>
      <w:r>
        <w:rPr>
          <w:rFonts w:hint="default"/>
          <w:lang w:val="en-US" w:eastAsia="zh-CN"/>
        </w:rPr>
        <w:t>认知卸载</w:t>
      </w:r>
      <w:r>
        <w:rPr>
          <w:rFonts w:hint="eastAsia"/>
          <w:lang w:val="en-US" w:eastAsia="zh-CN"/>
        </w:rPr>
        <w:t>”</w:t>
      </w:r>
      <w:r>
        <w:rPr>
          <w:rFonts w:hint="default"/>
          <w:lang w:val="en-US" w:eastAsia="zh-CN"/>
        </w:rPr>
        <w:t>，削弱批判性思维与独立解决问题的能力。此外，基于标准化数据的算法推荐可能导致</w:t>
      </w:r>
      <w:r>
        <w:rPr>
          <w:rFonts w:hint="eastAsia"/>
          <w:lang w:val="en-US" w:eastAsia="zh-CN"/>
        </w:rPr>
        <w:t>“</w:t>
      </w:r>
      <w:r>
        <w:rPr>
          <w:rFonts w:hint="default"/>
          <w:lang w:val="en-US" w:eastAsia="zh-CN"/>
        </w:rPr>
        <w:t>信息茧房</w:t>
      </w:r>
      <w:r>
        <w:rPr>
          <w:rFonts w:hint="eastAsia"/>
          <w:lang w:val="en-US" w:eastAsia="zh-CN"/>
        </w:rPr>
        <w:t>”</w:t>
      </w:r>
      <w:r>
        <w:rPr>
          <w:rFonts w:hint="default"/>
          <w:lang w:val="en-US" w:eastAsia="zh-CN"/>
        </w:rPr>
        <w:t>，使得不同学生的学习路径虽看似个性化，实则被算法逻辑规训，</w:t>
      </w:r>
      <w:r>
        <w:rPr>
          <w:rFonts w:hint="eastAsia"/>
          <w:lang w:val="en-US" w:eastAsia="zh-CN"/>
        </w:rPr>
        <w:t>而</w:t>
      </w:r>
      <w:r>
        <w:rPr>
          <w:rFonts w:hint="default"/>
          <w:lang w:val="en-US" w:eastAsia="zh-CN"/>
        </w:rPr>
        <w:t>缺乏多元挑战而陷入新的同质化困境。</w:t>
      </w:r>
    </w:p>
    <w:p w14:paraId="309E2B61">
      <w:pPr>
        <w:bidi w:val="0"/>
        <w:rPr>
          <w:rFonts w:hint="eastAsia"/>
          <w:lang w:val="en-US" w:eastAsia="zh-CN"/>
        </w:rPr>
      </w:pPr>
      <w:r>
        <w:rPr>
          <w:rFonts w:hint="eastAsia"/>
          <w:lang w:val="en-US" w:eastAsia="zh-CN"/>
        </w:rPr>
        <w:t>.....</w:t>
      </w:r>
    </w:p>
    <w:p w14:paraId="7CEC4D49">
      <w:pPr>
        <w:pStyle w:val="4"/>
        <w:bidi w:val="0"/>
        <w:rPr>
          <w:rFonts w:hint="default"/>
          <w:lang w:val="en-US"/>
        </w:rPr>
      </w:pPr>
      <w:bookmarkStart w:id="23" w:name="_Toc20691"/>
      <w:r>
        <w:rPr>
          <w:rFonts w:hint="default"/>
          <w:lang w:val="en-US" w:eastAsia="zh-CN"/>
        </w:rPr>
        <w:t>社会风险：</w:t>
      </w:r>
      <w:r>
        <w:rPr>
          <w:rFonts w:hint="eastAsia"/>
          <w:lang w:val="en-US" w:eastAsia="zh-CN"/>
        </w:rPr>
        <w:t>体系建设与治理防控缺漏</w:t>
      </w:r>
      <w:bookmarkEnd w:id="23"/>
    </w:p>
    <w:p w14:paraId="11808972">
      <w:pPr>
        <w:bidi w:val="0"/>
      </w:pPr>
      <w:r>
        <w:rPr>
          <w:b/>
          <w:bCs/>
        </w:rPr>
        <w:t>从宏观上看，国家层面已经形成了较为完备的政策体系，但如何将这些政策有效转化为省、市、县及学校层面的具体行动方案，并形成可持续的制度安排，仍需时间。</w:t>
      </w:r>
      <w:r>
        <w:t>《关于加快推进教育数字化的意见》提出，要</w:t>
      </w:r>
      <w:r>
        <w:rPr>
          <w:rFonts w:hint="eastAsia"/>
          <w:lang w:eastAsia="zh-CN"/>
        </w:rPr>
        <w:t>“</w:t>
      </w:r>
      <w:r>
        <w:t>坚持应用导向、治理为基</w:t>
      </w:r>
      <w:r>
        <w:rPr>
          <w:rFonts w:hint="eastAsia"/>
          <w:lang w:eastAsia="zh-CN"/>
        </w:rPr>
        <w:t>”“</w:t>
      </w:r>
      <w:r>
        <w:t>建立跨部门协调机制</w:t>
      </w:r>
      <w:r>
        <w:rPr>
          <w:rFonts w:hint="eastAsia"/>
          <w:lang w:eastAsia="zh-CN"/>
        </w:rPr>
        <w:t>”</w:t>
      </w:r>
      <w:r>
        <w:t>，强调教育部门与网信、公安、科技、工信、数据管理等部门之间的协同，并要求各地把教育数字化作为</w:t>
      </w:r>
      <w:r>
        <w:rPr>
          <w:rFonts w:hint="eastAsia"/>
          <w:lang w:eastAsia="zh-CN"/>
        </w:rPr>
        <w:t>“</w:t>
      </w:r>
      <w:r>
        <w:t>一把手工程</w:t>
      </w:r>
      <w:r>
        <w:rPr>
          <w:rFonts w:hint="eastAsia"/>
          <w:lang w:eastAsia="zh-CN"/>
        </w:rPr>
        <w:t>”</w:t>
      </w:r>
      <w:r>
        <w:t>。这在一定程度上说明现阶段治理机制存在统筹不够、职责边界不够清晰的问题。</w:t>
      </w:r>
    </w:p>
    <w:p w14:paraId="7EA0B253">
      <w:pPr>
        <w:bidi w:val="0"/>
      </w:pPr>
      <w:r>
        <w:t>在学校层面，针对人工智能应用的校内治理制度尚不健全。许多学校在教育信息化方面已有相对成熟的制度，但对于大模型进课堂、学生使用生成式人工智能工具、平台数据使用边界等新问题，缺乏明确的校级规范与操作指引，责任划分与风险防控机制有待细化。</w:t>
      </w:r>
    </w:p>
    <w:p w14:paraId="259DE2A7">
      <w:pPr>
        <w:bidi w:val="0"/>
        <w:rPr>
          <w:rFonts w:hint="default"/>
          <w:lang w:val="en-US" w:eastAsia="zh-CN"/>
        </w:rPr>
      </w:pPr>
      <w:r>
        <w:rPr>
          <w:rFonts w:hint="default"/>
          <w:lang w:val="en-US" w:eastAsia="zh-CN"/>
        </w:rPr>
        <w:t>在社会层面，媒体与市场存在对人工智能的技术崇拜与</w:t>
      </w:r>
      <w:r>
        <w:rPr>
          <w:rFonts w:hint="eastAsia"/>
          <w:lang w:val="en-US" w:eastAsia="zh-CN"/>
        </w:rPr>
        <w:t>“</w:t>
      </w:r>
      <w:r>
        <w:rPr>
          <w:rFonts w:hint="default"/>
          <w:lang w:val="en-US" w:eastAsia="zh-CN"/>
        </w:rPr>
        <w:t>万能AI</w:t>
      </w:r>
      <w:r>
        <w:rPr>
          <w:rFonts w:hint="eastAsia"/>
          <w:lang w:val="en-US" w:eastAsia="zh-CN"/>
        </w:rPr>
        <w:t>”</w:t>
      </w:r>
      <w:r>
        <w:rPr>
          <w:rFonts w:hint="default"/>
          <w:lang w:val="en-US" w:eastAsia="zh-CN"/>
        </w:rPr>
        <w:t>叙事，容易诱发学校与家长的跟风式应用，忽视教育规律与数据安全边界。《中小学人工智能教育通知》</w:t>
      </w:r>
      <w:r>
        <w:rPr>
          <w:rFonts w:hint="eastAsia"/>
          <w:lang w:val="en-US" w:eastAsia="zh-CN"/>
        </w:rPr>
        <w:t>提出“</w:t>
      </w:r>
      <w:r>
        <w:rPr>
          <w:rFonts w:hint="default"/>
          <w:lang w:val="en-US" w:eastAsia="zh-CN"/>
        </w:rPr>
        <w:t>引导学生科学合理使用生成式AI</w:t>
      </w:r>
      <w:r>
        <w:rPr>
          <w:rFonts w:hint="eastAsia"/>
          <w:lang w:val="en-US" w:eastAsia="zh-CN"/>
        </w:rPr>
        <w:t>”，需</w:t>
      </w:r>
      <w:r>
        <w:rPr>
          <w:rFonts w:hint="default"/>
          <w:lang w:val="en-US" w:eastAsia="zh-CN"/>
        </w:rPr>
        <w:t>压实平台与学校的主体责任，避免技术崇拜驱动的非理性扩张。同时，监管条块分割导致执法不一致，平台合规检查流于形式，</w:t>
      </w:r>
      <w:r>
        <w:rPr>
          <w:rFonts w:hint="eastAsia"/>
          <w:lang w:val="en-US" w:eastAsia="zh-CN"/>
        </w:rPr>
        <w:t>也容易</w:t>
      </w:r>
      <w:r>
        <w:rPr>
          <w:rFonts w:hint="default"/>
          <w:lang w:val="en-US" w:eastAsia="zh-CN"/>
        </w:rPr>
        <w:t>形成</w:t>
      </w:r>
      <w:r>
        <w:rPr>
          <w:rFonts w:hint="eastAsia"/>
          <w:lang w:val="en-US" w:eastAsia="zh-CN"/>
        </w:rPr>
        <w:t>“</w:t>
      </w:r>
      <w:r>
        <w:rPr>
          <w:rFonts w:hint="default"/>
          <w:lang w:val="en-US" w:eastAsia="zh-CN"/>
        </w:rPr>
        <w:t>监管散漫</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责任漂移</w:t>
      </w:r>
      <w:r>
        <w:rPr>
          <w:rFonts w:hint="eastAsia"/>
          <w:lang w:val="en-US" w:eastAsia="zh-CN"/>
        </w:rPr>
        <w:t>”</w:t>
      </w:r>
      <w:r>
        <w:rPr>
          <w:rFonts w:hint="default"/>
          <w:lang w:val="en-US" w:eastAsia="zh-CN"/>
        </w:rPr>
        <w:t>的现实风险。</w:t>
      </w:r>
    </w:p>
    <w:p w14:paraId="30D338F1">
      <w:pPr>
        <w:bidi w:val="0"/>
        <w:rPr>
          <w:rFonts w:hint="default" w:eastAsiaTheme="minorEastAsia"/>
          <w:lang w:val="en-US" w:eastAsia="zh-CN"/>
        </w:rPr>
      </w:pPr>
      <w:r>
        <w:rPr>
          <w:rFonts w:hint="eastAsia"/>
          <w:lang w:val="en-US" w:eastAsia="zh-CN"/>
        </w:rPr>
        <w:t>.....</w:t>
      </w:r>
    </w:p>
    <w:p w14:paraId="08DE90E8">
      <w:pPr>
        <w:rPr>
          <w:rFonts w:hint="default"/>
          <w:lang w:val="en-US" w:eastAsia="zh-CN"/>
        </w:rPr>
      </w:pPr>
      <w:r>
        <w:rPr>
          <w:rFonts w:hint="default"/>
          <w:lang w:val="en-US" w:eastAsia="zh-CN"/>
        </w:rPr>
        <w:br w:type="page"/>
      </w:r>
      <w:r>
        <w:rPr>
          <w:rFonts w:eastAsia="仿宋"/>
          <w:sz w:val="32"/>
        </w:rPr>
        <mc:AlternateContent>
          <mc:Choice Requires="wps">
            <w:drawing>
              <wp:anchor distT="0" distB="0" distL="114300" distR="114300" simplePos="0" relativeHeight="251663360" behindDoc="0" locked="0" layoutInCell="1" allowOverlap="1">
                <wp:simplePos x="0" y="0"/>
                <wp:positionH relativeFrom="column">
                  <wp:posOffset>903605</wp:posOffset>
                </wp:positionH>
                <wp:positionV relativeFrom="paragraph">
                  <wp:posOffset>4330700</wp:posOffset>
                </wp:positionV>
                <wp:extent cx="5753100" cy="0"/>
                <wp:effectExtent l="0" t="4445" r="0" b="5080"/>
                <wp:wrapNone/>
                <wp:docPr id="27" name="直接连接符 27"/>
                <wp:cNvGraphicFramePr/>
                <a:graphic xmlns:a="http://schemas.openxmlformats.org/drawingml/2006/main">
                  <a:graphicData uri="http://schemas.microsoft.com/office/word/2010/wordprocessingShape">
                    <wps:wsp>
                      <wps:cNvCnPr/>
                      <wps:spPr>
                        <a:xfrm>
                          <a:off x="882015" y="2453640"/>
                          <a:ext cx="5753100" cy="0"/>
                        </a:xfrm>
                        <a:prstGeom prst="line">
                          <a:avLst/>
                        </a:prstGeom>
                        <a:noFill/>
                        <a:ln w="9525" cap="flat" cmpd="sng" algn="ctr">
                          <a:solidFill>
                            <a:srgbClr val="C00000"/>
                          </a:solidFill>
                          <a:prstDash val="solid"/>
                        </a:ln>
                        <a:effectLst/>
                      </wps:spPr>
                      <wps:bodyPr/>
                    </wps:wsp>
                  </a:graphicData>
                </a:graphic>
              </wp:anchor>
            </w:drawing>
          </mc:Choice>
          <mc:Fallback>
            <w:pict>
              <v:line id="_x0000_s1026" o:spid="_x0000_s1026" o:spt="20" style="position:absolute;left:0pt;margin-left:71.15pt;margin-top:341pt;height:0pt;width:453pt;z-index:251663360;mso-width-relative:page;mso-height-relative:page;" filled="f" stroked="t" coordsize="21600,21600" o:gfxdata="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pJ9HLYAAAADAEAAA8AAAAAAAAAAQAgAAAAIgAAAGRycy9kb3ducmV2LnhtbFBLAQIUABQAAAAI&#10;AIdO4kBuhfzZ7QEAALUDAAAOAAAAAAAAAAEAIAAAACcBAABkcnMvZTJvRG9jLnhtbFBLBQYAAAAA&#10;BgAGAFkBAACGBQAAAAA=&#10;">
                <v:fill on="f" focussize="0,0"/>
                <v:stroke color="#C00000" joinstyle="round"/>
                <v:imagedata o:title=""/>
                <o:lock v:ext="edit" aspectratio="f"/>
              </v:line>
            </w:pict>
          </mc:Fallback>
        </mc:AlternateContent>
      </w:r>
    </w:p>
    <w:p w14:paraId="1C1E2FD4">
      <w:pPr>
        <w:pStyle w:val="2"/>
        <w:numPr>
          <w:numId w:val="0"/>
        </w:numPr>
        <w:bidi w:val="0"/>
        <w:ind w:firstLine="0" w:firstLineChars="0"/>
        <w:rPr>
          <w:rFonts w:hint="eastAsia"/>
          <w:lang w:val="en-US" w:eastAsia="zh-CN"/>
        </w:rPr>
      </w:pPr>
      <w:bookmarkStart w:id="24" w:name="_Toc23668"/>
      <w:r>
        <w:rPr>
          <w:rFonts w:hint="eastAsia"/>
          <w:lang w:val="en-US" w:eastAsia="zh-CN"/>
        </w:rPr>
        <w:t>二、</w:t>
      </w:r>
      <w:bookmarkStart w:id="25" w:name="_Toc547378828"/>
      <w:bookmarkStart w:id="26" w:name="_Toc576468068"/>
      <w:r>
        <w:rPr>
          <w:rFonts w:hint="eastAsia"/>
          <w:lang w:val="en-US" w:eastAsia="zh-CN"/>
        </w:rPr>
        <w:t>国内外的模式与特点</w:t>
      </w:r>
      <w:bookmarkEnd w:id="24"/>
      <w:bookmarkEnd w:id="25"/>
      <w:bookmarkEnd w:id="26"/>
    </w:p>
    <w:p w14:paraId="2398FD57">
      <w:pPr>
        <w:pStyle w:val="3"/>
        <w:bidi w:val="0"/>
        <w:rPr>
          <w:rFonts w:hint="eastAsia"/>
          <w:lang w:val="en-US" w:eastAsia="zh-CN"/>
        </w:rPr>
      </w:pPr>
      <w:bookmarkStart w:id="27" w:name="_Toc24963"/>
      <w:r>
        <w:rPr>
          <w:rFonts w:hint="eastAsia"/>
          <w:lang w:val="en-US" w:eastAsia="zh-CN"/>
        </w:rPr>
        <w:t>（一）</w:t>
      </w:r>
      <w:r>
        <w:rPr>
          <w:rFonts w:hint="eastAsia"/>
        </w:rPr>
        <w:t>政策创新</w:t>
      </w:r>
      <w:bookmarkEnd w:id="27"/>
    </w:p>
    <w:p w14:paraId="1B3DBBB1">
      <w:pPr>
        <w:pStyle w:val="4"/>
        <w:bidi w:val="0"/>
        <w:rPr>
          <w:rFonts w:hint="default"/>
          <w:lang w:val="en-US" w:eastAsia="zh-CN"/>
        </w:rPr>
      </w:pPr>
      <w:bookmarkStart w:id="28" w:name="_Toc668981172"/>
      <w:bookmarkStart w:id="29" w:name="_Toc12848"/>
      <w:r>
        <w:rPr>
          <w:rFonts w:hint="default"/>
          <w:lang w:val="en-US" w:eastAsia="zh-CN"/>
        </w:rPr>
        <w:t>美国</w:t>
      </w:r>
      <w:bookmarkEnd w:id="28"/>
      <w:bookmarkEnd w:id="29"/>
    </w:p>
    <w:p w14:paraId="00069782">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lang w:val="en-US" w:eastAsia="zh-CN"/>
        </w:rPr>
      </w:pPr>
      <w:r>
        <w:rPr>
          <w:rFonts w:hint="eastAsia"/>
          <w:lang w:val="en-US" w:eastAsia="zh-CN"/>
        </w:rPr>
        <w:t>梳理美国从联邦政府至各地州的在教育领域应用人工智能所出台的相关政策，例如：总统令《推动美国青少年AI教育发展》；</w:t>
      </w:r>
      <w:r>
        <w:rPr>
          <w:rFonts w:hint="default"/>
          <w:lang w:val="en-US" w:eastAsia="zh-CN"/>
        </w:rPr>
        <w:t>美国参议院</w:t>
      </w:r>
      <w:r>
        <w:rPr>
          <w:rFonts w:hint="eastAsia"/>
          <w:lang w:val="en-US" w:eastAsia="zh-CN"/>
        </w:rPr>
        <w:t>提案</w:t>
      </w:r>
      <w:r>
        <w:rPr>
          <w:rFonts w:hint="default"/>
          <w:lang w:val="en-US" w:eastAsia="zh-CN"/>
        </w:rPr>
        <w:t>《2024年NSF人工智能教育法案》</w:t>
      </w:r>
      <w:r>
        <w:rPr>
          <w:rFonts w:hint="eastAsia"/>
          <w:lang w:val="en-US" w:eastAsia="zh-CN"/>
        </w:rPr>
        <w:t>；</w:t>
      </w:r>
      <w:r>
        <w:rPr>
          <w:rFonts w:hint="default"/>
          <w:lang w:val="en-US" w:eastAsia="zh-CN"/>
        </w:rPr>
        <w:t>俄亥俄州</w:t>
      </w:r>
      <w:r>
        <w:rPr>
          <w:rFonts w:hint="eastAsia"/>
          <w:lang w:val="en-US" w:eastAsia="zh-CN"/>
        </w:rPr>
        <w:t>，</w:t>
      </w:r>
      <w:r>
        <w:rPr>
          <w:rFonts w:hint="default"/>
          <w:lang w:val="en-US" w:eastAsia="zh-CN"/>
        </w:rPr>
        <w:t>北卡罗来纳州</w:t>
      </w:r>
      <w:r>
        <w:rPr>
          <w:rFonts w:hint="eastAsia"/>
          <w:lang w:val="en-US" w:eastAsia="zh-CN"/>
        </w:rPr>
        <w:t>等州预算法案中</w:t>
      </w:r>
      <w:r>
        <w:rPr>
          <w:rFonts w:hint="default"/>
          <w:lang w:val="en-US" w:eastAsia="zh-CN"/>
        </w:rPr>
        <w:t>人工智能</w:t>
      </w:r>
      <w:r>
        <w:rPr>
          <w:rFonts w:hint="eastAsia"/>
          <w:lang w:val="en-US" w:eastAsia="zh-CN"/>
        </w:rPr>
        <w:t>在教育领域的使用</w:t>
      </w:r>
      <w:r>
        <w:rPr>
          <w:rFonts w:hint="default"/>
          <w:lang w:val="en-US" w:eastAsia="zh-CN"/>
        </w:rPr>
        <w:t>政策</w:t>
      </w:r>
      <w:r>
        <w:rPr>
          <w:rFonts w:hint="eastAsia"/>
          <w:lang w:val="en-US" w:eastAsia="zh-CN"/>
        </w:rPr>
        <w:t>。提炼总结出其中的创新要点，分析其发展方向重点。</w:t>
      </w:r>
    </w:p>
    <w:p w14:paraId="133B88D8">
      <w:pPr>
        <w:pStyle w:val="4"/>
        <w:bidi w:val="0"/>
        <w:rPr>
          <w:rFonts w:hint="eastAsia"/>
          <w:lang w:val="en-US" w:eastAsia="zh-CN"/>
        </w:rPr>
      </w:pPr>
      <w:bookmarkStart w:id="30" w:name="_Toc22924"/>
      <w:r>
        <w:rPr>
          <w:rFonts w:hint="eastAsia"/>
          <w:lang w:val="en-US" w:eastAsia="zh-CN"/>
        </w:rPr>
        <w:t>日本</w:t>
      </w:r>
      <w:bookmarkEnd w:id="30"/>
    </w:p>
    <w:p w14:paraId="232B5708">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Times New Roman" w:hAnsi="Times New Roman" w:eastAsia="方正楷体_GBK" w:cs="Times New Roman"/>
          <w:b w:val="0"/>
          <w:bCs w:val="0"/>
          <w:lang w:val="en-US" w:eastAsia="zh-CN"/>
        </w:rPr>
      </w:pPr>
      <w:r>
        <w:rPr>
          <w:rFonts w:hint="eastAsia"/>
          <w:lang w:val="en-US" w:eastAsia="zh-CN"/>
        </w:rPr>
        <w:t>分析日本从政府教育部门至各大高等院校出台的相关政策，例如，日本文部科学省发布的《应对大学与高等专门学校生成式人工智能使用的方针》《初等及高等教育阶段学生和教师人工智能使用指南》《数学、数据科学与人工智能教育认证制度》；大阪大学发布的“生成式人工智能使用指南”等。分析其对人工智能在教育领域应用的指引方向，如规范指引，教学理念，教学模式，评估体系等。</w:t>
      </w:r>
    </w:p>
    <w:p w14:paraId="7E43AF34">
      <w:pPr>
        <w:pStyle w:val="3"/>
        <w:numPr>
          <w:ilvl w:val="0"/>
          <w:numId w:val="4"/>
        </w:numPr>
        <w:bidi w:val="0"/>
        <w:rPr>
          <w:rFonts w:hint="eastAsia"/>
        </w:rPr>
      </w:pPr>
      <w:bookmarkStart w:id="31" w:name="_Toc11389"/>
      <w:r>
        <w:rPr>
          <w:rFonts w:hint="eastAsia"/>
        </w:rPr>
        <w:t>治理路径</w:t>
      </w:r>
      <w:bookmarkEnd w:id="31"/>
    </w:p>
    <w:p w14:paraId="2D9AF2A1">
      <w:pPr>
        <w:pStyle w:val="4"/>
        <w:numPr>
          <w:numId w:val="0"/>
        </w:numPr>
        <w:bidi w:val="0"/>
        <w:rPr>
          <w:rFonts w:hint="eastAsia"/>
          <w:lang w:val="en-US" w:eastAsia="zh-CN"/>
        </w:rPr>
      </w:pPr>
      <w:bookmarkStart w:id="32" w:name="_Toc22796"/>
      <w:r>
        <w:rPr>
          <w:rFonts w:hint="eastAsia"/>
          <w:lang w:val="en-US" w:eastAsia="zh-CN"/>
        </w:rPr>
        <w:t>欧盟</w:t>
      </w:r>
      <w:bookmarkEnd w:id="32"/>
    </w:p>
    <w:p w14:paraId="5EAD2F90">
      <w:pPr>
        <w:rPr>
          <w:rFonts w:hint="default"/>
          <w:lang w:val="en-US" w:eastAsia="zh-CN"/>
        </w:rPr>
      </w:pPr>
      <w:r>
        <w:rPr>
          <w:rFonts w:hint="eastAsia"/>
          <w:lang w:val="en-US" w:eastAsia="zh-CN"/>
        </w:rPr>
        <w:t>主要基于</w:t>
      </w:r>
      <w:r>
        <w:rPr>
          <w:rFonts w:hint="default"/>
          <w:lang w:val="en-US" w:eastAsia="zh-CN"/>
        </w:rPr>
        <w:t>欧盟</w:t>
      </w:r>
      <w:r>
        <w:rPr>
          <w:rFonts w:hint="eastAsia"/>
          <w:lang w:val="en-US" w:eastAsia="zh-CN"/>
        </w:rPr>
        <w:t>的《</w:t>
      </w:r>
      <w:r>
        <w:rPr>
          <w:rFonts w:hint="default"/>
          <w:lang w:val="en-US" w:eastAsia="zh-CN"/>
        </w:rPr>
        <w:t>人工智能法案</w:t>
      </w:r>
      <w:r>
        <w:rPr>
          <w:rFonts w:hint="eastAsia"/>
          <w:lang w:val="en-US" w:eastAsia="zh-CN"/>
        </w:rPr>
        <w:t>》，分析在该法案下欧盟教育领域的AI应用监管与治理路径，如具体的分级措施，明确禁止的AI应用内容，对教育机构和AI技术供应商商的风控要求等。</w:t>
      </w:r>
    </w:p>
    <w:p w14:paraId="2A2C2ADB">
      <w:pPr>
        <w:pStyle w:val="4"/>
        <w:numPr>
          <w:numId w:val="0"/>
        </w:numPr>
        <w:bidi w:val="0"/>
        <w:rPr>
          <w:rFonts w:hint="default"/>
          <w:lang w:val="en-US" w:eastAsia="zh-CN"/>
        </w:rPr>
      </w:pPr>
      <w:bookmarkStart w:id="33" w:name="_Toc8686"/>
      <w:r>
        <w:rPr>
          <w:rFonts w:hint="default"/>
          <w:lang w:val="en-US" w:eastAsia="zh-CN"/>
        </w:rPr>
        <w:t>新加坡</w:t>
      </w:r>
      <w:bookmarkEnd w:id="33"/>
    </w:p>
    <w:p w14:paraId="3448BF20">
      <w:pPr>
        <w:rPr>
          <w:rFonts w:hint="default"/>
          <w:lang w:val="en-US" w:eastAsia="zh-CN"/>
        </w:rPr>
      </w:pPr>
      <w:r>
        <w:rPr>
          <w:rFonts w:hint="eastAsia"/>
          <w:lang w:val="en-US" w:eastAsia="zh-CN"/>
        </w:rPr>
        <w:t>分析新加坡从政府官方至大学层面在在教育领域的出台的相关治理框架，例如新加坡政府出台的《生成式人工智能治理模型框架》《教育人工智能伦理框架》，新加坡国立大学《人工智能教学与学习应用政策》，南洋理工大学《关于在教学中使用生成式人工智能的正式声明》等，分析其框架下的着重治理方向，具体举措，协同机制等。</w:t>
      </w:r>
    </w:p>
    <w:p w14:paraId="6CCF6C58">
      <w:pPr>
        <w:pStyle w:val="3"/>
        <w:numPr>
          <w:ilvl w:val="0"/>
          <w:numId w:val="4"/>
        </w:numPr>
        <w:bidi w:val="0"/>
        <w:rPr>
          <w:rFonts w:hint="eastAsia"/>
          <w:lang w:val="en-US" w:eastAsia="zh-CN"/>
        </w:rPr>
      </w:pPr>
      <w:bookmarkStart w:id="34" w:name="_Toc24456"/>
      <w:r>
        <w:rPr>
          <w:rFonts w:hint="eastAsia"/>
          <w:lang w:val="en-US" w:eastAsia="zh-CN"/>
        </w:rPr>
        <w:t>创新实践</w:t>
      </w:r>
      <w:bookmarkEnd w:id="34"/>
    </w:p>
    <w:p w14:paraId="27A0197E">
      <w:pPr>
        <w:pStyle w:val="4"/>
        <w:numPr>
          <w:numId w:val="0"/>
        </w:numPr>
        <w:bidi w:val="0"/>
        <w:rPr>
          <w:rFonts w:hint="default"/>
          <w:lang w:val="en-US" w:eastAsia="zh-CN"/>
        </w:rPr>
      </w:pPr>
      <w:bookmarkStart w:id="35" w:name="_Toc4651"/>
      <w:r>
        <w:rPr>
          <w:rFonts w:hint="eastAsia"/>
          <w:lang w:val="en-US" w:eastAsia="zh-CN"/>
        </w:rPr>
        <w:t>中国</w:t>
      </w:r>
      <w:bookmarkEnd w:id="35"/>
    </w:p>
    <w:p w14:paraId="0BAC170A">
      <w:pPr>
        <w:rPr>
          <w:rFonts w:hint="default"/>
          <w:lang w:val="en-US" w:eastAsia="zh-CN"/>
        </w:rPr>
      </w:pPr>
      <w:r>
        <w:rPr>
          <w:rFonts w:hint="eastAsia"/>
          <w:lang w:val="en-US" w:eastAsia="zh-CN"/>
        </w:rPr>
        <w:t>分析当前中国在教育领域中人工智能的创新实践，主要通过在校企联合开发应用上的具体的实践案例，例如各大企业发布的人工智能教育产品，高校使用的AI教育平台，大模型应用，技术整合方案等，在校企联合，产学研融合等方面的创新点与具体实践。</w:t>
      </w:r>
    </w:p>
    <w:p w14:paraId="135D942E">
      <w:pPr>
        <w:pStyle w:val="4"/>
        <w:numPr>
          <w:numId w:val="0"/>
        </w:numPr>
        <w:bidi w:val="0"/>
        <w:rPr>
          <w:rFonts w:hint="eastAsia"/>
          <w:lang w:val="en-US" w:eastAsia="zh-CN"/>
        </w:rPr>
      </w:pPr>
      <w:bookmarkStart w:id="36" w:name="_Toc23389"/>
      <w:r>
        <w:rPr>
          <w:rFonts w:hint="eastAsia"/>
          <w:lang w:val="en-US" w:eastAsia="zh-CN"/>
        </w:rPr>
        <w:t>英国</w:t>
      </w:r>
      <w:bookmarkEnd w:id="36"/>
    </w:p>
    <w:p w14:paraId="1BD318FD">
      <w:pPr>
        <w:rPr>
          <w:rFonts w:hint="default"/>
          <w:lang w:val="en-US" w:eastAsia="zh-CN"/>
        </w:rPr>
      </w:pPr>
      <w:r>
        <w:rPr>
          <w:rFonts w:hint="eastAsia"/>
          <w:lang w:val="en-US" w:eastAsia="zh-CN"/>
        </w:rPr>
        <w:t>分析英国目前在将人工智能技术深度融入教育体系方面的变革与核心举措，例如英国教育部投入百万英镑创新基金；推出覆盖全年龄段的数字技能培训计划；推出教育内容商店等方面的创新实践计划，探索在教育领域运用新兴AI技术，技术赋能教师，优化教学体验，为教师减负，同时使得学生在人工智能时代能够运用和受益于人工智能技术。</w:t>
      </w:r>
    </w:p>
    <w:p w14:paraId="51240A0F">
      <w:pPr>
        <w:pStyle w:val="3"/>
        <w:numPr>
          <w:ilvl w:val="0"/>
          <w:numId w:val="4"/>
        </w:numPr>
        <w:bidi w:val="0"/>
        <w:rPr>
          <w:rFonts w:hint="eastAsia"/>
          <w:lang w:val="en-US" w:eastAsia="zh-CN"/>
        </w:rPr>
      </w:pPr>
      <w:bookmarkStart w:id="37" w:name="_Toc12840"/>
      <w:r>
        <w:rPr>
          <w:rFonts w:hint="eastAsia"/>
          <w:lang w:val="en-US" w:eastAsia="zh-CN"/>
        </w:rPr>
        <w:t>伦理风险</w:t>
      </w:r>
      <w:bookmarkEnd w:id="37"/>
    </w:p>
    <w:p w14:paraId="2E452EB5">
      <w:pPr>
        <w:rPr>
          <w:rFonts w:hint="default"/>
          <w:lang w:val="en-US" w:eastAsia="zh-CN"/>
        </w:rPr>
      </w:pPr>
      <w:r>
        <w:rPr>
          <w:rFonts w:hint="eastAsia"/>
          <w:lang w:val="en-US" w:eastAsia="zh-CN"/>
        </w:rPr>
        <w:t>在人工智能教育领域面临的伦理风险，如数据隐私，算法偏见，学术诚信等方面进行分析，以各国的具体案例佐以验证，如多国高校发生的生成式 AI 作弊趋势，学生过度依赖AI大模型进行论文代写；各类智能产品过度收集使用者信息；人工智能对传统教育模式的冲击等现象与案例，分析各类伦理风险的共同特征，协助给出后续的相关治理启示。</w:t>
      </w:r>
    </w:p>
    <w:p w14:paraId="77C559C1">
      <w:pPr>
        <w:rPr>
          <w:rFonts w:hint="eastAsia"/>
        </w:rPr>
      </w:pPr>
      <w:r>
        <w:rPr>
          <w:rFonts w:hint="eastAsia"/>
        </w:rPr>
        <w:br w:type="page"/>
      </w:r>
    </w:p>
    <w:p w14:paraId="7FF3C92A">
      <w:pPr>
        <w:rPr>
          <w:rFonts w:hint="eastAsia"/>
        </w:rPr>
      </w:pPr>
    </w:p>
    <w:p w14:paraId="11328935">
      <w:pPr>
        <w:pStyle w:val="2"/>
        <w:numPr>
          <w:numId w:val="0"/>
        </w:numPr>
        <w:bidi w:val="0"/>
        <w:ind w:firstLine="0" w:firstLineChars="0"/>
        <w:rPr>
          <w:rFonts w:hint="eastAsia"/>
        </w:rPr>
      </w:pPr>
      <w:bookmarkStart w:id="38" w:name="_Toc21904"/>
      <w:r>
        <w:rPr>
          <w:rFonts w:hint="eastAsia"/>
        </w:rPr>
        <w:t>三、人工智能在教育领域应用的发展趋势</w:t>
      </w:r>
      <w:bookmarkEnd w:id="38"/>
    </w:p>
    <w:p w14:paraId="161316CB">
      <w:pPr>
        <w:pStyle w:val="3"/>
        <w:bidi w:val="0"/>
        <w:rPr>
          <w:rFonts w:hint="eastAsia" w:eastAsia="方正楷体GBK"/>
          <w:lang w:eastAsia="zh-CN"/>
        </w:rPr>
      </w:pPr>
      <w:bookmarkStart w:id="39" w:name="_Toc30514"/>
      <w:r>
        <w:rPr>
          <w:rFonts w:hint="eastAsia"/>
          <w:lang w:eastAsia="zh-CN"/>
        </w:rPr>
        <w:t>（</w:t>
      </w:r>
      <w:r>
        <w:rPr>
          <w:rFonts w:hint="eastAsia"/>
          <w:lang w:val="en-US" w:eastAsia="zh-CN"/>
        </w:rPr>
        <w:t>一</w:t>
      </w:r>
      <w:r>
        <w:rPr>
          <w:rFonts w:hint="eastAsia"/>
          <w:lang w:eastAsia="zh-CN"/>
        </w:rPr>
        <w:t>）</w:t>
      </w:r>
      <w:r>
        <w:t>个性化学习：从</w:t>
      </w:r>
      <w:r>
        <w:rPr>
          <w:rFonts w:hint="eastAsia"/>
          <w:lang w:eastAsia="zh-CN"/>
        </w:rPr>
        <w:t>“</w:t>
      </w:r>
      <w:r>
        <w:t>标准化</w:t>
      </w:r>
      <w:r>
        <w:rPr>
          <w:rFonts w:hint="eastAsia"/>
          <w:lang w:eastAsia="zh-CN"/>
        </w:rPr>
        <w:t>”</w:t>
      </w:r>
      <w:r>
        <w:t>走向</w:t>
      </w:r>
      <w:r>
        <w:rPr>
          <w:rFonts w:hint="eastAsia"/>
          <w:lang w:eastAsia="zh-CN"/>
        </w:rPr>
        <w:t>“</w:t>
      </w:r>
      <w:r>
        <w:t>精准化</w:t>
      </w:r>
      <w:r>
        <w:rPr>
          <w:rFonts w:hint="eastAsia"/>
          <w:lang w:eastAsia="zh-CN"/>
        </w:rPr>
        <w:t>”</w:t>
      </w:r>
      <w:bookmarkEnd w:id="39"/>
    </w:p>
    <w:p w14:paraId="60CEDC2B">
      <w:pPr>
        <w:pStyle w:val="4"/>
        <w:bidi w:val="0"/>
        <w:rPr>
          <w:rFonts w:hint="eastAsia"/>
        </w:rPr>
      </w:pPr>
      <w:bookmarkStart w:id="40" w:name="_Toc9514"/>
      <w:r>
        <w:rPr>
          <w:rFonts w:hint="eastAsia"/>
          <w:lang w:eastAsia="zh-CN"/>
        </w:rPr>
        <w:t>案</w:t>
      </w:r>
      <w:r>
        <w:rPr>
          <w:rFonts w:hint="eastAsia"/>
        </w:rPr>
        <w:t>例分析</w:t>
      </w:r>
      <w:bookmarkEnd w:id="40"/>
    </w:p>
    <w:p w14:paraId="00BC68B4">
      <w:pPr>
        <w:pStyle w:val="5"/>
        <w:bidi w:val="0"/>
        <w:rPr>
          <w:rFonts w:hint="eastAsia" w:ascii="黑体" w:hAnsi="黑体" w:eastAsia="黑体"/>
          <w:b/>
          <w:bCs/>
          <w:color w:val="auto"/>
          <w:sz w:val="32"/>
          <w:szCs w:val="32"/>
        </w:rPr>
      </w:pPr>
      <w:r>
        <w:rPr>
          <w:rStyle w:val="26"/>
          <w:rFonts w:hint="eastAsia"/>
        </w:rPr>
        <w:t>案例1：内蒙古包头青山区</w:t>
      </w:r>
      <w:r>
        <w:rPr>
          <w:rStyle w:val="26"/>
          <w:rFonts w:hint="eastAsia"/>
          <w:lang w:eastAsia="zh-CN"/>
        </w:rPr>
        <w:t>“</w:t>
      </w:r>
      <w:r>
        <w:rPr>
          <w:rStyle w:val="26"/>
          <w:rFonts w:hint="eastAsia"/>
        </w:rPr>
        <w:t>三阶六环</w:t>
      </w:r>
      <w:r>
        <w:rPr>
          <w:rStyle w:val="26"/>
          <w:rFonts w:hint="eastAsia"/>
          <w:lang w:eastAsia="zh-CN"/>
        </w:rPr>
        <w:t>”</w:t>
      </w:r>
      <w:r>
        <w:rPr>
          <w:rStyle w:val="26"/>
          <w:rFonts w:hint="eastAsia"/>
        </w:rPr>
        <w:t xml:space="preserve"> 靶向教学模式</w:t>
      </w:r>
      <w:r>
        <w:rPr>
          <w:rFonts w:hint="eastAsia" w:ascii="黑体" w:hAnsi="黑体" w:eastAsia="黑体"/>
          <w:b/>
          <w:bCs/>
          <w:color w:val="auto"/>
          <w:sz w:val="32"/>
          <w:szCs w:val="32"/>
          <w:vertAlign w:val="superscript"/>
        </w:rPr>
        <w:footnoteReference w:id="0"/>
      </w:r>
    </w:p>
    <w:p w14:paraId="3E532214">
      <w:pPr>
        <w:bidi w:val="0"/>
        <w:rPr>
          <w:rFonts w:hint="eastAsia"/>
        </w:rPr>
      </w:pPr>
      <w:r>
        <w:t xml:space="preserve">针对传统教学中资源分配不精准，难以满足师生个性化需求差异的问题，青山区教育局以国家级智慧教育示范区建设为目标，打造精准教学与个性化学习系统、AI 英语听说课堂、AI 智慧体育等项目，实践 </w:t>
      </w:r>
      <w:r>
        <w:rPr>
          <w:rFonts w:hint="eastAsia"/>
          <w:lang w:eastAsia="zh-CN"/>
        </w:rPr>
        <w:t>“</w:t>
      </w:r>
      <w:r>
        <w:t>数据驱动、因材施教</w:t>
      </w:r>
      <w:r>
        <w:rPr>
          <w:rFonts w:hint="eastAsia"/>
          <w:lang w:eastAsia="zh-CN"/>
        </w:rPr>
        <w:t>”</w:t>
      </w:r>
      <w:r>
        <w:t xml:space="preserve"> 的区域教育新生态。其中，精准教学与个性化学习系统通过全场景学业数据采集、AI 深度学情诊断，实现教师备课、讲评、教研的精准化。依托动态生成的个性化学习手册，为师生提供靶向巩固与拓展路径，显著减少无效教学行为，形成 </w:t>
      </w:r>
      <w:r>
        <w:rPr>
          <w:rFonts w:hint="eastAsia"/>
          <w:lang w:eastAsia="zh-CN"/>
        </w:rPr>
        <w:t>“</w:t>
      </w:r>
      <w:r>
        <w:t>采集－分析－教学－学习－优化</w:t>
      </w:r>
      <w:r>
        <w:rPr>
          <w:rFonts w:hint="eastAsia"/>
          <w:lang w:eastAsia="zh-CN"/>
        </w:rPr>
        <w:t>”</w:t>
      </w:r>
      <w:r>
        <w:t xml:space="preserve"> 的完整教育闭环。</w:t>
      </w:r>
    </w:p>
    <w:p w14:paraId="4D985893">
      <w:pPr>
        <w:bidi w:val="0"/>
        <w:rPr>
          <w:rFonts w:hint="eastAsia"/>
        </w:rPr>
      </w:pPr>
      <w:r>
        <w:rPr>
          <w:rFonts w:hint="eastAsia"/>
        </w:rPr>
        <w:t>(1)</w:t>
      </w:r>
      <w:r>
        <w:rPr>
          <w:rFonts w:hint="eastAsia"/>
          <w:lang w:eastAsia="zh-CN"/>
        </w:rPr>
        <w:t>“</w:t>
      </w:r>
      <w:r>
        <w:t>三阶六环</w:t>
      </w:r>
      <w:r>
        <w:rPr>
          <w:rFonts w:hint="eastAsia"/>
          <w:lang w:eastAsia="zh-CN"/>
        </w:rPr>
        <w:t>”</w:t>
      </w:r>
      <w:r>
        <w:t xml:space="preserve"> 靶向教学模式：</w:t>
      </w:r>
    </w:p>
    <w:p w14:paraId="63E9068D">
      <w:pPr>
        <w:bidi w:val="0"/>
        <w:rPr>
          <w:rFonts w:hint="eastAsia"/>
        </w:rPr>
      </w:pPr>
      <w:r>
        <w:t>数据采集阶，AI 重构教学起点。第一环：智能靶向命题。教师每周运用精准教学系统进行 AI 组卷，试卷匹配教学进度及学情薄弱点。运用 AI 生成情境及原创命题，规避低效训练，确保题目科学性与靶向性。第二环：智能批改扫描。教师通过答题卡扫描 + AI 智能批改，实现客观题秒判，作文语法、拼写即时纠错，AI 自动生成成绩分析报告与错题情势图，教师批改效率大幅提升。</w:t>
      </w:r>
    </w:p>
    <w:p w14:paraId="47DDB436">
      <w:pPr>
        <w:bidi w:val="0"/>
        <w:rPr>
          <w:rFonts w:hint="eastAsia"/>
        </w:rPr>
      </w:pPr>
      <w:r>
        <w:t xml:space="preserve">精准干预阶，数据驱动课堂变革。第三环：学情可视化诊断。教师课堂 5 分钟展示高频错题分布图，快速锁定全班薄弱知识点。第四环：分层靶向讲评。A 层聚焦续写逻辑、高级表达，B/C 层专项突破 AI 标记的基础错误。课堂效率有显著提升，破解 </w:t>
      </w:r>
      <w:r>
        <w:rPr>
          <w:rFonts w:hint="eastAsia"/>
          <w:lang w:eastAsia="zh-CN"/>
        </w:rPr>
        <w:t>“</w:t>
      </w:r>
      <w:r>
        <w:t>大班额分层</w:t>
      </w:r>
      <w:r>
        <w:rPr>
          <w:rFonts w:hint="eastAsia"/>
          <w:lang w:eastAsia="zh-CN"/>
        </w:rPr>
        <w:t>”</w:t>
      </w:r>
      <w:r>
        <w:t xml:space="preserve"> 难题。</w:t>
      </w:r>
    </w:p>
    <w:p w14:paraId="7C469F6B">
      <w:pPr>
        <w:bidi w:val="0"/>
        <w:rPr>
          <w:rFonts w:hint="eastAsia"/>
        </w:rPr>
      </w:pPr>
      <w:r>
        <w:t xml:space="preserve">智能进化阶，教学系统动态升级。第五环：精准推送个册。如作文批改报告，匹配巩固题及 AI 生成的错题变式训练，实现 </w:t>
      </w:r>
      <w:r>
        <w:rPr>
          <w:rFonts w:hint="eastAsia"/>
          <w:lang w:eastAsia="zh-CN"/>
        </w:rPr>
        <w:t>“</w:t>
      </w:r>
      <w:r>
        <w:t>一生一策</w:t>
      </w:r>
      <w:r>
        <w:rPr>
          <w:rFonts w:hint="eastAsia"/>
          <w:lang w:eastAsia="zh-CN"/>
        </w:rPr>
        <w:t>”</w:t>
      </w:r>
      <w:r>
        <w:t xml:space="preserve"> 补偿学习。第六环：教学策略动态调优。教师依据周测数据趋势调整下周命题重点，按错误统计设计微专题，形成 </w:t>
      </w:r>
      <w:r>
        <w:rPr>
          <w:rFonts w:hint="eastAsia"/>
          <w:lang w:eastAsia="zh-CN"/>
        </w:rPr>
        <w:t>“</w:t>
      </w:r>
      <w:r>
        <w:t>教学－评估－优化</w:t>
      </w:r>
      <w:r>
        <w:rPr>
          <w:rFonts w:hint="eastAsia"/>
          <w:lang w:eastAsia="zh-CN"/>
        </w:rPr>
        <w:t>”</w:t>
      </w:r>
      <w:r>
        <w:t xml:space="preserve"> 闭环。</w:t>
      </w:r>
    </w:p>
    <w:p w14:paraId="7BBA409F">
      <w:pPr>
        <w:bidi w:val="0"/>
        <w:rPr>
          <w:rFonts w:hint="eastAsia"/>
        </w:rPr>
      </w:pPr>
      <w:r>
        <w:rPr>
          <w:rFonts w:hint="eastAsia"/>
        </w:rPr>
        <w:t>(2)</w:t>
      </w:r>
      <w:r>
        <w:t>实践成果与效益</w:t>
      </w:r>
    </w:p>
    <w:p w14:paraId="15FC272A">
      <w:pPr>
        <w:bidi w:val="0"/>
        <w:rPr>
          <w:rFonts w:hint="eastAsia"/>
        </w:rPr>
      </w:pPr>
      <w:r>
        <w:t>AI + 精准教学的规模化应用</w:t>
      </w:r>
    </w:p>
    <w:p w14:paraId="5CF1039A">
      <w:pPr>
        <w:bidi w:val="0"/>
        <w:rPr>
          <w:rFonts w:hint="eastAsia"/>
        </w:rPr>
      </w:pPr>
      <w:r>
        <w:t>青山区依托大数据精准教学系统，在三所高中、五大学科全面开展精准教学实践。本学年累计完成 1553 次智能组考，生成 940 份学情诊断报告，教师在线组卷 18356 次，校本试题库扩容 5181 道，实现 100% 教师常态化使用，显著提升资源供给效率，减轻教师命题负担 80% 以上。</w:t>
      </w:r>
    </w:p>
    <w:p w14:paraId="52C02098">
      <w:pPr>
        <w:bidi w:val="0"/>
        <w:rPr>
          <w:rFonts w:hint="eastAsia"/>
        </w:rPr>
      </w:pPr>
      <w:r>
        <w:t>依托个性化学习系统，面向试点班级 592 名学生累计推送 4.4 万份个性化学习手册，精准定位学生薄弱点，智能归集高频错题 27.1 万道，针对性推送变式题 51.9 万道。系统根据学生学情动态匹配习题，进行分层进阶训练，推送巩固题 15.8 万道、拓展题 8.2 万道，其中 98% 的习题源自近三年真题、名校期末题及区域特色题库，确保训练精准性与前沿性。</w:t>
      </w:r>
    </w:p>
    <w:p w14:paraId="5E45D49E">
      <w:pPr>
        <w:bidi w:val="0"/>
        <w:rPr>
          <w:rFonts w:hint="eastAsia"/>
        </w:rPr>
      </w:pPr>
      <w:r>
        <w:t>AI + 个性化学习成效显著</w:t>
      </w:r>
    </w:p>
    <w:p w14:paraId="0E658A4E">
      <w:pPr>
        <w:bidi w:val="0"/>
        <w:rPr>
          <w:rFonts w:hint="eastAsia"/>
        </w:rPr>
      </w:pPr>
      <w:r>
        <w:t xml:space="preserve">青山区通过 </w:t>
      </w:r>
      <w:r>
        <w:rPr>
          <w:rFonts w:hint="eastAsia"/>
          <w:lang w:eastAsia="zh-CN"/>
        </w:rPr>
        <w:t>“</w:t>
      </w:r>
      <w:r>
        <w:t>数据驱动诊断－分层精准推送－动态效果反馈</w:t>
      </w:r>
      <w:r>
        <w:rPr>
          <w:rFonts w:hint="eastAsia"/>
          <w:lang w:eastAsia="zh-CN"/>
        </w:rPr>
        <w:t>”</w:t>
      </w:r>
      <w:r>
        <w:t xml:space="preserve"> 的教学闭环，推进教学质量结构性提升。以包头市第九十三中学使用个性化学习手册群体为例，从知识点得分率和校次提升数两个维度进行分析。</w:t>
      </w:r>
    </w:p>
    <w:p w14:paraId="7383D2A4">
      <w:pPr>
        <w:bidi w:val="0"/>
        <w:rPr>
          <w:rFonts w:hint="eastAsia"/>
        </w:rPr>
      </w:pPr>
      <w:r>
        <w:t>知识点得分率。高一某班为使用个性化学习手册的班级，以第一次月考和期中考试为例，对比两次数学考试中知识点得分率，该班的知识点得分率提升幅度远大于全年级的知识点得分率，平均提升率高出 16.38%。对比两次物理考试中知识点得分率的平均值，该班的知识点得分率为正向提升，而全年级的知识点得分率有所下降，平均提升率高出 14.04%。</w:t>
      </w:r>
    </w:p>
    <w:p w14:paraId="1DB966D6">
      <w:pPr>
        <w:bidi w:val="0"/>
        <w:rPr>
          <w:rFonts w:hint="eastAsia"/>
        </w:rPr>
      </w:pPr>
      <w:r>
        <w:t>校次提升数。以 2025 年 2 月模拟考试和 2025 年 5 月考试为例，使用个性化学习手册的班级的各学科成绩在全校排名均有上升。某班级在 2025 年 5 月的考试中，各学科成绩和总成绩在全校排名前一百的人数较 2025 年 2 月的考试均有提升。其中，总成绩在年级排名前一百的人数从 2025 年 2 月的 23 人，到 2025 年 5 月提升至 39 人。</w:t>
      </w:r>
    </w:p>
    <w:p w14:paraId="450E9BB4">
      <w:pPr>
        <w:bidi w:val="0"/>
        <w:rPr>
          <w:rFonts w:hint="eastAsia"/>
        </w:rPr>
      </w:pPr>
      <w:r>
        <w:t>智慧教育应用水平全面提升</w:t>
      </w:r>
    </w:p>
    <w:p w14:paraId="2BFBCF66">
      <w:pPr>
        <w:bidi w:val="0"/>
        <w:rPr>
          <w:rFonts w:hint="eastAsia"/>
        </w:rPr>
      </w:pPr>
      <w:r>
        <w:t xml:space="preserve">包头市青山区被评为自治区 </w:t>
      </w:r>
      <w:r>
        <w:rPr>
          <w:rFonts w:hint="eastAsia"/>
          <w:lang w:eastAsia="zh-CN"/>
        </w:rPr>
        <w:t>“</w:t>
      </w:r>
      <w:r>
        <w:t>互联网 + 教育</w:t>
      </w:r>
      <w:r>
        <w:rPr>
          <w:rFonts w:hint="eastAsia"/>
          <w:lang w:eastAsia="zh-CN"/>
        </w:rPr>
        <w:t>”</w:t>
      </w:r>
      <w:r>
        <w:t xml:space="preserve">14 个示范区之一。同时，多次受到媒体报道。2025 年 3 月 4 日人民网报道 </w:t>
      </w:r>
      <w:r>
        <w:rPr>
          <w:rFonts w:hint="eastAsia"/>
          <w:lang w:eastAsia="zh-CN"/>
        </w:rPr>
        <w:t>“</w:t>
      </w:r>
      <w:r>
        <w:t>包头市青山区：大数据驱动教育教学驶入快车道</w:t>
      </w:r>
      <w:r>
        <w:rPr>
          <w:rFonts w:hint="eastAsia"/>
          <w:lang w:eastAsia="zh-CN"/>
        </w:rPr>
        <w:t>”</w:t>
      </w:r>
      <w:r>
        <w:t xml:space="preserve">；2025 年 3 月 5 日《人民日报》报道 </w:t>
      </w:r>
      <w:r>
        <w:rPr>
          <w:rFonts w:hint="eastAsia"/>
          <w:lang w:eastAsia="zh-CN"/>
        </w:rPr>
        <w:t>“</w:t>
      </w:r>
      <w:r>
        <w:t>大数据‘牵线搭桥’，内蒙古包头市青山区教育踏上‘精准’快车道</w:t>
      </w:r>
      <w:r>
        <w:rPr>
          <w:rFonts w:hint="eastAsia"/>
          <w:lang w:eastAsia="zh-CN"/>
        </w:rPr>
        <w:t>”</w:t>
      </w:r>
      <w:r>
        <w:t xml:space="preserve">；2025 年 3 月 13 日中国教育新闻网报道 </w:t>
      </w:r>
      <w:r>
        <w:rPr>
          <w:rFonts w:hint="eastAsia"/>
          <w:lang w:eastAsia="zh-CN"/>
        </w:rPr>
        <w:t>“</w:t>
      </w:r>
      <w:r>
        <w:t>内蒙古包头市青山区：以大数据为‘引擎’，驱动教育教学提质</w:t>
      </w:r>
      <w:r>
        <w:rPr>
          <w:rFonts w:hint="eastAsia"/>
          <w:lang w:eastAsia="zh-CN"/>
        </w:rPr>
        <w:t>”</w:t>
      </w:r>
      <w:r>
        <w:t>。</w:t>
      </w:r>
    </w:p>
    <w:p w14:paraId="59823A2D">
      <w:pPr>
        <w:bidi w:val="0"/>
        <w:rPr>
          <w:rFonts w:hint="eastAsia"/>
        </w:rPr>
      </w:pPr>
      <w:r>
        <w:t xml:space="preserve">应用系统以来，青山区教师在教育数字化能力上有了显著提升。在 </w:t>
      </w:r>
      <w:r>
        <w:rPr>
          <w:rFonts w:hint="eastAsia"/>
          <w:lang w:eastAsia="zh-CN"/>
        </w:rPr>
        <w:t>“</w:t>
      </w:r>
      <w:r>
        <w:t>2023-2024 学年全国中小学信息技术创新与实践大赛</w:t>
      </w:r>
      <w:r>
        <w:rPr>
          <w:rFonts w:hint="eastAsia"/>
          <w:lang w:eastAsia="zh-CN"/>
        </w:rPr>
        <w:t>”</w:t>
      </w:r>
      <w:r>
        <w:t xml:space="preserve"> 中，青山区获优秀组织奖、优秀指导教师 3 人、学生获奖 41 人；在 </w:t>
      </w:r>
      <w:r>
        <w:rPr>
          <w:rFonts w:hint="eastAsia"/>
          <w:lang w:eastAsia="zh-CN"/>
        </w:rPr>
        <w:t>“</w:t>
      </w:r>
      <w:r>
        <w:t>中小学教师信息素养提升实践活动</w:t>
      </w:r>
      <w:r>
        <w:rPr>
          <w:rFonts w:hint="eastAsia"/>
          <w:lang w:eastAsia="zh-CN"/>
        </w:rPr>
        <w:t>”</w:t>
      </w:r>
      <w:r>
        <w:t xml:space="preserve"> 中，青山区有 26 名教师获奖，4 个作品入选《2024 年全国教师信息素养提升实践活动教育技术论文专项获奖名单》。</w:t>
      </w:r>
    </w:p>
    <w:p w14:paraId="0D547F76">
      <w:pPr>
        <w:bidi w:val="0"/>
        <w:rPr>
          <w:rFonts w:hint="eastAsia"/>
        </w:rPr>
      </w:pPr>
      <w:r>
        <w:t xml:space="preserve">在 </w:t>
      </w:r>
      <w:r>
        <w:rPr>
          <w:rFonts w:hint="eastAsia"/>
          <w:lang w:eastAsia="zh-CN"/>
        </w:rPr>
        <w:t>“</w:t>
      </w:r>
      <w:r>
        <w:t>市级首届 AI 案例征集活动</w:t>
      </w:r>
      <w:r>
        <w:rPr>
          <w:rFonts w:hint="eastAsia"/>
          <w:lang w:eastAsia="zh-CN"/>
        </w:rPr>
        <w:t>”</w:t>
      </w:r>
      <w:r>
        <w:t xml:space="preserve"> 中，青山区获得区域应用类案例三等奖 1 件，学校应用类案例 11 件，教师应用类案例 93 件；在第二十届宋庆龄少年儿童发明奖评选中，包头市第九十三中学共斩获 5 项人工智能（编程）作品大奖，包括一等奖 1 项、二等奖 2 项和三等奖 2 项，学校获评自治区级 </w:t>
      </w:r>
      <w:r>
        <w:rPr>
          <w:rFonts w:hint="eastAsia"/>
          <w:lang w:eastAsia="zh-CN"/>
        </w:rPr>
        <w:t>“</w:t>
      </w:r>
      <w:r>
        <w:t>科技发明先进校</w:t>
      </w:r>
      <w:r>
        <w:rPr>
          <w:rFonts w:hint="eastAsia"/>
          <w:lang w:eastAsia="zh-CN"/>
        </w:rPr>
        <w:t>”</w:t>
      </w:r>
      <w:r>
        <w:t xml:space="preserve"> 称号。</w:t>
      </w:r>
    </w:p>
    <w:p w14:paraId="42B2FF5F">
      <w:pPr>
        <w:pStyle w:val="5"/>
        <w:bidi w:val="0"/>
        <w:rPr>
          <w:rFonts w:hint="eastAsia"/>
        </w:rPr>
      </w:pPr>
      <w:r>
        <w:rPr>
          <w:rFonts w:hint="eastAsia"/>
        </w:rPr>
        <w:t xml:space="preserve">案例2：清华大学 </w:t>
      </w:r>
      <w:r>
        <w:rPr>
          <w:rFonts w:hint="eastAsia"/>
          <w:lang w:eastAsia="zh-CN"/>
        </w:rPr>
        <w:t>“</w:t>
      </w:r>
      <w:r>
        <w:rPr>
          <w:rFonts w:hint="eastAsia"/>
        </w:rPr>
        <w:t>MAIC</w:t>
      </w:r>
      <w:r>
        <w:rPr>
          <w:rFonts w:hint="eastAsia"/>
          <w:lang w:eastAsia="zh-CN"/>
        </w:rPr>
        <w:t>”</w:t>
      </w:r>
      <w:r>
        <w:rPr>
          <w:rFonts w:hint="eastAsia"/>
        </w:rPr>
        <w:t xml:space="preserve"> 的智能教学系统</w:t>
      </w:r>
      <w:r>
        <w:rPr>
          <w:rStyle w:val="20"/>
          <w:rFonts w:hint="eastAsia" w:ascii="黑体" w:hAnsi="黑体" w:eastAsia="黑体"/>
          <w:b/>
          <w:bCs/>
          <w:color w:val="auto"/>
          <w:szCs w:val="32"/>
        </w:rPr>
        <w:footnoteReference w:id="1"/>
      </w:r>
    </w:p>
    <w:p w14:paraId="6CEFF00C">
      <w:pPr>
        <w:bidi w:val="0"/>
        <w:rPr>
          <w:rFonts w:hint="eastAsia"/>
        </w:rPr>
      </w:pPr>
      <w:r>
        <w:rPr>
          <w:rFonts w:hint="eastAsia"/>
          <w:lang w:eastAsia="zh-CN"/>
        </w:rPr>
        <w:t>“</w:t>
      </w:r>
      <w:r>
        <w:rPr>
          <w:rFonts w:hint="eastAsia"/>
        </w:rPr>
        <w:t>MAIC</w:t>
      </w:r>
      <w:r>
        <w:rPr>
          <w:rFonts w:hint="eastAsia"/>
          <w:lang w:eastAsia="zh-CN"/>
        </w:rPr>
        <w:t>”</w:t>
      </w:r>
      <w:r>
        <w:rPr>
          <w:rFonts w:hint="eastAsia"/>
        </w:rPr>
        <w:t xml:space="preserve"> 通过构建一个以大语言模型为基底，包含教师、助教、同学等多个智能体、以 AI 辅助学生全学习过程的高临场感可配置学习课堂，支持教师的智能化备课、学生的高水平个性化学习，实现 </w:t>
      </w:r>
      <w:r>
        <w:rPr>
          <w:rFonts w:hint="eastAsia"/>
          <w:lang w:eastAsia="zh-CN"/>
        </w:rPr>
        <w:t>“</w:t>
      </w:r>
      <w:r>
        <w:rPr>
          <w:rFonts w:hint="eastAsia"/>
        </w:rPr>
        <w:t>一人一课堂</w:t>
      </w:r>
      <w:r>
        <w:rPr>
          <w:rFonts w:hint="eastAsia"/>
          <w:lang w:eastAsia="zh-CN"/>
        </w:rPr>
        <w:t>”</w:t>
      </w:r>
      <w:r>
        <w:rPr>
          <w:rFonts w:hint="eastAsia"/>
        </w:rPr>
        <w:t xml:space="preserve"> 的教学过程 </w:t>
      </w:r>
      <w:r>
        <w:rPr>
          <w:rFonts w:hint="eastAsia"/>
          <w:lang w:eastAsia="zh-CN"/>
        </w:rPr>
        <w:t>“</w:t>
      </w:r>
      <w:r>
        <w:rPr>
          <w:rFonts w:hint="eastAsia"/>
        </w:rPr>
        <w:t>无人驾驶</w:t>
      </w:r>
      <w:r>
        <w:rPr>
          <w:rFonts w:hint="eastAsia"/>
          <w:lang w:eastAsia="zh-CN"/>
        </w:rPr>
        <w:t>”</w:t>
      </w:r>
      <w:r>
        <w:rPr>
          <w:rFonts w:hint="eastAsia"/>
        </w:rPr>
        <w:t>。</w:t>
      </w:r>
    </w:p>
    <w:p w14:paraId="7F8B5218">
      <w:pPr>
        <w:numPr>
          <w:ilvl w:val="0"/>
          <w:numId w:val="5"/>
        </w:numPr>
        <w:bidi w:val="0"/>
      </w:pPr>
      <w:r>
        <w:rPr>
          <w:rFonts w:hint="eastAsia"/>
        </w:rPr>
        <w:t>特点：</w:t>
      </w:r>
      <w:r>
        <w:t>​</w:t>
      </w:r>
    </w:p>
    <w:p w14:paraId="172C821E">
      <w:pPr>
        <w:numPr>
          <w:numId w:val="0"/>
        </w:numPr>
        <w:bidi w:val="0"/>
        <w:ind w:firstLine="420" w:firstLineChars="0"/>
        <w:rPr>
          <w:rFonts w:hint="eastAsia"/>
        </w:rPr>
      </w:pPr>
      <w:r>
        <w:rPr>
          <w:rFonts w:hint="eastAsia"/>
          <w:lang w:eastAsia="zh-CN"/>
        </w:rPr>
        <w:t>“</w:t>
      </w:r>
      <w:r>
        <w:t>一人一课堂</w:t>
      </w:r>
      <w:r>
        <w:rPr>
          <w:rFonts w:hint="eastAsia"/>
          <w:lang w:eastAsia="zh-CN"/>
        </w:rPr>
        <w:t>”</w:t>
      </w:r>
      <w:r>
        <w:t>​​：系统根据每位学生的学习进度和理解能力，动态调整教学内容的深度、广度和推送顺序，没有固定的上下课时间。学生可自主控制AI教师的授课进度​。</w:t>
      </w:r>
    </w:p>
    <w:p w14:paraId="0BF4368E">
      <w:pPr>
        <w:bidi w:val="0"/>
        <w:rPr>
          <w:rFonts w:hint="eastAsia"/>
        </w:rPr>
      </w:pPr>
      <w:r>
        <w:t>​24小时即时响应​：学生可随时提问，​AI助教能在大约1.2秒内给出精准解答，确保疑问</w:t>
      </w:r>
      <w:r>
        <w:rPr>
          <w:rFonts w:hint="eastAsia"/>
          <w:lang w:eastAsia="zh-CN"/>
        </w:rPr>
        <w:t>“</w:t>
      </w:r>
      <w:r>
        <w:t>不过夜</w:t>
      </w:r>
      <w:r>
        <w:rPr>
          <w:rFonts w:hint="eastAsia"/>
          <w:lang w:eastAsia="zh-CN"/>
        </w:rPr>
        <w:t>”</w:t>
      </w:r>
      <w:r>
        <w:t>，创造了让学生更自信提问的安全环境</w:t>
      </w:r>
      <w:r>
        <w:rPr>
          <w:rFonts w:hint="eastAsia"/>
        </w:rPr>
        <w:t>。</w:t>
      </w:r>
    </w:p>
    <w:p w14:paraId="79C95212">
      <w:pPr>
        <w:bidi w:val="0"/>
        <w:rPr>
          <w:rFonts w:hint="eastAsia"/>
        </w:rPr>
      </w:pPr>
      <w:r>
        <w:t>​高临场感社交模拟​：引入具有不同性格特征的AI同学，模拟真实课堂讨论，激发思辨，为单独学习的学生提供宝贵的互动感和社群支持。</w:t>
      </w:r>
    </w:p>
    <w:p w14:paraId="0E9E19E8">
      <w:pPr>
        <w:bidi w:val="0"/>
        <w:rPr>
          <w:rFonts w:hint="eastAsia"/>
        </w:rPr>
      </w:pPr>
      <w:r>
        <w:t>​智能化备课​：教师提供基础资料后，MAIC能自动解析并生成题目、建议等，协助构建高度定制化的课堂内容基础，从源头上支持个性化。</w:t>
      </w:r>
    </w:p>
    <w:p w14:paraId="64A15CCD">
      <w:pPr>
        <w:bidi w:val="0"/>
        <w:rPr>
          <w:rFonts w:hint="eastAsia"/>
        </w:rPr>
      </w:pPr>
      <w:r>
        <w:rPr>
          <w:rFonts w:hint="eastAsia"/>
        </w:rPr>
        <w:t>（2）成效</w:t>
      </w:r>
    </w:p>
    <w:p w14:paraId="6B7D955A">
      <w:pPr>
        <w:bidi w:val="0"/>
        <w:rPr>
          <w:rFonts w:hint="eastAsia"/>
        </w:rPr>
      </w:pPr>
      <w:r>
        <w:rPr>
          <w:rFonts w:hint="eastAsia"/>
        </w:rPr>
        <w:t>清华大学</w:t>
      </w:r>
      <w:r>
        <w:rPr>
          <w:rFonts w:hint="eastAsia"/>
          <w:lang w:eastAsia="zh-CN"/>
        </w:rPr>
        <w:t>“</w:t>
      </w:r>
      <w:r>
        <w:rPr>
          <w:rFonts w:hint="eastAsia"/>
        </w:rPr>
        <w:t>AI课堂</w:t>
      </w:r>
      <w:r>
        <w:rPr>
          <w:rFonts w:hint="eastAsia"/>
          <w:lang w:eastAsia="zh-CN"/>
        </w:rPr>
        <w:t>”</w:t>
      </w:r>
      <w:r>
        <w:rPr>
          <w:rFonts w:hint="eastAsia"/>
        </w:rPr>
        <w:t>自上线平台以来，累计访问量超24万次，在多个示范应用中排名前列。通过精准服务满足不同需求，MAIC用户群体正在持续扩大。</w:t>
      </w:r>
    </w:p>
    <w:p w14:paraId="3FBC0E4A">
      <w:pPr>
        <w:bidi w:val="0"/>
        <w:rPr>
          <w:rFonts w:hint="eastAsia" w:eastAsia="方正仿宋GBK"/>
          <w:lang w:eastAsia="zh-CN"/>
        </w:rPr>
      </w:pPr>
      <w:r>
        <w:t>深度体验过MAIC课程的清华学生在访谈中表示</w:t>
      </w:r>
      <w:r>
        <w:rPr>
          <w:rFonts w:hint="eastAsia"/>
          <w:lang w:eastAsia="zh-CN"/>
        </w:rPr>
        <w:t>“</w:t>
      </w:r>
      <w:r>
        <w:t>AI课堂让我更加自信地去提问</w:t>
      </w:r>
      <w:r>
        <w:rPr>
          <w:rFonts w:hint="eastAsia"/>
        </w:rPr>
        <w:t>，</w:t>
      </w:r>
      <w:r>
        <w:t>有一些不懂的有疑惑的可能就及时问了</w:t>
      </w:r>
      <w:r>
        <w:rPr>
          <w:rFonts w:hint="eastAsia"/>
        </w:rPr>
        <w:t>，</w:t>
      </w:r>
      <w:r>
        <w:t>因为能得到及时的反馈</w:t>
      </w:r>
      <w:r>
        <w:rPr>
          <w:rFonts w:hint="eastAsia"/>
          <w:lang w:eastAsia="zh-CN"/>
        </w:rPr>
        <w:t>”</w:t>
      </w:r>
    </w:p>
    <w:p w14:paraId="2A3562F7">
      <w:pPr>
        <w:bidi w:val="0"/>
        <w:rPr>
          <w:rFonts w:hint="eastAsia"/>
        </w:rPr>
      </w:pPr>
      <w:r>
        <w:t>教研院的研究团队全程追踪MAIC课程质量</w:t>
      </w:r>
      <w:r>
        <w:rPr>
          <w:rFonts w:hint="eastAsia"/>
        </w:rPr>
        <w:t>。</w:t>
      </w:r>
      <w:r>
        <w:t>数据显示</w:t>
      </w:r>
      <w:r>
        <w:rPr>
          <w:rFonts w:hint="eastAsia"/>
        </w:rPr>
        <w:t>，</w:t>
      </w:r>
      <w:r>
        <w:t>学生关于MAIC课程的满意度高达92%</w:t>
      </w:r>
      <w:r>
        <w:rPr>
          <w:rFonts w:hint="eastAsia"/>
        </w:rPr>
        <w:t>。</w:t>
      </w:r>
      <w:r>
        <w:t>2025年，经校内外广泛评测</w:t>
      </w:r>
      <w:r>
        <w:rPr>
          <w:rFonts w:hint="eastAsia"/>
        </w:rPr>
        <w:t>，</w:t>
      </w:r>
      <w:r>
        <w:t>MAIC课程好评如潮</w:t>
      </w:r>
      <w:r>
        <w:rPr>
          <w:rFonts w:hint="eastAsia"/>
        </w:rPr>
        <w:t>。</w:t>
      </w:r>
    </w:p>
    <w:p w14:paraId="12BAB9B8">
      <w:pPr>
        <w:pStyle w:val="3"/>
        <w:outlineLvl w:val="2"/>
        <w:rPr>
          <w:rFonts w:hint="eastAsia" w:ascii="黑体" w:hAnsi="黑体" w:eastAsia="黑体"/>
          <w:b/>
          <w:bCs/>
          <w:color w:val="auto"/>
          <w:sz w:val="32"/>
          <w:szCs w:val="32"/>
        </w:rPr>
      </w:pPr>
      <w:bookmarkStart w:id="41" w:name="_Toc32596"/>
      <w:r>
        <w:rPr>
          <w:rFonts w:hint="eastAsia" w:ascii="黑体" w:hAnsi="黑体" w:eastAsia="黑体"/>
          <w:b/>
          <w:bCs/>
          <w:color w:val="auto"/>
          <w:sz w:val="32"/>
          <w:szCs w:val="32"/>
        </w:rPr>
        <w:t>经验总结</w:t>
      </w:r>
      <w:bookmarkEnd w:id="41"/>
    </w:p>
    <w:p w14:paraId="542449BF">
      <w:pPr>
        <w:bidi w:val="0"/>
        <w:rPr>
          <w:rFonts w:hint="eastAsia"/>
        </w:rPr>
      </w:pPr>
      <w:r>
        <w:t>包头青山区与清华大学</w:t>
      </w:r>
      <w:r>
        <w:rPr>
          <w:rFonts w:hint="eastAsia"/>
          <w:lang w:eastAsia="zh-CN"/>
        </w:rPr>
        <w:t>“</w:t>
      </w:r>
      <w:r>
        <w:t>MAIC</w:t>
      </w:r>
      <w:r>
        <w:rPr>
          <w:rFonts w:hint="eastAsia"/>
          <w:lang w:eastAsia="zh-CN"/>
        </w:rPr>
        <w:t>”</w:t>
      </w:r>
      <w:r>
        <w:t>的实践，清晰地勾勒出人工智能如何驱动教育从</w:t>
      </w:r>
      <w:r>
        <w:rPr>
          <w:rFonts w:hint="eastAsia"/>
          <w:lang w:eastAsia="zh-CN"/>
        </w:rPr>
        <w:t>“</w:t>
      </w:r>
      <w:r>
        <w:t>一刀切</w:t>
      </w:r>
      <w:r>
        <w:rPr>
          <w:rFonts w:hint="eastAsia"/>
          <w:lang w:eastAsia="zh-CN"/>
        </w:rPr>
        <w:t>”</w:t>
      </w:r>
      <w:r>
        <w:t>的标准化模式向</w:t>
      </w:r>
      <w:r>
        <w:rPr>
          <w:rFonts w:hint="eastAsia"/>
          <w:lang w:eastAsia="zh-CN"/>
        </w:rPr>
        <w:t>“</w:t>
      </w:r>
      <w:r>
        <w:t>因材施教</w:t>
      </w:r>
      <w:r>
        <w:rPr>
          <w:rFonts w:hint="eastAsia"/>
          <w:lang w:eastAsia="zh-CN"/>
        </w:rPr>
        <w:t>”</w:t>
      </w:r>
      <w:r>
        <w:t>的精准化模式转型。其核心经验可总结为以下三个层面：</w:t>
      </w:r>
    </w:p>
    <w:p w14:paraId="49A93493">
      <w:pPr>
        <w:bidi w:val="0"/>
        <w:rPr>
          <w:rFonts w:hint="eastAsia"/>
        </w:rPr>
      </w:pPr>
      <w:r>
        <w:rPr>
          <w:rFonts w:hint="eastAsia"/>
        </w:rPr>
        <w:t>（1）</w:t>
      </w:r>
      <w:r>
        <w:t xml:space="preserve"> 数据是</w:t>
      </w:r>
      <w:r>
        <w:rPr>
          <w:rFonts w:hint="eastAsia"/>
          <w:lang w:eastAsia="zh-CN"/>
        </w:rPr>
        <w:t>“</w:t>
      </w:r>
      <w:r>
        <w:t>精准化</w:t>
      </w:r>
      <w:r>
        <w:rPr>
          <w:rFonts w:hint="eastAsia"/>
          <w:lang w:eastAsia="zh-CN"/>
        </w:rPr>
        <w:t>”</w:t>
      </w:r>
      <w:r>
        <w:t>的基石：从经验驱动转向证据驱动。​​</w:t>
      </w:r>
    </w:p>
    <w:p w14:paraId="45AFED00">
      <w:pPr>
        <w:bidi w:val="0"/>
        <w:rPr>
          <w:rFonts w:hint="eastAsia"/>
        </w:rPr>
      </w:pPr>
      <w:r>
        <w:t>传统标准化教学依赖教师的统一经验和主观判断，而精准化教学的核心在于构建全流程、多维度的数据采集与分析闭环。青山区通过</w:t>
      </w:r>
      <w:r>
        <w:rPr>
          <w:rFonts w:hint="eastAsia"/>
          <w:lang w:eastAsia="zh-CN"/>
        </w:rPr>
        <w:t>“</w:t>
      </w:r>
      <w:r>
        <w:t>智能命题-批改-诊断</w:t>
      </w:r>
      <w:r>
        <w:rPr>
          <w:rFonts w:hint="eastAsia"/>
          <w:lang w:eastAsia="zh-CN"/>
        </w:rPr>
        <w:t>”</w:t>
      </w:r>
      <w:r>
        <w:t>连续采集学情数据，使教学起点从</w:t>
      </w:r>
      <w:r>
        <w:rPr>
          <w:rFonts w:hint="eastAsia"/>
          <w:lang w:eastAsia="zh-CN"/>
        </w:rPr>
        <w:t>“</w:t>
      </w:r>
      <w:r>
        <w:t>应然</w:t>
      </w:r>
      <w:r>
        <w:rPr>
          <w:rFonts w:hint="eastAsia"/>
          <w:lang w:eastAsia="zh-CN"/>
        </w:rPr>
        <w:t>”</w:t>
      </w:r>
      <w:r>
        <w:t>的教学进度，转变为</w:t>
      </w:r>
      <w:r>
        <w:rPr>
          <w:rFonts w:hint="eastAsia"/>
          <w:lang w:eastAsia="zh-CN"/>
        </w:rPr>
        <w:t>“</w:t>
      </w:r>
      <w:r>
        <w:t>实然</w:t>
      </w:r>
      <w:r>
        <w:rPr>
          <w:rFonts w:hint="eastAsia"/>
          <w:lang w:eastAsia="zh-CN"/>
        </w:rPr>
        <w:t>”</w:t>
      </w:r>
      <w:r>
        <w:t>的学生薄弱点。清华大学</w:t>
      </w:r>
      <w:r>
        <w:rPr>
          <w:rFonts w:hint="eastAsia"/>
          <w:lang w:eastAsia="zh-CN"/>
        </w:rPr>
        <w:t>“</w:t>
      </w:r>
      <w:r>
        <w:t>MAIC</w:t>
      </w:r>
      <w:r>
        <w:rPr>
          <w:rFonts w:hint="eastAsia"/>
          <w:lang w:eastAsia="zh-CN"/>
        </w:rPr>
        <w:t>”</w:t>
      </w:r>
      <w:r>
        <w:t>则通过记录学生的互动、提问与进度，实时感知其认知状态。​这表明，实现</w:t>
      </w:r>
      <w:r>
        <w:rPr>
          <w:rFonts w:hint="eastAsia"/>
          <w:lang w:eastAsia="zh-CN"/>
        </w:rPr>
        <w:t>“</w:t>
      </w:r>
      <w:r>
        <w:t>精准化</w:t>
      </w:r>
      <w:r>
        <w:rPr>
          <w:rFonts w:hint="eastAsia"/>
          <w:lang w:eastAsia="zh-CN"/>
        </w:rPr>
        <w:t>”</w:t>
      </w:r>
      <w:r>
        <w:t>的前提是将教学行为建立在连续、动态的数据证据之上，使</w:t>
      </w:r>
      <w:r>
        <w:rPr>
          <w:rFonts w:hint="eastAsia"/>
          <w:lang w:eastAsia="zh-CN"/>
        </w:rPr>
        <w:t>“</w:t>
      </w:r>
      <w:r>
        <w:t>教</w:t>
      </w:r>
      <w:r>
        <w:rPr>
          <w:rFonts w:hint="eastAsia"/>
          <w:lang w:eastAsia="zh-CN"/>
        </w:rPr>
        <w:t>”</w:t>
      </w:r>
      <w:r>
        <w:t>与</w:t>
      </w:r>
      <w:r>
        <w:rPr>
          <w:rFonts w:hint="eastAsia"/>
          <w:lang w:eastAsia="zh-CN"/>
        </w:rPr>
        <w:t>“</w:t>
      </w:r>
      <w:r>
        <w:t>学</w:t>
      </w:r>
      <w:r>
        <w:rPr>
          <w:rFonts w:hint="eastAsia"/>
          <w:lang w:eastAsia="zh-CN"/>
        </w:rPr>
        <w:t>”</w:t>
      </w:r>
      <w:r>
        <w:t>的决策前所未有地客观和具体。​​</w:t>
      </w:r>
    </w:p>
    <w:p w14:paraId="49C339B8">
      <w:pPr>
        <w:bidi w:val="0"/>
        <w:rPr>
          <w:rFonts w:hint="eastAsia"/>
        </w:rPr>
      </w:pPr>
      <w:r>
        <w:rPr>
          <w:rFonts w:hint="eastAsia"/>
        </w:rPr>
        <w:t>（2）</w:t>
      </w:r>
      <w:r>
        <w:t>干预是</w:t>
      </w:r>
      <w:r>
        <w:rPr>
          <w:rFonts w:hint="eastAsia"/>
          <w:lang w:eastAsia="zh-CN"/>
        </w:rPr>
        <w:t>“</w:t>
      </w:r>
      <w:r>
        <w:t>精准化</w:t>
      </w:r>
      <w:r>
        <w:rPr>
          <w:rFonts w:hint="eastAsia"/>
          <w:lang w:eastAsia="zh-CN"/>
        </w:rPr>
        <w:t>”</w:t>
      </w:r>
      <w:r>
        <w:t>的核心：从统一供给转向分层靶向。​​</w:t>
      </w:r>
    </w:p>
    <w:p w14:paraId="29C78BDF">
      <w:pPr>
        <w:bidi w:val="0"/>
        <w:rPr>
          <w:rFonts w:hint="eastAsia"/>
        </w:rPr>
      </w:pPr>
      <w:r>
        <w:rPr>
          <w:rFonts w:hint="eastAsia"/>
          <w:lang w:eastAsia="zh-CN"/>
        </w:rPr>
        <w:t>“</w:t>
      </w:r>
      <w:r>
        <w:t>标准化</w:t>
      </w:r>
      <w:r>
        <w:rPr>
          <w:rFonts w:hint="eastAsia"/>
          <w:lang w:eastAsia="zh-CN"/>
        </w:rPr>
        <w:t>”</w:t>
      </w:r>
      <w:r>
        <w:t>的弊端是难以应对学生的个体差异。两个案例展示了AI如何实现</w:t>
      </w:r>
      <w:r>
        <w:rPr>
          <w:rFonts w:hint="eastAsia"/>
          <w:lang w:eastAsia="zh-CN"/>
        </w:rPr>
        <w:t>“</w:t>
      </w:r>
      <w:r>
        <w:t>群体分层</w:t>
      </w:r>
      <w:r>
        <w:rPr>
          <w:rFonts w:hint="eastAsia"/>
          <w:lang w:eastAsia="zh-CN"/>
        </w:rPr>
        <w:t>”</w:t>
      </w:r>
      <w:r>
        <w:t>与</w:t>
      </w:r>
      <w:r>
        <w:rPr>
          <w:rFonts w:hint="eastAsia"/>
          <w:lang w:eastAsia="zh-CN"/>
        </w:rPr>
        <w:t>“</w:t>
      </w:r>
      <w:r>
        <w:t>个体定制</w:t>
      </w:r>
      <w:r>
        <w:rPr>
          <w:rFonts w:hint="eastAsia"/>
          <w:lang w:eastAsia="zh-CN"/>
        </w:rPr>
        <w:t>”</w:t>
      </w:r>
      <w:r>
        <w:t>的有机结合。青山区在课堂中基于高频错题进行</w:t>
      </w:r>
      <w:r>
        <w:rPr>
          <w:rFonts w:hint="eastAsia"/>
          <w:lang w:eastAsia="zh-CN"/>
        </w:rPr>
        <w:t>“</w:t>
      </w:r>
      <w:r>
        <w:t>A/B/C层</w:t>
      </w:r>
      <w:r>
        <w:rPr>
          <w:rFonts w:hint="eastAsia"/>
          <w:lang w:eastAsia="zh-CN"/>
        </w:rPr>
        <w:t>”</w:t>
      </w:r>
      <w:r>
        <w:t>分组讲评，破解了</w:t>
      </w:r>
      <w:r>
        <w:rPr>
          <w:rFonts w:hint="eastAsia"/>
          <w:lang w:eastAsia="zh-CN"/>
        </w:rPr>
        <w:t>“</w:t>
      </w:r>
      <w:r>
        <w:t>大班额分层</w:t>
      </w:r>
      <w:r>
        <w:rPr>
          <w:rFonts w:hint="eastAsia"/>
          <w:lang w:eastAsia="zh-CN"/>
        </w:rPr>
        <w:t>”</w:t>
      </w:r>
      <w:r>
        <w:t>难题；课后通过个性化手册推送</w:t>
      </w:r>
      <w:r>
        <w:rPr>
          <w:rFonts w:hint="eastAsia"/>
          <w:lang w:eastAsia="zh-CN"/>
        </w:rPr>
        <w:t>“</w:t>
      </w:r>
      <w:r>
        <w:t>一生一策</w:t>
      </w:r>
      <w:r>
        <w:rPr>
          <w:rFonts w:hint="eastAsia"/>
          <w:lang w:eastAsia="zh-CN"/>
        </w:rPr>
        <w:t>”</w:t>
      </w:r>
      <w:r>
        <w:t>的变式训练。清华大学</w:t>
      </w:r>
      <w:r>
        <w:rPr>
          <w:rFonts w:hint="eastAsia"/>
          <w:lang w:eastAsia="zh-CN"/>
        </w:rPr>
        <w:t>“</w:t>
      </w:r>
      <w:r>
        <w:t>MAIC</w:t>
      </w:r>
      <w:r>
        <w:rPr>
          <w:rFonts w:hint="eastAsia"/>
          <w:lang w:eastAsia="zh-CN"/>
        </w:rPr>
        <w:t>”</w:t>
      </w:r>
      <w:r>
        <w:t>则更进一步，实现了</w:t>
      </w:r>
      <w:r>
        <w:rPr>
          <w:rFonts w:hint="eastAsia"/>
          <w:lang w:eastAsia="zh-CN"/>
        </w:rPr>
        <w:t>“</w:t>
      </w:r>
      <w:r>
        <w:t>一人一课堂</w:t>
      </w:r>
      <w:r>
        <w:rPr>
          <w:rFonts w:hint="eastAsia"/>
          <w:lang w:eastAsia="zh-CN"/>
        </w:rPr>
        <w:t>”</w:t>
      </w:r>
      <w:r>
        <w:t>的动态内容配置。​这揭示了</w:t>
      </w:r>
      <w:r>
        <w:rPr>
          <w:rFonts w:hint="eastAsia"/>
          <w:lang w:eastAsia="zh-CN"/>
        </w:rPr>
        <w:t>“</w:t>
      </w:r>
      <w:r>
        <w:t>精准化</w:t>
      </w:r>
      <w:r>
        <w:rPr>
          <w:rFonts w:hint="eastAsia"/>
          <w:lang w:eastAsia="zh-CN"/>
        </w:rPr>
        <w:t>”</w:t>
      </w:r>
      <w:r>
        <w:t>的路径：在教学关键环节（如讲评、练习），利用AI进行差异化资源推送和路径规划，确保每个学生都能获得与其当前认知水平最匹配的教学支持。​​</w:t>
      </w:r>
    </w:p>
    <w:p w14:paraId="58BAA6C9">
      <w:pPr>
        <w:bidi w:val="0"/>
        <w:rPr>
          <w:rFonts w:hint="eastAsia"/>
        </w:rPr>
      </w:pPr>
      <w:r>
        <w:rPr>
          <w:rFonts w:hint="eastAsia"/>
        </w:rPr>
        <w:t>（3）</w:t>
      </w:r>
      <w:r>
        <w:t>系统是</w:t>
      </w:r>
      <w:r>
        <w:rPr>
          <w:rFonts w:hint="eastAsia"/>
          <w:lang w:eastAsia="zh-CN"/>
        </w:rPr>
        <w:t>“</w:t>
      </w:r>
      <w:r>
        <w:t>精准化</w:t>
      </w:r>
      <w:r>
        <w:rPr>
          <w:rFonts w:hint="eastAsia"/>
          <w:lang w:eastAsia="zh-CN"/>
        </w:rPr>
        <w:t>”</w:t>
      </w:r>
      <w:r>
        <w:t>的保障：从静态固化转向动态进化。​​</w:t>
      </w:r>
    </w:p>
    <w:p w14:paraId="38824610">
      <w:pPr>
        <w:bidi w:val="0"/>
        <w:rPr>
          <w:rFonts w:hint="eastAsia"/>
        </w:rPr>
      </w:pPr>
      <w:r>
        <w:t>精准化不是一次性的策略，而是一个能够自我优化的生态系统。两个案例均构建了</w:t>
      </w:r>
      <w:r>
        <w:rPr>
          <w:rFonts w:hint="eastAsia"/>
          <w:lang w:eastAsia="zh-CN"/>
        </w:rPr>
        <w:t>“</w:t>
      </w:r>
      <w:r>
        <w:t>教学-评估-优化</w:t>
      </w:r>
      <w:r>
        <w:rPr>
          <w:rFonts w:hint="eastAsia"/>
          <w:lang w:eastAsia="zh-CN"/>
        </w:rPr>
        <w:t>”</w:t>
      </w:r>
      <w:r>
        <w:t>的闭环。青山区教师根据周测数据趋势调整下周教学重点，使系统越用越</w:t>
      </w:r>
      <w:r>
        <w:rPr>
          <w:rFonts w:hint="eastAsia"/>
          <w:lang w:eastAsia="zh-CN"/>
        </w:rPr>
        <w:t>“</w:t>
      </w:r>
      <w:r>
        <w:t>懂</w:t>
      </w:r>
      <w:r>
        <w:rPr>
          <w:rFonts w:hint="eastAsia"/>
          <w:lang w:eastAsia="zh-CN"/>
        </w:rPr>
        <w:t>”</w:t>
      </w:r>
      <w:r>
        <w:t>学情。清华大学</w:t>
      </w:r>
      <w:r>
        <w:rPr>
          <w:rFonts w:hint="eastAsia"/>
          <w:lang w:eastAsia="zh-CN"/>
        </w:rPr>
        <w:t>“</w:t>
      </w:r>
      <w:r>
        <w:t>MAIC</w:t>
      </w:r>
      <w:r>
        <w:rPr>
          <w:rFonts w:hint="eastAsia"/>
          <w:lang w:eastAsia="zh-CN"/>
        </w:rPr>
        <w:t>”</w:t>
      </w:r>
      <w:r>
        <w:t>作为大语言模型系统，本身就具备从互动中持续学习和优化的能力。​这强调，</w:t>
      </w:r>
      <w:r>
        <w:rPr>
          <w:rFonts w:hint="eastAsia"/>
          <w:lang w:eastAsia="zh-CN"/>
        </w:rPr>
        <w:t>“</w:t>
      </w:r>
      <w:r>
        <w:t>精准化</w:t>
      </w:r>
      <w:r>
        <w:rPr>
          <w:rFonts w:hint="eastAsia"/>
          <w:lang w:eastAsia="zh-CN"/>
        </w:rPr>
        <w:t>”</w:t>
      </w:r>
      <w:r>
        <w:t>的可持续性依赖于系统的闭环设计与进化机制。教学策略和资源库不再是静态的，而是能根据效果反馈动态调优的</w:t>
      </w:r>
      <w:r>
        <w:rPr>
          <w:rFonts w:hint="eastAsia"/>
          <w:lang w:eastAsia="zh-CN"/>
        </w:rPr>
        <w:t>“</w:t>
      </w:r>
      <w:r>
        <w:t>活</w:t>
      </w:r>
      <w:r>
        <w:rPr>
          <w:rFonts w:hint="eastAsia"/>
          <w:lang w:eastAsia="zh-CN"/>
        </w:rPr>
        <w:t>”</w:t>
      </w:r>
      <w:r>
        <w:t>的系统，从而确保精准干预能够持续适配学生不断变化的学习需求。​​</w:t>
      </w:r>
    </w:p>
    <w:p w14:paraId="61B7CCBC">
      <w:pPr>
        <w:bidi w:val="0"/>
        <w:rPr>
          <w:rFonts w:hint="eastAsia"/>
        </w:rPr>
      </w:pPr>
      <w:r>
        <w:t>总而言之，从</w:t>
      </w:r>
      <w:r>
        <w:rPr>
          <w:rFonts w:hint="eastAsia"/>
          <w:lang w:eastAsia="zh-CN"/>
        </w:rPr>
        <w:t>“</w:t>
      </w:r>
      <w:r>
        <w:t>标准化</w:t>
      </w:r>
      <w:r>
        <w:rPr>
          <w:rFonts w:hint="eastAsia"/>
          <w:lang w:eastAsia="zh-CN"/>
        </w:rPr>
        <w:t>”</w:t>
      </w:r>
      <w:r>
        <w:t>走向</w:t>
      </w:r>
      <w:r>
        <w:rPr>
          <w:rFonts w:hint="eastAsia"/>
          <w:lang w:eastAsia="zh-CN"/>
        </w:rPr>
        <w:t>“</w:t>
      </w:r>
      <w:r>
        <w:t>精准化</w:t>
      </w:r>
      <w:r>
        <w:rPr>
          <w:rFonts w:hint="eastAsia"/>
          <w:lang w:eastAsia="zh-CN"/>
        </w:rPr>
        <w:t>”</w:t>
      </w:r>
      <w:r>
        <w:t>的本质，是通过数据、算法与教育场景的深度融合，将教学的重心从</w:t>
      </w:r>
      <w:r>
        <w:rPr>
          <w:rFonts w:hint="eastAsia"/>
          <w:lang w:eastAsia="zh-CN"/>
        </w:rPr>
        <w:t>“</w:t>
      </w:r>
      <w:r>
        <w:t>教什么</w:t>
      </w:r>
      <w:r>
        <w:rPr>
          <w:rFonts w:hint="eastAsia"/>
          <w:lang w:eastAsia="zh-CN"/>
        </w:rPr>
        <w:t>”</w:t>
      </w:r>
      <w:r>
        <w:t>集体灌输，转移到</w:t>
      </w:r>
      <w:r>
        <w:rPr>
          <w:rFonts w:hint="eastAsia"/>
          <w:lang w:eastAsia="zh-CN"/>
        </w:rPr>
        <w:t>“</w:t>
      </w:r>
      <w:r>
        <w:t>谁需要学什么</w:t>
      </w:r>
      <w:r>
        <w:rPr>
          <w:rFonts w:hint="eastAsia"/>
          <w:lang w:eastAsia="zh-CN"/>
        </w:rPr>
        <w:t>”</w:t>
      </w:r>
      <w:r>
        <w:t>的个性化赋能，最终实现规模化因材施教。​</w:t>
      </w:r>
    </w:p>
    <w:p w14:paraId="7EA35A4C">
      <w:pPr>
        <w:pStyle w:val="3"/>
        <w:bidi w:val="0"/>
        <w:rPr>
          <w:rFonts w:hint="eastAsia" w:eastAsia="方正楷体GBK"/>
          <w:lang w:eastAsia="zh-CN"/>
        </w:rPr>
      </w:pPr>
      <w:bookmarkStart w:id="42" w:name="_Toc11922"/>
      <w:r>
        <w:rPr>
          <w:rFonts w:hint="eastAsia"/>
          <w:lang w:eastAsia="zh-CN"/>
        </w:rPr>
        <w:t>（</w:t>
      </w:r>
      <w:r>
        <w:rPr>
          <w:rFonts w:hint="eastAsia"/>
          <w:lang w:val="en-US" w:eastAsia="zh-CN"/>
        </w:rPr>
        <w:t>二</w:t>
      </w:r>
      <w:r>
        <w:rPr>
          <w:rFonts w:hint="eastAsia"/>
          <w:lang w:eastAsia="zh-CN"/>
        </w:rPr>
        <w:t>）</w:t>
      </w:r>
      <w:r>
        <w:t>教学流程智能化：教师角色从</w:t>
      </w:r>
      <w:r>
        <w:rPr>
          <w:rFonts w:hint="eastAsia"/>
          <w:lang w:eastAsia="zh-CN"/>
        </w:rPr>
        <w:t>“</w:t>
      </w:r>
      <w:r>
        <w:t>传授者</w:t>
      </w:r>
      <w:r>
        <w:rPr>
          <w:rFonts w:hint="eastAsia"/>
          <w:lang w:eastAsia="zh-CN"/>
        </w:rPr>
        <w:t>”</w:t>
      </w:r>
      <w:r>
        <w:t>转向</w:t>
      </w:r>
      <w:r>
        <w:rPr>
          <w:rFonts w:hint="eastAsia"/>
          <w:lang w:eastAsia="zh-CN"/>
        </w:rPr>
        <w:t>“</w:t>
      </w:r>
      <w:r>
        <w:t>设计者</w:t>
      </w:r>
      <w:r>
        <w:rPr>
          <w:rFonts w:hint="eastAsia"/>
          <w:lang w:eastAsia="zh-CN"/>
        </w:rPr>
        <w:t>”</w:t>
      </w:r>
      <w:bookmarkEnd w:id="42"/>
    </w:p>
    <w:p w14:paraId="7D376072">
      <w:pPr>
        <w:pStyle w:val="4"/>
        <w:bidi w:val="0"/>
        <w:rPr>
          <w:rFonts w:hint="eastAsia"/>
        </w:rPr>
      </w:pPr>
      <w:bookmarkStart w:id="43" w:name="_Toc27096"/>
      <w:r>
        <w:rPr>
          <w:rFonts w:hint="eastAsia"/>
        </w:rPr>
        <w:t>案例分析</w:t>
      </w:r>
      <w:bookmarkEnd w:id="43"/>
    </w:p>
    <w:p w14:paraId="0FABD55A">
      <w:pPr>
        <w:pStyle w:val="5"/>
        <w:bidi w:val="0"/>
        <w:rPr>
          <w:rFonts w:hint="eastAsia"/>
        </w:rPr>
      </w:pPr>
      <w:r>
        <w:rPr>
          <w:rFonts w:hint="eastAsia"/>
        </w:rPr>
        <w:t>案例1：华中师范大学</w:t>
      </w:r>
      <w:r>
        <w:rPr>
          <w:rFonts w:hint="eastAsia"/>
          <w:lang w:eastAsia="zh-CN"/>
        </w:rPr>
        <w:t>“</w:t>
      </w:r>
      <w:r>
        <w:rPr>
          <w:rFonts w:hint="eastAsia"/>
        </w:rPr>
        <w:t>小雅</w:t>
      </w:r>
      <w:r>
        <w:rPr>
          <w:rFonts w:hint="eastAsia"/>
          <w:lang w:eastAsia="zh-CN"/>
        </w:rPr>
        <w:t>”</w:t>
      </w:r>
      <w:r>
        <w:rPr>
          <w:rFonts w:hint="eastAsia"/>
        </w:rPr>
        <w:t xml:space="preserve"> 平台</w:t>
      </w:r>
    </w:p>
    <w:p w14:paraId="0D2FBAA5">
      <w:pPr>
        <w:pStyle w:val="5"/>
        <w:bidi w:val="0"/>
        <w:rPr>
          <w:rFonts w:hint="eastAsia"/>
        </w:rPr>
      </w:pPr>
      <w:r>
        <w:rPr>
          <w:rFonts w:hint="eastAsia"/>
        </w:rPr>
        <w:t>案例2：天津大学人工智能助教</w:t>
      </w:r>
    </w:p>
    <w:p w14:paraId="083D6F9D">
      <w:pPr>
        <w:pStyle w:val="4"/>
        <w:bidi w:val="0"/>
        <w:rPr>
          <w:rFonts w:hint="eastAsia"/>
          <w:b/>
          <w:bCs w:val="0"/>
        </w:rPr>
      </w:pPr>
      <w:bookmarkStart w:id="44" w:name="_Toc5749"/>
      <w:r>
        <w:rPr>
          <w:rFonts w:hint="eastAsia"/>
          <w:b/>
          <w:bCs w:val="0"/>
        </w:rPr>
        <w:t>经验总结</w:t>
      </w:r>
      <w:bookmarkEnd w:id="44"/>
      <w:r>
        <w:rPr>
          <w:rFonts w:hint="eastAsia"/>
          <w:b/>
          <w:bCs w:val="0"/>
        </w:rPr>
        <w:t xml:space="preserve"> </w:t>
      </w:r>
    </w:p>
    <w:p w14:paraId="3CE69829">
      <w:pPr>
        <w:pStyle w:val="3"/>
        <w:bidi w:val="0"/>
        <w:rPr>
          <w:rFonts w:hint="eastAsia"/>
        </w:rPr>
      </w:pPr>
      <w:bookmarkStart w:id="45" w:name="_Toc2299"/>
      <w:r>
        <w:rPr>
          <w:rFonts w:hint="eastAsia"/>
          <w:lang w:eastAsia="zh-CN"/>
        </w:rPr>
        <w:t>（</w:t>
      </w:r>
      <w:r>
        <w:rPr>
          <w:rFonts w:hint="eastAsia"/>
          <w:lang w:val="en-US" w:eastAsia="zh-CN"/>
        </w:rPr>
        <w:t>三</w:t>
      </w:r>
      <w:r>
        <w:rPr>
          <w:rFonts w:hint="eastAsia"/>
          <w:lang w:eastAsia="zh-CN"/>
        </w:rPr>
        <w:t>）</w:t>
      </w:r>
      <w:r>
        <w:rPr>
          <w:rFonts w:hint="eastAsia"/>
        </w:rPr>
        <w:t>沉浸式</w:t>
      </w:r>
      <w:r>
        <w:t>跨学科</w:t>
      </w:r>
      <w:r>
        <w:rPr>
          <w:rFonts w:hint="eastAsia"/>
        </w:rPr>
        <w:t>学习</w:t>
      </w:r>
      <w:r>
        <w:t>：打破学科壁垒，</w:t>
      </w:r>
      <w:r>
        <w:rPr>
          <w:rFonts w:hint="eastAsia"/>
        </w:rPr>
        <w:t>重塑教育内容与形态</w:t>
      </w:r>
      <w:bookmarkEnd w:id="45"/>
    </w:p>
    <w:p w14:paraId="168E2357">
      <w:pPr>
        <w:pStyle w:val="4"/>
        <w:bidi w:val="0"/>
        <w:rPr>
          <w:rFonts w:hint="eastAsia"/>
        </w:rPr>
      </w:pPr>
      <w:bookmarkStart w:id="46" w:name="_Toc19782"/>
      <w:r>
        <w:rPr>
          <w:rFonts w:hint="eastAsia"/>
        </w:rPr>
        <w:t>案例分析</w:t>
      </w:r>
      <w:bookmarkEnd w:id="46"/>
    </w:p>
    <w:p w14:paraId="7B11DCAA">
      <w:pPr>
        <w:pStyle w:val="5"/>
        <w:bidi w:val="0"/>
        <w:rPr>
          <w:rFonts w:hint="eastAsia" w:eastAsia="方正楷体GBK"/>
          <w:lang w:eastAsia="zh-CN"/>
        </w:rPr>
      </w:pPr>
      <w:r>
        <w:rPr>
          <w:rFonts w:hint="eastAsia"/>
        </w:rPr>
        <w:t>案例1：重庆交通大学</w:t>
      </w:r>
      <w:r>
        <w:rPr>
          <w:rFonts w:hint="eastAsia"/>
          <w:lang w:eastAsia="zh-CN"/>
        </w:rPr>
        <w:t>“</w:t>
      </w:r>
      <w:r>
        <w:rPr>
          <w:rFonts w:hint="eastAsia"/>
        </w:rPr>
        <w:t>虚拟元宇宙空间</w:t>
      </w:r>
      <w:r>
        <w:rPr>
          <w:rFonts w:hint="eastAsia"/>
          <w:lang w:eastAsia="zh-CN"/>
        </w:rPr>
        <w:t>”</w:t>
      </w:r>
    </w:p>
    <w:p w14:paraId="34D4B6ED">
      <w:pPr>
        <w:pStyle w:val="5"/>
        <w:bidi w:val="0"/>
        <w:rPr>
          <w:rFonts w:hint="eastAsia"/>
        </w:rPr>
      </w:pPr>
      <w:r>
        <w:rPr>
          <w:rFonts w:hint="eastAsia"/>
        </w:rPr>
        <w:t>案例2：大连大学AI-XR 大空间医疗教学创新应用</w:t>
      </w:r>
    </w:p>
    <w:p w14:paraId="088A249D">
      <w:pPr>
        <w:pStyle w:val="4"/>
        <w:bidi w:val="0"/>
        <w:rPr>
          <w:rFonts w:hint="eastAsia"/>
        </w:rPr>
      </w:pPr>
      <w:bookmarkStart w:id="47" w:name="_Toc24069"/>
      <w:r>
        <w:rPr>
          <w:rFonts w:hint="eastAsia"/>
        </w:rPr>
        <w:t>经验总结</w:t>
      </w:r>
      <w:bookmarkEnd w:id="47"/>
    </w:p>
    <w:p w14:paraId="5AB8F0DD">
      <w:pPr>
        <w:pStyle w:val="3"/>
        <w:bidi w:val="0"/>
        <w:rPr>
          <w:rFonts w:hint="eastAsia"/>
        </w:rPr>
      </w:pPr>
      <w:bookmarkStart w:id="48" w:name="_Toc16213"/>
      <w:r>
        <w:rPr>
          <w:rFonts w:hint="eastAsia"/>
          <w:lang w:eastAsia="zh-CN"/>
        </w:rPr>
        <w:t>（</w:t>
      </w:r>
      <w:r>
        <w:rPr>
          <w:rFonts w:hint="eastAsia"/>
          <w:lang w:val="en-US" w:eastAsia="zh-CN"/>
        </w:rPr>
        <w:t>四</w:t>
      </w:r>
      <w:r>
        <w:rPr>
          <w:rFonts w:hint="eastAsia"/>
          <w:lang w:eastAsia="zh-CN"/>
        </w:rPr>
        <w:t>）</w:t>
      </w:r>
      <w:r>
        <w:rPr>
          <w:rFonts w:hint="eastAsia"/>
        </w:rPr>
        <w:t>教育公平深化：打破时空壁垒，实现资源普惠</w:t>
      </w:r>
      <w:bookmarkEnd w:id="48"/>
    </w:p>
    <w:p w14:paraId="2E824A87">
      <w:pPr>
        <w:pStyle w:val="4"/>
        <w:bidi w:val="0"/>
        <w:rPr>
          <w:rFonts w:hint="eastAsia"/>
        </w:rPr>
      </w:pPr>
      <w:bookmarkStart w:id="49" w:name="_Toc7018"/>
      <w:r>
        <w:rPr>
          <w:rFonts w:hint="eastAsia"/>
        </w:rPr>
        <w:t>案例分析</w:t>
      </w:r>
      <w:bookmarkEnd w:id="49"/>
    </w:p>
    <w:p w14:paraId="06D55E1D">
      <w:pPr>
        <w:pStyle w:val="5"/>
        <w:bidi w:val="0"/>
        <w:rPr>
          <w:rFonts w:hint="eastAsia"/>
        </w:rPr>
      </w:pPr>
      <w:r>
        <w:rPr>
          <w:rFonts w:hint="eastAsia"/>
        </w:rPr>
        <w:t>案例1：深圳市云端学校</w:t>
      </w:r>
      <w:r>
        <w:rPr>
          <w:rFonts w:hint="eastAsia"/>
          <w:lang w:eastAsia="zh-CN"/>
        </w:rPr>
        <w:t>“</w:t>
      </w:r>
      <w:r>
        <w:rPr>
          <w:rFonts w:hint="eastAsia"/>
        </w:rPr>
        <w:t>1+N</w:t>
      </w:r>
      <w:r>
        <w:rPr>
          <w:rFonts w:hint="eastAsia"/>
          <w:lang w:eastAsia="zh-CN"/>
        </w:rPr>
        <w:t>”</w:t>
      </w:r>
      <w:r>
        <w:rPr>
          <w:rFonts w:hint="eastAsia"/>
        </w:rPr>
        <w:t xml:space="preserve"> 共同体模式</w:t>
      </w:r>
    </w:p>
    <w:p w14:paraId="2E201B32">
      <w:pPr>
        <w:pStyle w:val="5"/>
        <w:bidi w:val="0"/>
        <w:rPr>
          <w:rFonts w:hint="eastAsia"/>
        </w:rPr>
      </w:pPr>
      <w:r>
        <w:rPr>
          <w:rFonts w:hint="eastAsia"/>
        </w:rPr>
        <w:t>案例2:华南师范大学 AI 全科教师华君</w:t>
      </w:r>
    </w:p>
    <w:p w14:paraId="4AABA72D">
      <w:pPr>
        <w:pStyle w:val="4"/>
        <w:bidi w:val="0"/>
        <w:rPr>
          <w:rFonts w:hint="eastAsia"/>
        </w:rPr>
      </w:pPr>
      <w:bookmarkStart w:id="50" w:name="_Toc5904"/>
      <w:r>
        <w:rPr>
          <w:rFonts w:hint="eastAsia"/>
        </w:rPr>
        <w:t>经验总结</w:t>
      </w:r>
      <w:bookmarkEnd w:id="50"/>
    </w:p>
    <w:p w14:paraId="6C6162B9">
      <w:pPr>
        <w:pStyle w:val="3"/>
        <w:bidi w:val="0"/>
        <w:rPr>
          <w:rFonts w:hint="eastAsia" w:eastAsia="方正楷体GBK"/>
          <w:lang w:eastAsia="zh-CN"/>
        </w:rPr>
      </w:pPr>
      <w:bookmarkStart w:id="51" w:name="_Toc1178"/>
      <w:r>
        <w:rPr>
          <w:rFonts w:hint="eastAsia"/>
          <w:lang w:eastAsia="zh-CN"/>
        </w:rPr>
        <w:t>（</w:t>
      </w:r>
      <w:r>
        <w:rPr>
          <w:rFonts w:hint="eastAsia"/>
          <w:lang w:val="en-US" w:eastAsia="zh-CN"/>
        </w:rPr>
        <w:t>五</w:t>
      </w:r>
      <w:r>
        <w:rPr>
          <w:rFonts w:hint="eastAsia"/>
          <w:lang w:eastAsia="zh-CN"/>
        </w:rPr>
        <w:t>）</w:t>
      </w:r>
      <w:r>
        <w:rPr>
          <w:rFonts w:hint="eastAsia"/>
        </w:rPr>
        <w:t>特殊教育普惠化：从</w:t>
      </w:r>
      <w:r>
        <w:rPr>
          <w:rFonts w:hint="eastAsia"/>
          <w:lang w:eastAsia="zh-CN"/>
        </w:rPr>
        <w:t>“</w:t>
      </w:r>
      <w:r>
        <w:rPr>
          <w:rFonts w:hint="eastAsia"/>
        </w:rPr>
        <w:t>边缘关怀</w:t>
      </w:r>
      <w:r>
        <w:rPr>
          <w:rFonts w:hint="eastAsia"/>
          <w:lang w:eastAsia="zh-CN"/>
        </w:rPr>
        <w:t>”</w:t>
      </w:r>
      <w:r>
        <w:rPr>
          <w:rFonts w:hint="eastAsia"/>
        </w:rPr>
        <w:t>走向</w:t>
      </w:r>
      <w:r>
        <w:rPr>
          <w:rFonts w:hint="eastAsia"/>
          <w:lang w:eastAsia="zh-CN"/>
        </w:rPr>
        <w:t>“</w:t>
      </w:r>
      <w:r>
        <w:rPr>
          <w:rFonts w:hint="eastAsia"/>
        </w:rPr>
        <w:t>全面赋能</w:t>
      </w:r>
      <w:r>
        <w:rPr>
          <w:rFonts w:hint="eastAsia"/>
          <w:lang w:eastAsia="zh-CN"/>
        </w:rPr>
        <w:t>”</w:t>
      </w:r>
      <w:bookmarkEnd w:id="51"/>
    </w:p>
    <w:p w14:paraId="37004499">
      <w:pPr>
        <w:pStyle w:val="4"/>
        <w:bidi w:val="0"/>
        <w:rPr>
          <w:rFonts w:hint="eastAsia"/>
        </w:rPr>
      </w:pPr>
      <w:bookmarkStart w:id="52" w:name="_Toc10741"/>
      <w:r>
        <w:rPr>
          <w:rFonts w:hint="eastAsia"/>
        </w:rPr>
        <w:t>案例分析</w:t>
      </w:r>
      <w:bookmarkEnd w:id="52"/>
    </w:p>
    <w:p w14:paraId="57166136">
      <w:pPr>
        <w:pStyle w:val="5"/>
        <w:bidi w:val="0"/>
        <w:rPr>
          <w:rFonts w:hint="eastAsia"/>
        </w:rPr>
      </w:pPr>
      <w:r>
        <w:rPr>
          <w:rFonts w:hint="eastAsia"/>
        </w:rPr>
        <w:t>案例1：南京特殊教育师范学院南特脑科学数智化平台</w:t>
      </w:r>
    </w:p>
    <w:p w14:paraId="32CEB420">
      <w:pPr>
        <w:pStyle w:val="5"/>
        <w:bidi w:val="0"/>
        <w:rPr>
          <w:rFonts w:hint="eastAsia"/>
        </w:rPr>
      </w:pPr>
      <w:r>
        <w:rPr>
          <w:rFonts w:hint="eastAsia"/>
        </w:rPr>
        <w:t>案例2：中国石油大学"1+N+4"慧语工程服务体系</w:t>
      </w:r>
    </w:p>
    <w:p w14:paraId="433AADF2">
      <w:pPr>
        <w:pStyle w:val="4"/>
        <w:bidi w:val="0"/>
        <w:rPr>
          <w:rFonts w:hint="eastAsia"/>
        </w:rPr>
      </w:pPr>
      <w:bookmarkStart w:id="53" w:name="_Toc427"/>
      <w:r>
        <w:rPr>
          <w:rFonts w:hint="eastAsia"/>
        </w:rPr>
        <w:t>经验总结</w:t>
      </w:r>
      <w:bookmarkEnd w:id="53"/>
    </w:p>
    <w:p w14:paraId="684321E9">
      <w:pPr>
        <w:pStyle w:val="3"/>
        <w:bidi w:val="0"/>
        <w:rPr>
          <w:rFonts w:hint="eastAsia" w:eastAsia="方正楷体GBK"/>
          <w:lang w:eastAsia="zh-CN"/>
        </w:rPr>
      </w:pPr>
      <w:bookmarkStart w:id="54" w:name="_Toc11817"/>
      <w:r>
        <w:rPr>
          <w:rFonts w:hint="eastAsia"/>
          <w:lang w:eastAsia="zh-CN"/>
        </w:rPr>
        <w:t>（</w:t>
      </w:r>
      <w:r>
        <w:rPr>
          <w:rFonts w:hint="eastAsia"/>
          <w:lang w:val="en-US" w:eastAsia="zh-CN"/>
        </w:rPr>
        <w:t>六</w:t>
      </w:r>
      <w:r>
        <w:rPr>
          <w:rFonts w:hint="eastAsia"/>
          <w:lang w:eastAsia="zh-CN"/>
        </w:rPr>
        <w:t>）</w:t>
      </w:r>
      <w:r>
        <w:rPr>
          <w:rFonts w:hint="eastAsia"/>
        </w:rPr>
        <w:t>全民</w:t>
      </w:r>
      <w:r>
        <w:t>学习终身</w:t>
      </w:r>
      <w:r>
        <w:rPr>
          <w:rFonts w:hint="eastAsia"/>
        </w:rPr>
        <w:t>化：从</w:t>
      </w:r>
      <w:r>
        <w:rPr>
          <w:rFonts w:hint="eastAsia"/>
          <w:lang w:eastAsia="zh-CN"/>
        </w:rPr>
        <w:t>“</w:t>
      </w:r>
      <w:r>
        <w:rPr>
          <w:rFonts w:hint="eastAsia"/>
        </w:rPr>
        <w:t>阶段学习</w:t>
      </w:r>
      <w:r>
        <w:rPr>
          <w:rFonts w:hint="eastAsia"/>
          <w:lang w:eastAsia="zh-CN"/>
        </w:rPr>
        <w:t>”</w:t>
      </w:r>
      <w:r>
        <w:rPr>
          <w:rFonts w:hint="eastAsia"/>
        </w:rPr>
        <w:t>到</w:t>
      </w:r>
      <w:r>
        <w:rPr>
          <w:rFonts w:hint="eastAsia"/>
          <w:lang w:eastAsia="zh-CN"/>
        </w:rPr>
        <w:t>“</w:t>
      </w:r>
      <w:r>
        <w:rPr>
          <w:rFonts w:hint="eastAsia"/>
        </w:rPr>
        <w:t>终身发展</w:t>
      </w:r>
      <w:r>
        <w:rPr>
          <w:rFonts w:hint="eastAsia"/>
          <w:lang w:eastAsia="zh-CN"/>
        </w:rPr>
        <w:t>”</w:t>
      </w:r>
      <w:bookmarkEnd w:id="54"/>
    </w:p>
    <w:p w14:paraId="681E1D09">
      <w:pPr>
        <w:pStyle w:val="4"/>
        <w:bidi w:val="0"/>
        <w:rPr>
          <w:rFonts w:hint="eastAsia"/>
        </w:rPr>
      </w:pPr>
      <w:bookmarkStart w:id="55" w:name="_Toc11524"/>
      <w:r>
        <w:rPr>
          <w:rFonts w:hint="eastAsia"/>
        </w:rPr>
        <w:t>案例分析</w:t>
      </w:r>
      <w:bookmarkEnd w:id="55"/>
    </w:p>
    <w:p w14:paraId="13828E67">
      <w:pPr>
        <w:pStyle w:val="5"/>
        <w:bidi w:val="0"/>
        <w:rPr>
          <w:rFonts w:hint="eastAsia"/>
        </w:rPr>
      </w:pPr>
      <w:r>
        <w:rPr>
          <w:rFonts w:hint="eastAsia"/>
        </w:rPr>
        <w:t>案例1：湖北开放大学</w:t>
      </w:r>
      <w:r>
        <w:rPr>
          <w:rFonts w:hint="eastAsia"/>
          <w:lang w:eastAsia="zh-CN"/>
        </w:rPr>
        <w:t>“</w:t>
      </w:r>
      <w:r>
        <w:rPr>
          <w:rFonts w:hint="eastAsia"/>
        </w:rPr>
        <w:t>荆楚学习广场</w:t>
      </w:r>
      <w:r>
        <w:rPr>
          <w:rFonts w:hint="eastAsia"/>
          <w:lang w:eastAsia="zh-CN"/>
        </w:rPr>
        <w:t>”</w:t>
      </w:r>
      <w:r>
        <w:rPr>
          <w:rFonts w:hint="eastAsia"/>
        </w:rPr>
        <w:t xml:space="preserve"> 终身教育平台</w:t>
      </w:r>
    </w:p>
    <w:p w14:paraId="3120C699">
      <w:pPr>
        <w:pStyle w:val="5"/>
        <w:bidi w:val="0"/>
        <w:rPr>
          <w:rFonts w:hint="eastAsia" w:eastAsia="方正楷体GBK"/>
          <w:lang w:eastAsia="zh-CN"/>
        </w:rPr>
      </w:pPr>
      <w:r>
        <w:rPr>
          <w:rFonts w:hint="eastAsia"/>
        </w:rPr>
        <w:t>案例2：深圳十方融海科技有限公司</w:t>
      </w:r>
      <w:r>
        <w:rPr>
          <w:rFonts w:hint="eastAsia"/>
          <w:lang w:eastAsia="zh-CN"/>
        </w:rPr>
        <w:t>“</w:t>
      </w:r>
      <w:r>
        <w:rPr>
          <w:rFonts w:hint="eastAsia"/>
        </w:rPr>
        <w:t>女娲云教室</w:t>
      </w:r>
      <w:r>
        <w:rPr>
          <w:rFonts w:hint="eastAsia"/>
          <w:lang w:eastAsia="zh-CN"/>
        </w:rPr>
        <w:t>”</w:t>
      </w:r>
    </w:p>
    <w:p w14:paraId="0FAB1000">
      <w:pPr>
        <w:pStyle w:val="4"/>
        <w:bidi w:val="0"/>
        <w:rPr>
          <w:rFonts w:hint="eastAsia"/>
        </w:rPr>
      </w:pPr>
      <w:bookmarkStart w:id="56" w:name="_Toc1503"/>
      <w:r>
        <w:rPr>
          <w:rFonts w:hint="eastAsia"/>
        </w:rPr>
        <w:t>经验总结</w:t>
      </w:r>
      <w:bookmarkEnd w:id="56"/>
    </w:p>
    <w:p w14:paraId="6CE4300E">
      <w:pPr>
        <w:pStyle w:val="3"/>
        <w:bidi w:val="0"/>
        <w:rPr>
          <w:rFonts w:hint="eastAsia"/>
        </w:rPr>
      </w:pPr>
      <w:bookmarkStart w:id="57" w:name="_Toc5043"/>
      <w:r>
        <w:rPr>
          <w:rFonts w:hint="eastAsia"/>
          <w:lang w:eastAsia="zh-CN"/>
        </w:rPr>
        <w:t>（</w:t>
      </w:r>
      <w:r>
        <w:rPr>
          <w:rFonts w:hint="eastAsia"/>
          <w:lang w:val="en-US" w:eastAsia="zh-CN"/>
        </w:rPr>
        <w:t>七</w:t>
      </w:r>
      <w:r>
        <w:rPr>
          <w:rFonts w:hint="eastAsia"/>
          <w:lang w:eastAsia="zh-CN"/>
        </w:rPr>
        <w:t>）</w:t>
      </w:r>
      <w:r>
        <w:rPr>
          <w:rFonts w:hint="eastAsia"/>
        </w:rPr>
        <w:t>……</w:t>
      </w:r>
      <w:bookmarkEnd w:id="57"/>
    </w:p>
    <w:p w14:paraId="36E45A06">
      <w:pPr>
        <w:widowControl/>
        <w:ind w:firstLine="480"/>
        <w:jc w:val="left"/>
      </w:pPr>
      <w:r>
        <mc:AlternateContent>
          <mc:Choice Requires="wps">
            <w:drawing>
              <wp:anchor distT="0" distB="0" distL="114300" distR="114300" simplePos="0" relativeHeight="251661312" behindDoc="0" locked="0" layoutInCell="1" allowOverlap="1">
                <wp:simplePos x="0" y="0"/>
                <wp:positionH relativeFrom="column">
                  <wp:posOffset>-575945</wp:posOffset>
                </wp:positionH>
                <wp:positionV relativeFrom="paragraph">
                  <wp:posOffset>4150360</wp:posOffset>
                </wp:positionV>
                <wp:extent cx="6379210" cy="196786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379210" cy="1967865"/>
                        </a:xfrm>
                        <a:prstGeom prst="rect">
                          <a:avLst/>
                        </a:prstGeom>
                        <a:noFill/>
                        <a:ln w="6350">
                          <a:noFill/>
                        </a:ln>
                      </wps:spPr>
                      <wps:txbx>
                        <w:txbxContent>
                          <w:p w14:paraId="66547300">
                            <w:pPr>
                              <w:ind w:left="0" w:leftChars="0" w:firstLine="0" w:firstLineChars="0"/>
                              <w:jc w:val="right"/>
                              <w:rPr>
                                <w:rFonts w:hint="eastAsia" w:ascii="微软雅黑" w:hAnsi="微软雅黑" w:eastAsia="微软雅黑"/>
                                <w:b/>
                                <w:bCs/>
                                <w:color w:val="000000" w:themeColor="text1"/>
                                <w:sz w:val="72"/>
                                <w:szCs w:val="72"/>
                                <w14:textFill>
                                  <w14:solidFill>
                                    <w14:schemeClr w14:val="tx1"/>
                                  </w14:solidFill>
                                </w14:textFill>
                              </w:rPr>
                            </w:pPr>
                            <w:r>
                              <w:rPr>
                                <w:rFonts w:hint="eastAsia" w:ascii="微软雅黑" w:hAnsi="微软雅黑" w:eastAsia="微软雅黑"/>
                                <w:b/>
                                <w:bCs/>
                                <w:color w:val="000000" w:themeColor="text1"/>
                                <w:sz w:val="72"/>
                                <w:szCs w:val="72"/>
                                <w14:textFill>
                                  <w14:solidFill>
                                    <w14:schemeClr w14:val="tx1"/>
                                  </w14:solidFill>
                                </w14:textFill>
                              </w:rPr>
                              <w:t>人工智能在教育领域的应用研究与实践探索</w:t>
                            </w:r>
                          </w:p>
                        </w:txbxContent>
                      </wps:txbx>
                      <wps:bodyPr rot="0" spcFirstLastPara="0" vertOverflow="overflow" horzOverflow="overflow" vert="horz" wrap="square" lIns="9000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35pt;margin-top:326.8pt;height:154.95pt;width:502.3pt;z-index:251661312;mso-width-relative:page;mso-height-relative:page;" filled="f" stroked="f" coordsize="21600,21600" o:gfxdata="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&#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ML8f1wAAAAsBAAAPAAAAAAAAAAEAIAAAACIAAABk&#10;cnMvZG93bnJldi54bWxQSwECFAAUAAAACACHTuJAV5D7k0ACAABnBAAADgAAAAAAAAABACAAAAAm&#10;AQAAZHJzL2Uyb0RvYy54bWxQSwUGAAAAAAYABgBZAQAA2AUAAAAA&#10;">
                <v:fill on="f" focussize="0,0"/>
                <v:stroke on="f" weight="0.5pt"/>
                <v:imagedata o:title=""/>
                <o:lock v:ext="edit" aspectratio="f"/>
                <v:textbox inset="2.5mm,1.27mm,2.54mm,1.27mm">
                  <w:txbxContent>
                    <w:p w14:paraId="66547300">
                      <w:pPr>
                        <w:ind w:left="0" w:leftChars="0" w:firstLine="0" w:firstLineChars="0"/>
                        <w:jc w:val="right"/>
                        <w:rPr>
                          <w:rFonts w:hint="eastAsia" w:ascii="微软雅黑" w:hAnsi="微软雅黑" w:eastAsia="微软雅黑"/>
                          <w:b/>
                          <w:bCs/>
                          <w:color w:val="000000" w:themeColor="text1"/>
                          <w:sz w:val="72"/>
                          <w:szCs w:val="72"/>
                          <w14:textFill>
                            <w14:solidFill>
                              <w14:schemeClr w14:val="tx1"/>
                            </w14:solidFill>
                          </w14:textFill>
                        </w:rPr>
                      </w:pPr>
                      <w:r>
                        <w:rPr>
                          <w:rFonts w:hint="eastAsia" w:ascii="微软雅黑" w:hAnsi="微软雅黑" w:eastAsia="微软雅黑"/>
                          <w:b/>
                          <w:bCs/>
                          <w:color w:val="000000" w:themeColor="text1"/>
                          <w:sz w:val="72"/>
                          <w:szCs w:val="72"/>
                          <w14:textFill>
                            <w14:solidFill>
                              <w14:schemeClr w14:val="tx1"/>
                            </w14:solidFill>
                          </w14:textFill>
                        </w:rPr>
                        <w:t>人工智能在教育领域的应用研究与实践探索</w:t>
                      </w:r>
                    </w:p>
                  </w:txbxContent>
                </v:textbox>
              </v:shape>
            </w:pict>
          </mc:Fallback>
        </mc:AlternateContent>
      </w:r>
      <w:r>
        <w:br w:type="page"/>
      </w:r>
    </w:p>
    <w:p w14:paraId="70C58C09">
      <w:pPr>
        <w:pStyle w:val="27"/>
        <w:numPr>
          <w:numId w:val="0"/>
        </w:numPr>
        <w:ind w:firstLine="480" w:firstLineChars="0"/>
        <w:jc w:val="center"/>
        <w:rPr>
          <w:rFonts w:hint="eastAsia" w:ascii="微软雅黑" w:hAnsi="微软雅黑" w:eastAsia="微软雅黑" w:cstheme="majorBidi"/>
          <w:b/>
          <w:bCs/>
          <w:color w:val="auto"/>
          <w:kern w:val="0"/>
          <w:sz w:val="44"/>
          <w:szCs w:val="44"/>
          <w:lang w:val="en-US" w:eastAsia="zh-CN" w:bidi="ar"/>
        </w:rPr>
      </w:pPr>
      <w:r>
        <w:rPr>
          <w:rFonts w:hint="eastAsia" w:ascii="微软雅黑" w:hAnsi="微软雅黑" w:eastAsia="微软雅黑" w:cstheme="majorBidi"/>
          <w:b/>
          <w:bCs/>
          <w:color w:val="auto"/>
          <w:kern w:val="0"/>
          <w:sz w:val="44"/>
          <w:szCs w:val="44"/>
          <w:lang w:val="en-US" w:eastAsia="zh-CN" w:bidi="ar"/>
        </w:rPr>
        <w:t>二、</w:t>
      </w:r>
    </w:p>
    <w:sdt>
      <w:sdtPr>
        <w:rPr>
          <w:rFonts w:ascii="Arial" w:hAnsi="Arial" w:eastAsia="仿宋" w:cs="Times New Roman (正文 CS 字体)"/>
          <w:b w:val="0"/>
          <w:bCs w:val="0"/>
          <w:color w:val="auto"/>
          <w:kern w:val="2"/>
          <w:sz w:val="24"/>
          <w:szCs w:val="22"/>
          <w:lang w:val="zh-CN"/>
        </w:rPr>
        <w:id w:val="-1145581616"/>
        <w:docPartObj>
          <w:docPartGallery w:val="Table of Contents"/>
          <w:docPartUnique/>
        </w:docPartObj>
      </w:sdtPr>
      <w:sdtEndPr>
        <w:rPr>
          <w:rFonts w:ascii="Arial" w:hAnsi="Arial" w:eastAsia="宋体" w:cs="Times New Roman (正文 CS 字体)"/>
          <w:b w:val="0"/>
          <w:bCs w:val="0"/>
          <w:color w:val="auto"/>
          <w:kern w:val="2"/>
          <w:sz w:val="24"/>
          <w:szCs w:val="22"/>
          <w:lang w:val="en-US"/>
        </w:rPr>
      </w:sdtEndPr>
      <w:sdtContent>
        <w:p w14:paraId="3AE0A3E6">
          <w:pPr>
            <w:pStyle w:val="27"/>
            <w:numPr>
              <w:numId w:val="0"/>
            </w:numPr>
            <w:ind w:firstLine="480" w:firstLineChars="0"/>
            <w:jc w:val="center"/>
            <w:rPr>
              <w:rFonts w:ascii="微软雅黑" w:hAnsi="微软雅黑" w:eastAsia="微软雅黑"/>
              <w:color w:val="auto"/>
              <w:sz w:val="44"/>
              <w:szCs w:val="44"/>
            </w:rPr>
          </w:pPr>
          <w:r>
            <w:rPr>
              <w:rFonts w:hint="eastAsia" w:ascii="微软雅黑" w:hAnsi="微软雅黑" w:eastAsia="微软雅黑"/>
              <w:color w:val="auto"/>
              <w:sz w:val="44"/>
              <w:szCs w:val="44"/>
              <w:lang w:val="zh-CN"/>
            </w:rPr>
            <w:t>目录</w:t>
          </w:r>
        </w:p>
        <w:p w14:paraId="75188AE6">
          <w:pPr>
            <w:pStyle w:val="9"/>
          </w:pPr>
          <w:r>
            <w:fldChar w:fldCharType="begin"/>
          </w:r>
          <w:r>
            <w:instrText xml:space="preserve">TOC \o "1-4" \h \u </w:instrText>
          </w:r>
          <w:r>
            <w:fldChar w:fldCharType="separate"/>
          </w:r>
          <w:r>
            <w:fldChar w:fldCharType="begin"/>
          </w:r>
          <w:r>
            <w:instrText xml:space="preserve"> HYPERLINK \l _Toc31644 </w:instrText>
          </w:r>
          <w:r>
            <w:fldChar w:fldCharType="separate"/>
          </w:r>
          <w:r>
            <w:rPr>
              <w:rFonts w:hint="eastAsia"/>
            </w:rPr>
            <w:t>一、 推进人工智能教育应用</w:t>
          </w:r>
          <w:r>
            <w:rPr>
              <w:rFonts w:hint="eastAsia"/>
              <w:lang w:val="en-US" w:eastAsia="zh-CN"/>
            </w:rPr>
            <w:t>的对策建议</w:t>
          </w:r>
          <w:r>
            <w:tab/>
          </w:r>
          <w:r>
            <w:fldChar w:fldCharType="begin"/>
          </w:r>
          <w:r>
            <w:instrText xml:space="preserve"> PAGEREF _Toc31644 \h </w:instrText>
          </w:r>
          <w:r>
            <w:fldChar w:fldCharType="separate"/>
          </w:r>
          <w:r>
            <w:t>3</w:t>
          </w:r>
          <w:r>
            <w:fldChar w:fldCharType="end"/>
          </w:r>
          <w:r>
            <w:fldChar w:fldCharType="end"/>
          </w:r>
        </w:p>
        <w:p w14:paraId="2905DBF3">
          <w:pPr>
            <w:pStyle w:val="12"/>
          </w:pPr>
          <w:r>
            <w:fldChar w:fldCharType="begin"/>
          </w:r>
          <w:r>
            <w:instrText xml:space="preserve"> HYPERLINK \l _Toc31841 </w:instrText>
          </w:r>
          <w:r>
            <w:fldChar w:fldCharType="separate"/>
          </w:r>
          <w:r>
            <w:rPr>
              <w:rFonts w:hint="eastAsia"/>
            </w:rPr>
            <w:t>1． 强化顶层设计并制定</w:t>
          </w:r>
          <w:r>
            <w:rPr>
              <w:rFonts w:hint="eastAsia"/>
              <w:lang w:val="en-US" w:eastAsia="zh-CN"/>
            </w:rPr>
            <w:t>政策</w:t>
          </w:r>
          <w:r>
            <w:rPr>
              <w:rFonts w:hint="eastAsia"/>
            </w:rPr>
            <w:t>协同</w:t>
          </w:r>
          <w:r>
            <w:rPr>
              <w:rFonts w:hint="eastAsia"/>
              <w:lang w:val="en-US" w:eastAsia="zh-CN"/>
            </w:rPr>
            <w:t>的</w:t>
          </w:r>
          <w:r>
            <w:rPr>
              <w:rFonts w:hint="eastAsia"/>
            </w:rPr>
            <w:t>专项计划</w:t>
          </w:r>
          <w:r>
            <w:tab/>
          </w:r>
          <w:r>
            <w:fldChar w:fldCharType="begin"/>
          </w:r>
          <w:r>
            <w:instrText xml:space="preserve"> PAGEREF _Toc31841 \h </w:instrText>
          </w:r>
          <w:r>
            <w:fldChar w:fldCharType="separate"/>
          </w:r>
          <w:r>
            <w:t>3</w:t>
          </w:r>
          <w:r>
            <w:fldChar w:fldCharType="end"/>
          </w:r>
          <w:r>
            <w:fldChar w:fldCharType="end"/>
          </w:r>
        </w:p>
        <w:p w14:paraId="1942E377">
          <w:pPr>
            <w:pStyle w:val="10"/>
            <w:tabs>
              <w:tab w:val="right" w:leader="dot" w:pos="8306"/>
            </w:tabs>
          </w:pPr>
          <w:r>
            <w:fldChar w:fldCharType="begin"/>
          </w:r>
          <w:r>
            <w:instrText xml:space="preserve"> HYPERLINK \l _Toc11253 </w:instrText>
          </w:r>
          <w:r>
            <w:fldChar w:fldCharType="separate"/>
          </w:r>
          <w:r>
            <w:rPr>
              <w:rFonts w:hint="eastAsia"/>
            </w:rPr>
            <w:t>明确发展阶段目标与重点任务</w:t>
          </w:r>
          <w:r>
            <w:tab/>
          </w:r>
          <w:r>
            <w:fldChar w:fldCharType="begin"/>
          </w:r>
          <w:r>
            <w:instrText xml:space="preserve"> PAGEREF _Toc11253 \h </w:instrText>
          </w:r>
          <w:r>
            <w:fldChar w:fldCharType="separate"/>
          </w:r>
          <w:r>
            <w:t>3</w:t>
          </w:r>
          <w:r>
            <w:fldChar w:fldCharType="end"/>
          </w:r>
          <w:r>
            <w:fldChar w:fldCharType="end"/>
          </w:r>
        </w:p>
        <w:p w14:paraId="50E75A02">
          <w:pPr>
            <w:pStyle w:val="10"/>
            <w:tabs>
              <w:tab w:val="right" w:leader="dot" w:pos="8306"/>
            </w:tabs>
          </w:pPr>
          <w:r>
            <w:fldChar w:fldCharType="begin"/>
          </w:r>
          <w:r>
            <w:instrText xml:space="preserve"> HYPERLINK \l _Toc29438 </w:instrText>
          </w:r>
          <w:r>
            <w:fldChar w:fldCharType="separate"/>
          </w:r>
          <w:r>
            <w:rPr>
              <w:rFonts w:hint="eastAsia"/>
            </w:rPr>
            <w:t>加大财政支持并引导社会资本投入</w:t>
          </w:r>
          <w:r>
            <w:tab/>
          </w:r>
          <w:r>
            <w:fldChar w:fldCharType="begin"/>
          </w:r>
          <w:r>
            <w:instrText xml:space="preserve"> PAGEREF _Toc29438 \h </w:instrText>
          </w:r>
          <w:r>
            <w:fldChar w:fldCharType="separate"/>
          </w:r>
          <w:r>
            <w:t>5</w:t>
          </w:r>
          <w:r>
            <w:fldChar w:fldCharType="end"/>
          </w:r>
          <w:r>
            <w:fldChar w:fldCharType="end"/>
          </w:r>
        </w:p>
        <w:p w14:paraId="444BFEE6">
          <w:pPr>
            <w:pStyle w:val="12"/>
          </w:pPr>
          <w:r>
            <w:fldChar w:fldCharType="begin"/>
          </w:r>
          <w:r>
            <w:instrText xml:space="preserve"> HYPERLINK \l _Toc6727 </w:instrText>
          </w:r>
          <w:r>
            <w:fldChar w:fldCharType="separate"/>
          </w:r>
          <w:r>
            <w:rPr>
              <w:rFonts w:hint="eastAsia"/>
            </w:rPr>
            <w:t>2． 推动技术与教育深度融合的创新实践</w:t>
          </w:r>
          <w:r>
            <w:tab/>
          </w:r>
          <w:r>
            <w:fldChar w:fldCharType="begin"/>
          </w:r>
          <w:r>
            <w:instrText xml:space="preserve"> PAGEREF _Toc6727 \h </w:instrText>
          </w:r>
          <w:r>
            <w:fldChar w:fldCharType="separate"/>
          </w:r>
          <w:r>
            <w:t>5</w:t>
          </w:r>
          <w:r>
            <w:fldChar w:fldCharType="end"/>
          </w:r>
          <w:r>
            <w:fldChar w:fldCharType="end"/>
          </w:r>
        </w:p>
        <w:p w14:paraId="173E6236">
          <w:pPr>
            <w:pStyle w:val="10"/>
            <w:tabs>
              <w:tab w:val="right" w:leader="dot" w:pos="8306"/>
            </w:tabs>
          </w:pPr>
          <w:r>
            <w:fldChar w:fldCharType="begin"/>
          </w:r>
          <w:r>
            <w:instrText xml:space="preserve"> HYPERLINK \l _Toc30254 </w:instrText>
          </w:r>
          <w:r>
            <w:fldChar w:fldCharType="separate"/>
          </w:r>
          <w:r>
            <w:rPr>
              <w:rFonts w:hint="eastAsia"/>
            </w:rPr>
            <w:t>开展校企联合的技术攻关与应用示范</w:t>
          </w:r>
          <w:r>
            <w:tab/>
          </w:r>
          <w:r>
            <w:fldChar w:fldCharType="begin"/>
          </w:r>
          <w:r>
            <w:instrText xml:space="preserve"> PAGEREF _Toc30254 \h </w:instrText>
          </w:r>
          <w:r>
            <w:fldChar w:fldCharType="separate"/>
          </w:r>
          <w:r>
            <w:t>5</w:t>
          </w:r>
          <w:r>
            <w:fldChar w:fldCharType="end"/>
          </w:r>
          <w:r>
            <w:fldChar w:fldCharType="end"/>
          </w:r>
        </w:p>
        <w:p w14:paraId="4BE226BD">
          <w:pPr>
            <w:pStyle w:val="10"/>
            <w:tabs>
              <w:tab w:val="right" w:leader="dot" w:pos="8306"/>
            </w:tabs>
          </w:pPr>
          <w:r>
            <w:fldChar w:fldCharType="begin"/>
          </w:r>
          <w:r>
            <w:instrText xml:space="preserve"> HYPERLINK \l _Toc22629 </w:instrText>
          </w:r>
          <w:r>
            <w:fldChar w:fldCharType="separate"/>
          </w:r>
          <w:r>
            <w:rPr>
              <w:rFonts w:hint="eastAsia"/>
              <w:lang w:val="en-US" w:eastAsia="zh-CN"/>
            </w:rPr>
            <w:t>提升教职人员</w:t>
          </w:r>
          <w:r>
            <w:rPr>
              <w:rFonts w:hint="eastAsia"/>
            </w:rPr>
            <w:t>人工智能素养</w:t>
          </w:r>
          <w:r>
            <w:tab/>
          </w:r>
          <w:r>
            <w:fldChar w:fldCharType="begin"/>
          </w:r>
          <w:r>
            <w:instrText xml:space="preserve"> PAGEREF _Toc22629 \h </w:instrText>
          </w:r>
          <w:r>
            <w:fldChar w:fldCharType="separate"/>
          </w:r>
          <w:r>
            <w:t>5</w:t>
          </w:r>
          <w:r>
            <w:fldChar w:fldCharType="end"/>
          </w:r>
          <w:r>
            <w:fldChar w:fldCharType="end"/>
          </w:r>
        </w:p>
        <w:p w14:paraId="57CBD97B">
          <w:pPr>
            <w:pStyle w:val="12"/>
          </w:pPr>
          <w:r>
            <w:fldChar w:fldCharType="begin"/>
          </w:r>
          <w:r>
            <w:instrText xml:space="preserve"> HYPERLINK \l _Toc20075 </w:instrText>
          </w:r>
          <w:r>
            <w:fldChar w:fldCharType="separate"/>
          </w:r>
          <w:r>
            <w:rPr>
              <w:rFonts w:hint="eastAsia"/>
            </w:rPr>
            <w:t xml:space="preserve">3． </w:t>
          </w:r>
          <w:r>
            <w:rPr>
              <w:rFonts w:hint="eastAsia"/>
              <w:lang w:val="en-US" w:eastAsia="zh-CN"/>
            </w:rPr>
            <w:t>构建行业规范与风险治理框架</w:t>
          </w:r>
          <w:r>
            <w:tab/>
          </w:r>
          <w:r>
            <w:fldChar w:fldCharType="begin"/>
          </w:r>
          <w:r>
            <w:instrText xml:space="preserve"> PAGEREF _Toc20075 \h </w:instrText>
          </w:r>
          <w:r>
            <w:fldChar w:fldCharType="separate"/>
          </w:r>
          <w:r>
            <w:t>5</w:t>
          </w:r>
          <w:r>
            <w:fldChar w:fldCharType="end"/>
          </w:r>
          <w:r>
            <w:fldChar w:fldCharType="end"/>
          </w:r>
        </w:p>
        <w:p w14:paraId="76D05A60">
          <w:pPr>
            <w:pStyle w:val="10"/>
            <w:tabs>
              <w:tab w:val="right" w:leader="dot" w:pos="8306"/>
            </w:tabs>
          </w:pPr>
          <w:r>
            <w:fldChar w:fldCharType="begin"/>
          </w:r>
          <w:r>
            <w:instrText xml:space="preserve"> HYPERLINK \l _Toc23308 </w:instrText>
          </w:r>
          <w:r>
            <w:fldChar w:fldCharType="separate"/>
          </w:r>
          <w:r>
            <w:rPr>
              <w:rFonts w:hint="eastAsia"/>
            </w:rPr>
            <w:t>建立人工智能教育</w:t>
          </w:r>
          <w:r>
            <w:rPr>
              <w:rFonts w:hint="eastAsia"/>
              <w:lang w:val="en-US" w:eastAsia="zh-CN"/>
            </w:rPr>
            <w:t>行业</w:t>
          </w:r>
          <w:r>
            <w:rPr>
              <w:rFonts w:hint="eastAsia"/>
            </w:rPr>
            <w:t>应用审查机制</w:t>
          </w:r>
          <w:r>
            <w:tab/>
          </w:r>
          <w:r>
            <w:fldChar w:fldCharType="begin"/>
          </w:r>
          <w:r>
            <w:instrText xml:space="preserve"> PAGEREF _Toc23308 \h </w:instrText>
          </w:r>
          <w:r>
            <w:fldChar w:fldCharType="separate"/>
          </w:r>
          <w:r>
            <w:t>5</w:t>
          </w:r>
          <w:r>
            <w:fldChar w:fldCharType="end"/>
          </w:r>
          <w:r>
            <w:fldChar w:fldCharType="end"/>
          </w:r>
        </w:p>
        <w:p w14:paraId="752D4570">
          <w:pPr>
            <w:pStyle w:val="10"/>
            <w:tabs>
              <w:tab w:val="right" w:leader="dot" w:pos="8306"/>
            </w:tabs>
          </w:pPr>
          <w:r>
            <w:fldChar w:fldCharType="begin"/>
          </w:r>
          <w:r>
            <w:instrText xml:space="preserve"> HYPERLINK \l _Toc23294 </w:instrText>
          </w:r>
          <w:r>
            <w:fldChar w:fldCharType="separate"/>
          </w:r>
          <w:r>
            <w:rPr>
              <w:rFonts w:hint="eastAsia"/>
            </w:rPr>
            <w:t>将人工智能伦理教育纳入国民教育体系</w:t>
          </w:r>
          <w:r>
            <w:tab/>
          </w:r>
          <w:r>
            <w:fldChar w:fldCharType="begin"/>
          </w:r>
          <w:r>
            <w:instrText xml:space="preserve"> PAGEREF _Toc23294 \h </w:instrText>
          </w:r>
          <w:r>
            <w:fldChar w:fldCharType="separate"/>
          </w:r>
          <w:r>
            <w:t>5</w:t>
          </w:r>
          <w:r>
            <w:fldChar w:fldCharType="end"/>
          </w:r>
          <w:r>
            <w:fldChar w:fldCharType="end"/>
          </w:r>
        </w:p>
        <w:p w14:paraId="56FC8CD0">
          <w:r>
            <w:fldChar w:fldCharType="end"/>
          </w:r>
        </w:p>
      </w:sdtContent>
    </w:sdt>
    <w:p w14:paraId="2A0FDAF4">
      <w:pPr>
        <w:widowControl/>
        <w:spacing w:line="240" w:lineRule="auto"/>
        <w:ind w:firstLine="0" w:firstLineChars="0"/>
        <w:jc w:val="left"/>
        <w:rPr>
          <w:rFonts w:ascii="Arial Black" w:hAnsi="Arial Black" w:eastAsia="黑体"/>
          <w:b/>
          <w:bCs/>
          <w:kern w:val="44"/>
          <w:sz w:val="32"/>
          <w:szCs w:val="44"/>
        </w:rPr>
      </w:pPr>
      <w:r>
        <w:br w:type="page"/>
      </w:r>
    </w:p>
    <w:p w14:paraId="163C63C5">
      <w:pPr>
        <w:pStyle w:val="2"/>
        <w:numPr>
          <w:numId w:val="0"/>
        </w:numPr>
        <w:ind w:leftChars="0"/>
        <w:rPr>
          <w:rFonts w:hint="eastAsia"/>
        </w:rPr>
      </w:pPr>
      <w:bookmarkStart w:id="58" w:name="_Toc5882"/>
      <w:r>
        <w:rPr>
          <w:rFonts w:hint="eastAsia"/>
          <w:lang w:val="en-US" w:eastAsia="zh-CN"/>
        </w:rPr>
        <w:t>四、</w:t>
      </w:r>
      <w:r>
        <w:rPr>
          <w:rFonts w:hint="eastAsia"/>
        </w:rPr>
        <w:t>推进人工智能教育应用</w:t>
      </w:r>
      <w:r>
        <w:rPr>
          <w:rFonts w:hint="eastAsia"/>
          <w:lang w:val="en-US" w:eastAsia="zh-CN"/>
        </w:rPr>
        <w:t>的对策建议</w:t>
      </w:r>
      <w:bookmarkEnd w:id="58"/>
    </w:p>
    <w:p w14:paraId="3CB627C4">
      <w:pPr>
        <w:pStyle w:val="3"/>
        <w:bidi w:val="0"/>
        <w:rPr>
          <w:rFonts w:hint="eastAsia"/>
          <w:lang w:val="en-US" w:eastAsia="zh-CN"/>
        </w:rPr>
      </w:pPr>
      <w:bookmarkStart w:id="59" w:name="_Toc25873"/>
      <w:r>
        <w:rPr>
          <w:rFonts w:hint="eastAsia"/>
          <w:lang w:val="en-US" w:eastAsia="zh-CN"/>
        </w:rPr>
        <w:t>（一）针对数据风险的对策建议</w:t>
      </w:r>
      <w:bookmarkEnd w:id="59"/>
    </w:p>
    <w:p w14:paraId="29F4ABC6">
      <w:pPr>
        <w:bidi w:val="0"/>
        <w:rPr>
          <w:rFonts w:hint="eastAsia"/>
          <w:lang w:val="en-US" w:eastAsia="zh-CN"/>
        </w:rPr>
      </w:pPr>
      <w:r>
        <w:rPr>
          <w:rFonts w:hint="eastAsia"/>
          <w:lang w:val="en-US" w:eastAsia="zh-CN"/>
        </w:rPr>
        <w:t>（1）推行数据分类分级管理</w:t>
      </w:r>
    </w:p>
    <w:p w14:paraId="09DAE523">
      <w:pPr>
        <w:bidi w:val="0"/>
        <w:rPr>
          <w:rFonts w:hint="eastAsia"/>
          <w:lang w:val="en-US" w:eastAsia="zh-CN"/>
        </w:rPr>
      </w:pPr>
      <w:r>
        <w:rPr>
          <w:rFonts w:hint="eastAsia"/>
          <w:lang w:val="en-US" w:eastAsia="zh-CN"/>
        </w:rPr>
        <w:t>（2）建设安全的数据中台</w:t>
      </w:r>
    </w:p>
    <w:p w14:paraId="3E1C5A3C">
      <w:pPr>
        <w:bidi w:val="0"/>
        <w:rPr>
          <w:rFonts w:hint="eastAsia"/>
          <w:lang w:val="en-US" w:eastAsia="zh-CN"/>
        </w:rPr>
      </w:pPr>
      <w:r>
        <w:rPr>
          <w:rFonts w:hint="eastAsia"/>
          <w:lang w:val="en-US" w:eastAsia="zh-CN"/>
        </w:rPr>
        <w:t>（3）开展常态化安全演练与评估</w:t>
      </w:r>
    </w:p>
    <w:p w14:paraId="71C357D6">
      <w:pPr>
        <w:bidi w:val="0"/>
        <w:rPr>
          <w:rFonts w:hint="eastAsia"/>
          <w:lang w:val="en-US" w:eastAsia="zh-CN"/>
        </w:rPr>
      </w:pPr>
      <w:r>
        <w:rPr>
          <w:rFonts w:hint="eastAsia"/>
          <w:lang w:val="en-US" w:eastAsia="zh-CN"/>
        </w:rPr>
        <w:t>详细分析过程：</w:t>
      </w:r>
    </w:p>
    <w:p w14:paraId="2C2BD35C">
      <w:pPr>
        <w:bidi w:val="0"/>
        <w:rPr>
          <w:rFonts w:hint="eastAsia"/>
          <w:lang w:val="en-US" w:eastAsia="zh-CN"/>
        </w:rPr>
      </w:pPr>
      <w:r>
        <w:rPr>
          <w:rFonts w:hint="eastAsia"/>
          <w:lang w:val="en-US" w:eastAsia="zh-CN"/>
        </w:rPr>
        <w:t>在教育领域推进人工智能应用的过程中，面临着日益复杂的数据治理挑战。当前教育数据生态涵盖从基础学籍信息到课堂行为数据、在线学习轨迹等多维数据类型，这种数据多样性给教育创新带来机遇的同时，也引发了多重治理难题。</w:t>
      </w:r>
    </w:p>
    <w:p w14:paraId="54A6CD6C">
      <w:pPr>
        <w:bidi w:val="0"/>
        <w:rPr>
          <w:rFonts w:hint="eastAsia"/>
          <w:lang w:val="en-US" w:eastAsia="zh-CN"/>
        </w:rPr>
      </w:pPr>
      <w:r>
        <w:rPr>
          <w:rFonts w:hint="eastAsia"/>
          <w:lang w:val="en-US" w:eastAsia="zh-CN"/>
        </w:rPr>
        <w:t>首要问题在于数据利用与合规之间的平衡困境。人工智能技术的训练优化需要大规模数据支撑，而《个人信息保护法》等法规对教育敏感信息的采集使用设置了严格界限，使得数据价值释放与隐私保护之间形成张力。更为深层的是数据永久化风险，学生数据特征一旦被AI模型学习，即便后续删除原始记录，仍可能永久留存于神经网络参数中，形成难以消除的"数字烙印"。</w:t>
      </w:r>
    </w:p>
    <w:p w14:paraId="745B3F8A">
      <w:pPr>
        <w:bidi w:val="0"/>
        <w:rPr>
          <w:rFonts w:hint="eastAsia"/>
          <w:lang w:val="en-US" w:eastAsia="zh-CN"/>
        </w:rPr>
      </w:pPr>
      <w:r>
        <w:rPr>
          <w:rFonts w:hint="eastAsia"/>
          <w:lang w:val="en-US" w:eastAsia="zh-CN"/>
        </w:rPr>
        <w:t>针对这些挑战，建议构建系统化的数据治理体系。首先应当建立科学的数据分类分级管理制度，制定教育领域专门的数据管理指南，根据数据敏感程度实施差异化管控策略。对核心隐私数据，需采用国密算法加密并实施严格的访问控制。</w:t>
      </w:r>
    </w:p>
    <w:p w14:paraId="1176DBA1">
      <w:pPr>
        <w:bidi w:val="0"/>
        <w:rPr>
          <w:rFonts w:hint="eastAsia"/>
          <w:lang w:val="en-US" w:eastAsia="zh-CN"/>
        </w:rPr>
      </w:pPr>
      <w:r>
        <w:rPr>
          <w:rFonts w:hint="eastAsia"/>
          <w:lang w:val="en-US" w:eastAsia="zh-CN"/>
        </w:rPr>
        <w:t>其次，建议通过建设统一的数据中台，整合分散的系统资源。这一平台应配备完善的技术防护措施，包括数据脱敏、操作审计、接口监控等多重保障，形成完整的安全防护闭环。</w:t>
      </w:r>
    </w:p>
    <w:p w14:paraId="48CBCAFF">
      <w:pPr>
        <w:bidi w:val="0"/>
        <w:rPr>
          <w:rFonts w:hint="eastAsia"/>
          <w:lang w:val="en-US" w:eastAsia="zh-CN"/>
        </w:rPr>
      </w:pPr>
      <w:r>
        <w:rPr>
          <w:rFonts w:hint="eastAsia"/>
          <w:lang w:val="en-US" w:eastAsia="zh-CN"/>
        </w:rPr>
        <w:t>此外，需要建立常态化的安全演练与评估机制。推广“剧幕式数据安全演练”模式，通过模拟真实安全事件，既检验防护体系有效性，又提升相关人员的安全意识。定期开展第三方专业评估，确保能够及时发现并消除潜在隐患，持续完善教育数据防护网络。</w:t>
      </w:r>
    </w:p>
    <w:p w14:paraId="2AC5EC64">
      <w:pPr>
        <w:bidi w:val="0"/>
        <w:rPr>
          <w:rFonts w:hint="default"/>
          <w:lang w:val="en-US" w:eastAsia="zh-CN"/>
        </w:rPr>
      </w:pPr>
      <w:r>
        <w:rPr>
          <w:rFonts w:hint="eastAsia"/>
          <w:lang w:val="en-US" w:eastAsia="zh-CN"/>
        </w:rPr>
        <w:t>这套综合治理方案的实施，将有助于在保障数据安全的前提下，充分发挥人工智能技术赋能教育创新的积极作用。</w:t>
      </w:r>
    </w:p>
    <w:p w14:paraId="5EE115A6">
      <w:pPr>
        <w:pStyle w:val="3"/>
        <w:bidi w:val="0"/>
        <w:rPr>
          <w:rFonts w:hint="eastAsia"/>
          <w:lang w:val="en-US" w:eastAsia="zh-CN"/>
        </w:rPr>
      </w:pPr>
      <w:bookmarkStart w:id="60" w:name="_Toc6267"/>
      <w:r>
        <w:rPr>
          <w:rFonts w:hint="eastAsia"/>
          <w:lang w:val="en-US" w:eastAsia="zh-CN"/>
        </w:rPr>
        <w:t>（二）针对技术与能力风险的对策建议</w:t>
      </w:r>
      <w:bookmarkEnd w:id="60"/>
    </w:p>
    <w:p w14:paraId="27E4AAEB">
      <w:pPr>
        <w:numPr>
          <w:ilvl w:val="0"/>
          <w:numId w:val="0"/>
        </w:numPr>
        <w:bidi w:val="0"/>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1</w:t>
      </w:r>
      <w:r>
        <w:rPr>
          <w:rFonts w:hint="eastAsia" w:eastAsia="方正仿宋GBK" w:asciiTheme="minorAscii" w:hAnsiTheme="minorAscii" w:cstheme="minorBidi"/>
          <w:kern w:val="2"/>
          <w:sz w:val="32"/>
          <w:szCs w:val="24"/>
          <w:lang w:val="en-US" w:eastAsia="zh-CN" w:bidi="ar-SA"/>
        </w:rPr>
        <w:t>）</w:t>
      </w:r>
      <w:r>
        <w:rPr>
          <w:rFonts w:hint="eastAsia"/>
        </w:rPr>
        <w:t>深化校企联合的技术攻关与应用示范</w:t>
      </w:r>
    </w:p>
    <w:p w14:paraId="02CF28F2">
      <w:pPr>
        <w:numPr>
          <w:ilvl w:val="0"/>
          <w:numId w:val="0"/>
        </w:numPr>
        <w:bidi w:val="0"/>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2</w:t>
      </w:r>
      <w:r>
        <w:rPr>
          <w:rFonts w:hint="eastAsia" w:eastAsia="方正仿宋GBK" w:asciiTheme="minorAscii" w:hAnsiTheme="minorAscii" w:cstheme="minorBidi"/>
          <w:kern w:val="2"/>
          <w:sz w:val="32"/>
          <w:szCs w:val="24"/>
          <w:lang w:val="en-US" w:eastAsia="zh-CN" w:bidi="ar-SA"/>
        </w:rPr>
        <w:t>）</w:t>
      </w:r>
      <w:r>
        <w:rPr>
          <w:rFonts w:hint="eastAsia"/>
        </w:rPr>
        <w:t>系统提升教职人员人工智能素养</w:t>
      </w:r>
    </w:p>
    <w:p w14:paraId="1C32C3A7">
      <w:pPr>
        <w:numPr>
          <w:ilvl w:val="0"/>
          <w:numId w:val="0"/>
        </w:numPr>
        <w:bidi w:val="0"/>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3</w:t>
      </w:r>
      <w:r>
        <w:rPr>
          <w:rFonts w:hint="eastAsia" w:eastAsia="方正仿宋GBK" w:asciiTheme="minorAscii" w:hAnsiTheme="minorAscii" w:cstheme="minorBidi"/>
          <w:kern w:val="2"/>
          <w:sz w:val="32"/>
          <w:szCs w:val="24"/>
          <w:lang w:val="en-US" w:eastAsia="zh-CN" w:bidi="ar-SA"/>
        </w:rPr>
        <w:t>）</w:t>
      </w:r>
      <w:r>
        <w:rPr>
          <w:rFonts w:hint="eastAsia"/>
        </w:rPr>
        <w:t>制定教育人工智能资源建设与共享标准</w:t>
      </w:r>
    </w:p>
    <w:p w14:paraId="40FD9F34">
      <w:pPr>
        <w:bidi w:val="0"/>
        <w:rPr>
          <w:rFonts w:hint="eastAsia"/>
        </w:rPr>
      </w:pPr>
      <w:r>
        <w:rPr>
          <w:rFonts w:hint="eastAsia"/>
        </w:rPr>
        <w:t>详细分析过程：</w:t>
      </w:r>
    </w:p>
    <w:p w14:paraId="0B90C5AA">
      <w:pPr>
        <w:bidi w:val="0"/>
        <w:rPr>
          <w:rFonts w:hint="eastAsia"/>
        </w:rPr>
      </w:pPr>
      <w:r>
        <w:rPr>
          <w:rFonts w:hint="eastAsia"/>
        </w:rPr>
        <w:t>当前我国在推进人工智能教育应用过程中，面临着核心技术研发不足、师资能力欠缺、资源配置不均等多重挑战。一方面，教育领域专用算法模型研发相对滞后，智能教学系统等关键技术的成熟度有待提升，同时教师队伍对人工智能技术的掌握程度参差不齐，难以有效开展智能教学实践；另一方面，各地区、各学校在资源建设上各自为政，形成了大量互不兼容的"信息孤岛"，严重制约了人工智能教育整体效益的发挥。</w:t>
      </w:r>
    </w:p>
    <w:p w14:paraId="2D0AAA7C">
      <w:pPr>
        <w:bidi w:val="0"/>
        <w:rPr>
          <w:rFonts w:hint="eastAsia"/>
        </w:rPr>
      </w:pPr>
      <w:r>
        <w:rPr>
          <w:rFonts w:hint="eastAsia"/>
        </w:rPr>
        <w:t>针对技术研发与转化不足的问题，建议建立需求导向的校企联合研发机制。通过教育部门牵头组织学校与企业的深度对接，明确教学场景中的实际需求，共同开展教育专用算法、智能教学系统等技术研发。同时构建分层级的应用示范体系，形成"点-线-面"相结合的示范网络，并通过完善成果转化激励机制，确保技术方案的教育适宜性和实用性。</w:t>
      </w:r>
    </w:p>
    <w:p w14:paraId="0C48819C">
      <w:pPr>
        <w:bidi w:val="0"/>
        <w:rPr>
          <w:rFonts w:hint="eastAsia"/>
        </w:rPr>
      </w:pPr>
      <w:r>
        <w:rPr>
          <w:rFonts w:hint="eastAsia"/>
        </w:rPr>
        <w:t>在解决师资能力短板方面，需要构建系统化的培养体系。根据不同学科、不同学段教师的特点，开发差异化的培训课程，创新"理论+实践"的培养模式，建立教师人工智能应用实践社群。此外，还应将人工智能素养纳入教师继续教育体系，建立持续发展的支持机制，确保教师能够跟上技术发展的步伐。</w:t>
      </w:r>
    </w:p>
    <w:p w14:paraId="40D1D24D">
      <w:pPr>
        <w:bidi w:val="0"/>
        <w:rPr>
          <w:rFonts w:hint="eastAsia"/>
        </w:rPr>
      </w:pPr>
      <w:r>
        <w:rPr>
          <w:rFonts w:hint="eastAsia"/>
        </w:rPr>
        <w:t>针对资源建设碎片化问题，亟需推进标准化建设。建议建立统一的技术规范体系，制定教育人工智能资源的技术标准和质量认证机制。同时完善资源共享激励机制，通过国家级资源平台汇聚各方优质资源，形成覆盖各级各类教育的资源服务体系。</w:t>
      </w:r>
    </w:p>
    <w:p w14:paraId="4E4B243D">
      <w:pPr>
        <w:bidi w:val="0"/>
        <w:rPr>
          <w:rFonts w:hint="eastAsia"/>
        </w:rPr>
      </w:pPr>
      <w:r>
        <w:rPr>
          <w:rFonts w:hint="eastAsia"/>
        </w:rPr>
        <w:t>校企合作着力解决技术供给问题，师资培训确保技术应用效果，标准建设优化资源配置效率，共同构成了推进人工智能教育应用的完整解决方案，为教育现代化建设提供坚实支撑。</w:t>
      </w:r>
    </w:p>
    <w:p w14:paraId="75B8468F">
      <w:pPr>
        <w:pStyle w:val="3"/>
        <w:bidi w:val="0"/>
        <w:rPr>
          <w:rFonts w:hint="eastAsia"/>
        </w:rPr>
      </w:pPr>
      <w:bookmarkStart w:id="61" w:name="_Toc29917"/>
      <w:r>
        <w:rPr>
          <w:rFonts w:hint="eastAsia"/>
          <w:lang w:eastAsia="zh-CN"/>
        </w:rPr>
        <w:t>（</w:t>
      </w:r>
      <w:r>
        <w:rPr>
          <w:rFonts w:hint="eastAsia"/>
          <w:lang w:val="en-US" w:eastAsia="zh-CN"/>
        </w:rPr>
        <w:t>三</w:t>
      </w:r>
      <w:r>
        <w:rPr>
          <w:rFonts w:hint="eastAsia"/>
          <w:lang w:eastAsia="zh-CN"/>
        </w:rPr>
        <w:t>）</w:t>
      </w:r>
      <w:r>
        <w:rPr>
          <w:rFonts w:hint="eastAsia"/>
        </w:rPr>
        <w:t>针对技术依赖与同质化风险的对策建议</w:t>
      </w:r>
      <w:bookmarkEnd w:id="61"/>
    </w:p>
    <w:p w14:paraId="07ACF829">
      <w:pPr>
        <w:numPr>
          <w:ilvl w:val="0"/>
          <w:numId w:val="0"/>
        </w:numPr>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1</w:t>
      </w:r>
      <w:r>
        <w:rPr>
          <w:rFonts w:hint="eastAsia" w:eastAsia="方正仿宋GBK" w:asciiTheme="minorAscii" w:hAnsiTheme="minorAscii" w:cstheme="minorBidi"/>
          <w:kern w:val="2"/>
          <w:sz w:val="32"/>
          <w:szCs w:val="24"/>
          <w:lang w:val="en-US" w:eastAsia="zh-CN" w:bidi="ar-SA"/>
        </w:rPr>
        <w:t>）</w:t>
      </w:r>
      <w:r>
        <w:rPr>
          <w:rFonts w:hint="eastAsia"/>
        </w:rPr>
        <w:t>确立教师在人工智能教育环境中的主导地位</w:t>
      </w:r>
    </w:p>
    <w:p w14:paraId="5BD775EA">
      <w:pPr>
        <w:numPr>
          <w:ilvl w:val="0"/>
          <w:numId w:val="0"/>
        </w:numPr>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2</w:t>
      </w:r>
      <w:r>
        <w:rPr>
          <w:rFonts w:hint="eastAsia" w:eastAsia="方正仿宋GBK" w:asciiTheme="minorAscii" w:hAnsiTheme="minorAscii" w:cstheme="minorBidi"/>
          <w:kern w:val="2"/>
          <w:sz w:val="32"/>
          <w:szCs w:val="24"/>
          <w:lang w:val="en-US" w:eastAsia="zh-CN" w:bidi="ar-SA"/>
        </w:rPr>
        <w:t>）</w:t>
      </w:r>
      <w:r>
        <w:rPr>
          <w:rFonts w:hint="eastAsia"/>
        </w:rPr>
        <w:t>建立人机协同的教学质量评估体系</w:t>
      </w:r>
    </w:p>
    <w:p w14:paraId="30F55DEB">
      <w:pPr>
        <w:numPr>
          <w:ilvl w:val="0"/>
          <w:numId w:val="0"/>
        </w:numPr>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3</w:t>
      </w:r>
      <w:r>
        <w:rPr>
          <w:rFonts w:hint="eastAsia" w:eastAsia="方正仿宋GBK" w:asciiTheme="minorAscii" w:hAnsiTheme="minorAscii" w:cstheme="minorBidi"/>
          <w:kern w:val="2"/>
          <w:sz w:val="32"/>
          <w:szCs w:val="24"/>
          <w:lang w:val="en-US" w:eastAsia="zh-CN" w:bidi="ar-SA"/>
        </w:rPr>
        <w:t>）</w:t>
      </w:r>
      <w:r>
        <w:rPr>
          <w:rFonts w:hint="eastAsia"/>
        </w:rPr>
        <w:t>推动差异化与个性化相结合的教育创新</w:t>
      </w:r>
    </w:p>
    <w:p w14:paraId="2C452CC1">
      <w:pPr>
        <w:rPr>
          <w:rFonts w:hint="eastAsia"/>
        </w:rPr>
      </w:pPr>
      <w:r>
        <w:rPr>
          <w:rFonts w:hint="eastAsia"/>
        </w:rPr>
        <w:t>详细分析过程：</w:t>
      </w:r>
    </w:p>
    <w:p w14:paraId="4948219A">
      <w:pPr>
        <w:rPr>
          <w:rFonts w:hint="eastAsia"/>
        </w:rPr>
      </w:pPr>
      <w:r>
        <w:rPr>
          <w:rFonts w:hint="eastAsia"/>
        </w:rPr>
        <w:t>人工智能在教育领域的应用面临教育主体性弱化的深层次挑战</w:t>
      </w:r>
      <w:r>
        <w:rPr>
          <w:rFonts w:hint="eastAsia"/>
          <w:lang w:eastAsia="zh-CN"/>
        </w:rPr>
        <w:t>，</w:t>
      </w:r>
      <w:r>
        <w:rPr>
          <w:rFonts w:hint="eastAsia"/>
        </w:rPr>
        <w:t>一方面，部分教育工作者过度依赖智能教学系统，将本应充满创造性的教学过程简化为标准化的技术流程，削弱了教师的教学主导作用；另一方面，算法推荐的趋同性和标准化教学内容的广泛使用，可能导致不同地区、不同学校的教育逐渐丧失特色，陷入同质化发展的困境。</w:t>
      </w:r>
    </w:p>
    <w:p w14:paraId="1EF91C8F">
      <w:pPr>
        <w:rPr>
          <w:rFonts w:hint="eastAsia"/>
        </w:rPr>
      </w:pPr>
      <w:r>
        <w:rPr>
          <w:rFonts w:hint="eastAsia"/>
        </w:rPr>
        <w:t>在确立教师主导地位方面，</w:t>
      </w:r>
      <w:r>
        <w:rPr>
          <w:rFonts w:hint="eastAsia"/>
          <w:lang w:val="en-US" w:eastAsia="zh-CN"/>
        </w:rPr>
        <w:t>需要</w:t>
      </w:r>
      <w:r>
        <w:rPr>
          <w:rFonts w:hint="eastAsia"/>
        </w:rPr>
        <w:t>明确教师在智能教学环境中的核心职责和主导作用。</w:t>
      </w:r>
      <w:r>
        <w:rPr>
          <w:rFonts w:hint="eastAsia"/>
          <w:lang w:val="en-US" w:eastAsia="zh-CN"/>
        </w:rPr>
        <w:t>应该</w:t>
      </w:r>
      <w:r>
        <w:rPr>
          <w:rFonts w:hint="eastAsia"/>
        </w:rPr>
        <w:t>将</w:t>
      </w:r>
      <w:r>
        <w:rPr>
          <w:rFonts w:hint="eastAsia"/>
          <w:lang w:val="en-US" w:eastAsia="zh-CN"/>
        </w:rPr>
        <w:t>智能</w:t>
      </w:r>
      <w:r>
        <w:rPr>
          <w:rFonts w:hint="eastAsia"/>
        </w:rPr>
        <w:t>技术定位为辅助工具而非替代品，确保教师在教学设计、课堂互动和教学评价等关键环节保持主导权。同时，开展教师智能教育能力专项培训，重点提升教师在人工智能环境下的教学设计能力和创新思维，避免过度依赖预设的教学方案和标准化内容。</w:t>
      </w:r>
    </w:p>
    <w:p w14:paraId="635131F3">
      <w:pPr>
        <w:rPr>
          <w:rFonts w:hint="eastAsia"/>
        </w:rPr>
      </w:pPr>
      <w:r>
        <w:rPr>
          <w:rFonts w:hint="eastAsia"/>
        </w:rPr>
        <w:t>在构建人机协同评估体系方面，需要建立多元化的教学质量评价标准。建议开发包含技术使用效能、教学创新性、学生参与度等多维度的评估工具，避免单纯以技术使用程度作为评价标准。建立教学方案备案与核查机制，定期对人工智能生成的教学内容进行专业评估，确保其符合教育规律和教学目标。同时，鼓励教师对算法推荐内容进行创造性改造，保留个性化的教学特色。</w:t>
      </w:r>
    </w:p>
    <w:p w14:paraId="73DA0CEB">
      <w:pPr>
        <w:rPr>
          <w:rFonts w:hint="eastAsia"/>
        </w:rPr>
      </w:pPr>
      <w:r>
        <w:rPr>
          <w:rFonts w:hint="eastAsia"/>
        </w:rPr>
        <w:t>在推动教育创新方面，</w:t>
      </w:r>
      <w:r>
        <w:rPr>
          <w:rFonts w:hint="eastAsia"/>
          <w:lang w:val="en-US" w:eastAsia="zh-CN"/>
        </w:rPr>
        <w:t>应当</w:t>
      </w:r>
      <w:r>
        <w:rPr>
          <w:rFonts w:hint="eastAsia"/>
        </w:rPr>
        <w:t>支持学校和教师基于本地区、本学校的特色，开发具有个性的教学方案和课程内容。建立教育创新案例库，收集和推广成功的差异化教学实践，为教育工作者提供参考。同时，完善教育质量监测体系，将教育特色和创新性作为重要评价指标，引导学校在运用人工智能技术的同时保持教育多样性。</w:t>
      </w:r>
    </w:p>
    <w:p w14:paraId="7BF84080">
      <w:pPr>
        <w:rPr>
          <w:rFonts w:hint="eastAsia"/>
        </w:rPr>
      </w:pPr>
      <w:r>
        <w:rPr>
          <w:rFonts w:hint="eastAsia"/>
        </w:rPr>
        <w:t>确立教师主导地位是保障教育主体性的基础，建立人机协同评估体系是确保教育质量的关键，推动差异化创新则是避免教育同质化的根本途径</w:t>
      </w:r>
      <w:r>
        <w:rPr>
          <w:rFonts w:hint="eastAsia"/>
          <w:lang w:eastAsia="zh-CN"/>
        </w:rPr>
        <w:t>，</w:t>
      </w:r>
      <w:r>
        <w:rPr>
          <w:rFonts w:hint="eastAsia"/>
          <w:lang w:val="en-US" w:eastAsia="zh-CN"/>
        </w:rPr>
        <w:t>人工智能教育英语应在</w:t>
      </w:r>
      <w:r>
        <w:rPr>
          <w:rFonts w:hint="eastAsia"/>
        </w:rPr>
        <w:t>充分发挥人工智能技术优势</w:t>
      </w:r>
      <w:r>
        <w:rPr>
          <w:rFonts w:hint="eastAsia"/>
          <w:lang w:val="en-US" w:eastAsia="zh-CN"/>
        </w:rPr>
        <w:t>的基础上</w:t>
      </w:r>
      <w:r>
        <w:rPr>
          <w:rFonts w:hint="eastAsia"/>
        </w:rPr>
        <w:t>，又能够保持教育主体性和创新性</w:t>
      </w:r>
      <w:r>
        <w:rPr>
          <w:rFonts w:hint="eastAsia"/>
          <w:lang w:eastAsia="zh-CN"/>
        </w:rPr>
        <w:t>，</w:t>
      </w:r>
      <w:r>
        <w:rPr>
          <w:rFonts w:hint="eastAsia"/>
        </w:rPr>
        <w:t>守护教育的本质价值和多样性特征。</w:t>
      </w:r>
    </w:p>
    <w:p w14:paraId="5CA884DC">
      <w:pPr>
        <w:pStyle w:val="3"/>
        <w:bidi w:val="0"/>
        <w:rPr>
          <w:rFonts w:hint="eastAsia"/>
        </w:rPr>
      </w:pPr>
      <w:bookmarkStart w:id="62" w:name="_Toc19656"/>
      <w:r>
        <w:rPr>
          <w:rFonts w:hint="eastAsia"/>
          <w:lang w:eastAsia="zh-CN"/>
        </w:rPr>
        <w:t>（</w:t>
      </w:r>
      <w:r>
        <w:rPr>
          <w:rFonts w:hint="eastAsia"/>
          <w:lang w:val="en-US" w:eastAsia="zh-CN"/>
        </w:rPr>
        <w:t>四</w:t>
      </w:r>
      <w:r>
        <w:rPr>
          <w:rFonts w:hint="eastAsia"/>
          <w:lang w:eastAsia="zh-CN"/>
        </w:rPr>
        <w:t>）</w:t>
      </w:r>
      <w:r>
        <w:rPr>
          <w:rFonts w:hint="eastAsia"/>
        </w:rPr>
        <w:t>针对治理与制度</w:t>
      </w:r>
      <w:r>
        <w:rPr>
          <w:rFonts w:hint="eastAsia"/>
          <w:lang w:val="en-US" w:eastAsia="zh-CN"/>
        </w:rPr>
        <w:t>风险</w:t>
      </w:r>
      <w:r>
        <w:rPr>
          <w:rFonts w:hint="eastAsia"/>
        </w:rPr>
        <w:t>的对策建议</w:t>
      </w:r>
      <w:bookmarkEnd w:id="62"/>
    </w:p>
    <w:p w14:paraId="609092A9">
      <w:pPr>
        <w:numPr>
          <w:ilvl w:val="0"/>
          <w:numId w:val="0"/>
        </w:numPr>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1</w:t>
      </w:r>
      <w:r>
        <w:rPr>
          <w:rFonts w:hint="eastAsia" w:eastAsia="方正仿宋GBK" w:asciiTheme="minorAscii" w:hAnsiTheme="minorAscii" w:cstheme="minorBidi"/>
          <w:kern w:val="2"/>
          <w:sz w:val="32"/>
          <w:szCs w:val="24"/>
          <w:lang w:val="en-US" w:eastAsia="zh-CN" w:bidi="ar-SA"/>
        </w:rPr>
        <w:t>）</w:t>
      </w:r>
      <w:r>
        <w:rPr>
          <w:rFonts w:hint="eastAsia"/>
        </w:rPr>
        <w:t>完善人工智能教育法律法规体系</w:t>
      </w:r>
    </w:p>
    <w:p w14:paraId="3E2E9B41">
      <w:pPr>
        <w:numPr>
          <w:ilvl w:val="0"/>
          <w:numId w:val="0"/>
        </w:numPr>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2</w:t>
      </w:r>
      <w:r>
        <w:rPr>
          <w:rFonts w:hint="eastAsia" w:eastAsia="方正仿宋GBK" w:asciiTheme="minorAscii" w:hAnsiTheme="minorAscii" w:cstheme="minorBidi"/>
          <w:kern w:val="2"/>
          <w:sz w:val="32"/>
          <w:szCs w:val="24"/>
          <w:lang w:val="en-US" w:eastAsia="zh-CN" w:bidi="ar-SA"/>
        </w:rPr>
        <w:t>）</w:t>
      </w:r>
      <w:r>
        <w:rPr>
          <w:rFonts w:hint="eastAsia"/>
        </w:rPr>
        <w:t>建立人工智能教育行业应用审查机制</w:t>
      </w:r>
    </w:p>
    <w:p w14:paraId="0B3F7CA3">
      <w:pPr>
        <w:numPr>
          <w:ilvl w:val="0"/>
          <w:numId w:val="0"/>
        </w:numPr>
        <w:ind w:firstLine="640" w:firstLineChars="200"/>
        <w:rPr>
          <w:rFonts w:hint="eastAsia"/>
        </w:rPr>
      </w:pPr>
      <w:r>
        <w:rPr>
          <w:rFonts w:hint="eastAsia" w:eastAsia="方正仿宋GBK" w:asciiTheme="minorAscii" w:hAnsiTheme="minorAscii" w:cstheme="minorBidi"/>
          <w:kern w:val="2"/>
          <w:sz w:val="32"/>
          <w:szCs w:val="24"/>
          <w:lang w:val="en-US" w:eastAsia="zh-CN" w:bidi="ar-SA"/>
        </w:rPr>
        <w:t>（</w:t>
      </w:r>
      <w:r>
        <w:rPr>
          <w:rFonts w:hint="eastAsia" w:cstheme="minorBidi"/>
          <w:kern w:val="2"/>
          <w:sz w:val="32"/>
          <w:szCs w:val="24"/>
          <w:lang w:val="en-US" w:eastAsia="zh-CN" w:bidi="ar-SA"/>
        </w:rPr>
        <w:t>3</w:t>
      </w:r>
      <w:r>
        <w:rPr>
          <w:rFonts w:hint="eastAsia" w:eastAsia="方正仿宋GBK" w:asciiTheme="minorAscii" w:hAnsiTheme="minorAscii" w:cstheme="minorBidi"/>
          <w:kern w:val="2"/>
          <w:sz w:val="32"/>
          <w:szCs w:val="24"/>
          <w:lang w:val="en-US" w:eastAsia="zh-CN" w:bidi="ar-SA"/>
        </w:rPr>
        <w:t>）</w:t>
      </w:r>
      <w:r>
        <w:rPr>
          <w:rFonts w:hint="eastAsia"/>
        </w:rPr>
        <w:t>加强人工智能教育伦理规范建设</w:t>
      </w:r>
    </w:p>
    <w:p w14:paraId="69B461B5">
      <w:pPr>
        <w:rPr>
          <w:rFonts w:hint="eastAsia"/>
        </w:rPr>
      </w:pPr>
      <w:r>
        <w:rPr>
          <w:rFonts w:hint="eastAsia"/>
        </w:rPr>
        <w:t>详细分析过程：</w:t>
      </w:r>
    </w:p>
    <w:p w14:paraId="722742E9">
      <w:pPr>
        <w:rPr>
          <w:rFonts w:hint="eastAsia"/>
        </w:rPr>
      </w:pPr>
      <w:r>
        <w:rPr>
          <w:rFonts w:hint="eastAsia"/>
        </w:rPr>
        <w:t>随着智能技术在教育领域的快速渗透，现有的制度框架已难以有效应对由此产生的新型法律关系和治理需求。一方面，专门针对人工智能教育应用的法律法规体系尚不完善，在数据权属界定、算法责任认定、知识产权保护等关键领域的法律界定仍显模糊，导致实践中经常出现无法可依的困境。另一方面，监管体系存在明显短板，教育部门与技术监管部门之间的职责划分不够清晰，跨部门协同机制运转不畅，行业自律机制也有待建立健全。</w:t>
      </w:r>
    </w:p>
    <w:p w14:paraId="3DC08B6E">
      <w:pPr>
        <w:rPr>
          <w:rFonts w:hint="eastAsia"/>
        </w:rPr>
      </w:pPr>
      <w:r>
        <w:rPr>
          <w:rFonts w:hint="eastAsia"/>
        </w:rPr>
        <w:t>在法律法规体系建设方面，建议加快推进人工智能教育应用的专门立法进程。立法工作应当重点关注以下几个维度：明确教育数据的所有权、使用权和收益权归属，建立适应人工智能技术特点的知识产权保护机制，制定算法备案与审计制度，为各类应用主体提供清晰的法律指引</w:t>
      </w:r>
      <w:r>
        <w:rPr>
          <w:rFonts w:hint="eastAsia"/>
          <w:lang w:eastAsia="zh-CN"/>
        </w:rPr>
        <w:t>。</w:t>
      </w:r>
      <w:r>
        <w:rPr>
          <w:rFonts w:hint="eastAsia"/>
        </w:rPr>
        <w:t>同时，需要系统性完善相关配套法规，构建完整的制度保障体系。</w:t>
      </w:r>
    </w:p>
    <w:p w14:paraId="6DA8542C">
      <w:pPr>
        <w:rPr>
          <w:rFonts w:hint="eastAsia"/>
        </w:rPr>
      </w:pPr>
      <w:r>
        <w:rPr>
          <w:rFonts w:hint="eastAsia"/>
        </w:rPr>
        <w:t>在行业应用审查机制建设方面，应当建立分级分类的监管体系。建议由教育部门牵头，联合网信办、工信部等部门建立联合审查机制，制定人工智能教育产品准入标准和评估体系。具体而言，可以按照应用场景的风险等级实施差异化监管：对学情分析、智能评测等高风险应用实行准入审查，对教学辅助工具等中低风险应用实行备案管理。同时，建立常态化的抽查监督机制，确保各类应用持续符合规范要求。</w:t>
      </w:r>
    </w:p>
    <w:p w14:paraId="4DEF25F9">
      <w:pPr>
        <w:rPr>
          <w:rFonts w:hint="eastAsia"/>
        </w:rPr>
      </w:pPr>
      <w:r>
        <w:rPr>
          <w:rFonts w:hint="eastAsia"/>
        </w:rPr>
        <w:t>在伦理规范建设方面，建议制定专门的人工智能教育应用伦理指南。这份指南应当重点明确以下几个方面的要求：确保算法决策的公平性和透明度，防止因数据偏见导致的教育歧视；建立人机协同的伦理准则，明确教育教学中人类教师的主导地位；制定符合社会主义核心价值观的价值引导规范。特别需要建立完善的伦理审查机制，将伦理风险评估嵌入人工智能教育应用的全生命周期管理，确保技术应用始终沿着正确的方向发展。</w:t>
      </w:r>
    </w:p>
    <w:p w14:paraId="2C07B29C">
      <w:pPr>
        <w:rPr>
          <w:rFonts w:hint="eastAsia"/>
        </w:rPr>
      </w:pPr>
      <w:r>
        <w:rPr>
          <w:rFonts w:hint="eastAsia"/>
        </w:rPr>
        <w:t>法律法规体系建设为治理提供制度依据，行业审查机制确保制度要求落地实施，伦理规范建设则从价值层面引导技术发展方向，三者共同构成了人工智能教育治理的完整框架，为推进人工智能教育应用的健康发展提供了坚实的制度保障。系统化的治理思路，既能够有效防范技术应用风险，又能够充分释放人工智能的教育潜能。</w:t>
      </w:r>
    </w:p>
    <w:p w14:paraId="2CF88735">
      <w:pPr>
        <w:pStyle w:val="3"/>
        <w:bidi w:val="0"/>
        <w:outlineLvl w:val="9"/>
      </w:pPr>
      <w:r>
        <w:br w:type="page"/>
      </w:r>
    </w:p>
    <w:p w14:paraId="124623C6">
      <w:pPr>
        <w:widowControl/>
        <w:spacing w:line="240" w:lineRule="auto"/>
        <w:ind w:firstLine="0" w:firstLineChars="0"/>
        <w:jc w:val="left"/>
      </w:pPr>
      <w:r>
        <w:drawing>
          <wp:anchor distT="0" distB="0" distL="114300" distR="114300" simplePos="0" relativeHeight="251662336" behindDoc="0" locked="0" layoutInCell="1" allowOverlap="1">
            <wp:simplePos x="0" y="0"/>
            <wp:positionH relativeFrom="column">
              <wp:posOffset>-1143000</wp:posOffset>
            </wp:positionH>
            <wp:positionV relativeFrom="paragraph">
              <wp:posOffset>-1022350</wp:posOffset>
            </wp:positionV>
            <wp:extent cx="7564120" cy="10484485"/>
            <wp:effectExtent l="0" t="0" r="5080" b="571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7577325" cy="10502788"/>
                    </a:xfrm>
                    <a:prstGeom prst="rect">
                      <a:avLst/>
                    </a:prstGeom>
                  </pic:spPr>
                </pic:pic>
              </a:graphicData>
            </a:graphic>
          </wp:anchor>
        </w:drawing>
      </w:r>
    </w:p>
    <w:sectPr>
      <w:pgSz w:w="11906" w:h="16838"/>
      <w:pgMar w:top="1440" w:right="1803" w:bottom="1440" w:left="1803" w:header="851" w:footer="992" w:gutter="0"/>
      <w:paperSrc/>
      <w:pgBorders>
        <w:top w:val="none" w:sz="0" w:space="0"/>
        <w:left w:val="none" w:sz="0" w:space="0"/>
        <w:bottom w:val="none" w:sz="0" w:space="0"/>
        <w:right w:val="none" w:sz="0" w:space="0"/>
      </w:pgBorders>
      <w:cols w:space="0" w:num="1"/>
      <w:rtlGutter w:val="0"/>
      <w:docGrid w:type="lines" w:linePitch="43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GBK">
    <w:altName w:val="仿宋"/>
    <w:panose1 w:val="00000000000000000000"/>
    <w:charset w:val="00"/>
    <w:family w:val="auto"/>
    <w:pitch w:val="default"/>
    <w:sig w:usb0="00000000" w:usb1="00000000" w:usb2="00000000" w:usb3="00000000" w:csb0="00000000" w:csb1="00000000"/>
  </w:font>
  <w:font w:name="方正黑体GBK">
    <w:altName w:val="黑体"/>
    <w:panose1 w:val="00000000000000000000"/>
    <w:charset w:val="00"/>
    <w:family w:val="auto"/>
    <w:pitch w:val="default"/>
    <w:sig w:usb0="00000000" w:usb1="00000000" w:usb2="00000000" w:usb3="00000000" w:csb0="00000000" w:csb1="00000000"/>
  </w:font>
  <w:font w:name="方正楷体GBK">
    <w:altName w:val="楷体_GB2312"/>
    <w:panose1 w:val="00000000000000000000"/>
    <w:charset w:val="00"/>
    <w:family w:val="auto"/>
    <w:pitch w:val="default"/>
    <w:sig w:usb0="00000000" w:usb1="00000000" w:usb2="00000000" w:usb3="00000000" w:csb0="00000000" w:csb1="00000000"/>
  </w:font>
  <w:font w:name="mn-cs">
    <w:altName w:val="Segoe Print"/>
    <w:panose1 w:val="00000000000000000000"/>
    <w:charset w:val="00"/>
    <w:family w:val="auto"/>
    <w:pitch w:val="default"/>
    <w:sig w:usb0="00000000" w:usb1="00000000" w:usb2="00000000" w:usb3="00000000" w:csb0="0000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Times New Roman (正文 CS 字体)">
    <w:altName w:val="宋体"/>
    <w:panose1 w:val="00000000000000000000"/>
    <w:charset w:val="86"/>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楷体">
    <w:panose1 w:val="02010609060101010101"/>
    <w:charset w:val="86"/>
    <w:family w:val="auto"/>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方正仿宋_GBK">
    <w:altName w:val="微软雅黑"/>
    <w:panose1 w:val="02000000000000000000"/>
    <w:charset w:val="86"/>
    <w:family w:val="auto"/>
    <w:pitch w:val="default"/>
    <w:sig w:usb0="00000000" w:usb1="00000000" w:usb2="00082016" w:usb3="00000000" w:csb0="00040001" w:csb1="00000000"/>
  </w:font>
  <w:font w:name="方正黑体_GBK">
    <w:altName w:val="微软雅黑"/>
    <w:panose1 w:val="02000000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华思探黑">
    <w:panose1 w:val="0201060001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240" w:lineRule="auto"/>
        <w:ind w:firstLine="640"/>
      </w:pPr>
      <w:r>
        <w:separator/>
      </w:r>
    </w:p>
  </w:footnote>
  <w:footnote w:type="continuationSeparator" w:id="5">
    <w:p>
      <w:pPr>
        <w:spacing w:line="240" w:lineRule="auto"/>
        <w:ind w:firstLine="640"/>
      </w:pPr>
      <w:r>
        <w:continuationSeparator/>
      </w:r>
    </w:p>
  </w:footnote>
  <w:footnote w:id="0">
    <w:p w14:paraId="386C7D5D">
      <w:pPr>
        <w:pStyle w:val="11"/>
        <w:rPr>
          <w:rFonts w:hint="eastAsia"/>
        </w:rPr>
      </w:pPr>
      <w:r>
        <w:rPr>
          <w:rStyle w:val="20"/>
          <w:rFonts w:hint="eastAsia"/>
        </w:rPr>
        <w:footnoteRef/>
      </w:r>
      <w:r>
        <w:rPr>
          <w:rFonts w:hint="eastAsia"/>
        </w:rPr>
        <w:t xml:space="preserve"> 资料来源：数据驱动 因材施教 </w:t>
      </w:r>
      <w:r>
        <w:rPr>
          <w:rFonts w:hint="eastAsia"/>
          <w:lang w:eastAsia="zh-CN"/>
        </w:rPr>
        <w:t>“</w:t>
      </w:r>
      <w:r>
        <w:rPr>
          <w:rFonts w:hint="eastAsia"/>
        </w:rPr>
        <w:t>人工智能＋教育</w:t>
      </w:r>
      <w:r>
        <w:rPr>
          <w:rFonts w:hint="eastAsia"/>
          <w:lang w:eastAsia="zh-CN"/>
        </w:rPr>
        <w:t>”</w:t>
      </w:r>
      <w:r>
        <w:rPr>
          <w:rFonts w:hint="eastAsia"/>
        </w:rPr>
        <w:t xml:space="preserve"> 在教育教学中的实践探索，包头市青山区教育局，2025-09-04</w:t>
      </w:r>
    </w:p>
  </w:footnote>
  <w:footnote w:id="1">
    <w:p w14:paraId="06912A49">
      <w:pPr>
        <w:pStyle w:val="11"/>
        <w:rPr>
          <w:rFonts w:hint="eastAsia"/>
        </w:rPr>
      </w:pPr>
      <w:r>
        <w:rPr>
          <w:rStyle w:val="20"/>
          <w:rFonts w:hint="eastAsia"/>
        </w:rPr>
        <w:footnoteRef/>
      </w:r>
      <w:r>
        <w:rPr>
          <w:rFonts w:hint="eastAsia"/>
        </w:rPr>
        <w:t xml:space="preserve"> 资料来源：加速培养 AI 原生时代的未来创新人才，人民网，2025-04-21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F931E">
    <w:pPr>
      <w:pStyle w:val="8"/>
      <w:keepNext w:val="0"/>
      <w:keepLines w:val="0"/>
      <w:pageBreakBefore w:val="0"/>
      <w:widowControl/>
      <w:suppressLineNumbers w:val="0"/>
      <w:pBdr>
        <w:top w:val="none" w:color="auto" w:sz="0" w:space="1"/>
        <w:left w:val="none" w:color="auto" w:sz="0" w:space="4"/>
        <w:bottom w:val="none" w:color="C00000" w:sz="0" w:space="1"/>
        <w:right w:val="none" w:color="auto" w:sz="0" w:space="4"/>
        <w:between w:val="none" w:color="auto" w:sz="0" w:space="0"/>
      </w:pBdr>
      <w:tabs>
        <w:tab w:val="left" w:pos="2676"/>
        <w:tab w:val="clear" w:pos="4153"/>
      </w:tabs>
      <w:kinsoku/>
      <w:wordWrap/>
      <w:overflowPunct/>
      <w:topLinePunct w:val="0"/>
      <w:autoSpaceDE/>
      <w:autoSpaceDN/>
      <w:bidi w:val="0"/>
      <w:adjustRightInd/>
      <w:snapToGrid w:val="0"/>
      <w:spacing w:line="240" w:lineRule="auto"/>
      <w:ind w:firstLine="640" w:firstLineChars="200"/>
      <w:jc w:val="both"/>
      <w:textAlignment w:val="auto"/>
      <w:outlineLvl w:val="9"/>
    </w:pPr>
    <w:r>
      <w:rPr>
        <w:rFonts w:eastAsia="仿宋"/>
        <w:sz w:val="32"/>
      </w:rPr>
      <mc:AlternateContent>
        <mc:Choice Requires="wps">
          <w:drawing>
            <wp:anchor distT="0" distB="0" distL="114300" distR="114300" simplePos="0" relativeHeight="251666432" behindDoc="0" locked="0" layoutInCell="1" allowOverlap="1">
              <wp:simplePos x="0" y="0"/>
              <wp:positionH relativeFrom="column">
                <wp:posOffset>-1141095</wp:posOffset>
              </wp:positionH>
              <wp:positionV relativeFrom="paragraph">
                <wp:posOffset>154305</wp:posOffset>
              </wp:positionV>
              <wp:extent cx="7833360" cy="29210"/>
              <wp:effectExtent l="0" t="4445" r="2540" b="17145"/>
              <wp:wrapNone/>
              <wp:docPr id="8" name="直接连接符 8"/>
              <wp:cNvGraphicFramePr/>
              <a:graphic xmlns:a="http://schemas.openxmlformats.org/drawingml/2006/main">
                <a:graphicData uri="http://schemas.microsoft.com/office/word/2010/wordprocessingShape">
                  <wps:wsp>
                    <wps:cNvCnPr/>
                    <wps:spPr>
                      <a:xfrm>
                        <a:off x="0" y="0"/>
                        <a:ext cx="7833360" cy="29210"/>
                      </a:xfrm>
                      <a:prstGeom prst="line">
                        <a:avLst/>
                      </a:prstGeom>
                      <a:noFill/>
                      <a:ln w="9525" cap="flat" cmpd="sng" algn="ctr">
                        <a:solidFill>
                          <a:srgbClr val="C00000"/>
                        </a:solidFill>
                        <a:prstDash val="solid"/>
                      </a:ln>
                      <a:effectLst/>
                    </wps:spPr>
                    <wps:bodyPr/>
                  </wps:wsp>
                </a:graphicData>
              </a:graphic>
            </wp:anchor>
          </w:drawing>
        </mc:Choice>
        <mc:Fallback>
          <w:pict>
            <v:line id="_x0000_s1026" o:spid="_x0000_s1026" o:spt="20" style="position:absolute;left:0pt;margin-left:-89.85pt;margin-top:12.15pt;height:2.3pt;width:616.8pt;z-index:251666432;mso-width-relative:page;mso-height-relative:page;" filled="f" stroked="t" coordsize="21600,21600" o:gfxdata="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vufFDb&#10;AAAACwEAAA8AAAAAAAAAAQAgAAAAIgAAAGRycy9kb3ducmV2LnhtbFBLAQIUABQAAAAIAIdO4kBi&#10;J86z5AEAAKwDAAAOAAAAAAAAAAEAIAAAACoBAABkcnMvZTJvRG9jLnhtbFBLBQYAAAAABgAGAFkB&#10;AACABQAAAAA=&#10;">
              <v:fill on="f" focussize="0,0"/>
              <v:stroke color="#C00000" joinstyle="round"/>
              <v:imagedata o:title=""/>
              <o:lock v:ext="edit" aspectratio="f"/>
            </v:line>
          </w:pict>
        </mc:Fallback>
      </mc:AlternateContent>
    </w:r>
    <w:r>
      <w:rPr>
        <w:u w:val="single"/>
      </w:rPr>
      <w:drawing>
        <wp:anchor distT="0" distB="0" distL="114300" distR="114300" simplePos="0" relativeHeight="251665408" behindDoc="1" locked="0" layoutInCell="1" allowOverlap="1">
          <wp:simplePos x="0" y="0"/>
          <wp:positionH relativeFrom="margin">
            <wp:posOffset>59690</wp:posOffset>
          </wp:positionH>
          <wp:positionV relativeFrom="paragraph">
            <wp:posOffset>-93345</wp:posOffset>
          </wp:positionV>
          <wp:extent cx="1409700" cy="264160"/>
          <wp:effectExtent l="0" t="0" r="0" b="0"/>
          <wp:wrapNone/>
          <wp:docPr id="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pic:cNvPicPr>
                    <a:picLocks noChangeAspect="1"/>
                  </pic:cNvPicPr>
                </pic:nvPicPr>
                <pic:blipFill>
                  <a:blip r:embed="rId1"/>
                  <a:srcRect r="47638" b="4474"/>
                  <a:stretch>
                    <a:fillRect/>
                  </a:stretch>
                </pic:blipFill>
                <pic:spPr>
                  <a:xfrm>
                    <a:off x="0" y="0"/>
                    <a:ext cx="1409700" cy="264160"/>
                  </a:xfrm>
                  <a:prstGeom prst="rect">
                    <a:avLst/>
                  </a:prstGeom>
                  <a:noFill/>
                  <a:ln>
                    <a:noFill/>
                  </a:ln>
                </pic:spPr>
              </pic:pic>
            </a:graphicData>
          </a:graphic>
        </wp:anchor>
      </w:drawing>
    </w:r>
    <w:r>
      <w:rPr>
        <w:rFonts w:hint="eastAsia"/>
        <w:lang w:eastAsia="zh-CN"/>
      </w:rPr>
      <w:tab/>
    </w:r>
    <w:r>
      <w:rPr>
        <w:rFonts w:ascii="Arial" w:hAnsi="Arial" w:cs="Arial"/>
        <w:sz w:val="20"/>
      </w:rPr>
      <mc:AlternateContent>
        <mc:Choice Requires="wps">
          <w:drawing>
            <wp:anchor distT="0" distB="0" distL="114300" distR="114300" simplePos="0" relativeHeight="251659264" behindDoc="0" locked="0" layoutInCell="1" allowOverlap="1">
              <wp:simplePos x="0" y="0"/>
              <wp:positionH relativeFrom="column">
                <wp:posOffset>-363220</wp:posOffset>
              </wp:positionH>
              <wp:positionV relativeFrom="paragraph">
                <wp:posOffset>139065</wp:posOffset>
              </wp:positionV>
              <wp:extent cx="6037580" cy="238125"/>
              <wp:effectExtent l="0" t="0" r="7620" b="3175"/>
              <wp:wrapNone/>
              <wp:docPr id="9" name="文本框 9"/>
              <wp:cNvGraphicFramePr/>
              <a:graphic xmlns:a="http://schemas.openxmlformats.org/drawingml/2006/main">
                <a:graphicData uri="http://schemas.microsoft.com/office/word/2010/wordprocessingShape">
                  <wps:wsp>
                    <wps:cNvSpPr txBox="1"/>
                    <wps:spPr>
                      <a:xfrm>
                        <a:off x="0" y="0"/>
                        <a:ext cx="6037580" cy="238125"/>
                      </a:xfrm>
                      <a:prstGeom prst="rect">
                        <a:avLst/>
                      </a:prstGeom>
                      <a:solidFill>
                        <a:schemeClr val="bg1"/>
                      </a:solidFill>
                      <a:ln>
                        <a:noFill/>
                      </a:ln>
                    </wps:spPr>
                    <wps:txbx>
                      <w:txbxContent>
                        <w:p w14:paraId="61C697D5">
                          <w:pPr>
                            <w:ind w:right="420"/>
                            <w:jc w:val="center"/>
                            <w:rPr>
                              <w:b/>
                              <w:color w:val="FFFFFF" w:themeColor="background1"/>
                              <w14:textFill>
                                <w14:solidFill>
                                  <w14:schemeClr w14:val="bg1"/>
                                </w14:solidFill>
                              </w14:textFill>
                            </w:rPr>
                          </w:pPr>
                        </w:p>
                      </w:txbxContent>
                    </wps:txbx>
                    <wps:bodyPr upright="1"/>
                  </wps:wsp>
                </a:graphicData>
              </a:graphic>
            </wp:anchor>
          </w:drawing>
        </mc:Choice>
        <mc:Fallback>
          <w:pict>
            <v:shape id="_x0000_s1026" o:spid="_x0000_s1026" o:spt="202" type="#_x0000_t202" style="position:absolute;left:0pt;margin-left:-28.6pt;margin-top:10.95pt;height:18.75pt;width:475.4pt;z-index:251659264;mso-width-relative:page;mso-height-relative:page;" fillcolor="#FFFFFF [3212]" filled="t" stroked="f" coordsize="21600,21600" o:gfxdata="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1qw7b2AAAAAkBAAAPAAAAAAAAAAEAIAAAACIAAABkcnMvZG93bnJldi54&#10;bWxQSwECFAAUAAAACACHTuJA/ksGfMEBAAB3AwAADgAAAAAAAAABACAAAAAnAQAAZHJzL2Uyb0Rv&#10;Yy54bWxQSwUGAAAAAAYABgBZAQAAWgUAAAAA&#10;">
              <v:fill on="t" focussize="0,0"/>
              <v:stroke on="f"/>
              <v:imagedata o:title=""/>
              <o:lock v:ext="edit" aspectratio="f"/>
              <v:textbox>
                <w:txbxContent>
                  <w:p w14:paraId="61C697D5">
                    <w:pPr>
                      <w:ind w:right="420"/>
                      <w:jc w:val="center"/>
                      <w:rPr>
                        <w:b/>
                        <w:color w:val="FFFFFF" w:themeColor="background1"/>
                        <w14:textFill>
                          <w14:solidFill>
                            <w14:schemeClr w14:val="bg1"/>
                          </w14:solidFill>
                        </w14:textFill>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20813F"/>
    <w:multiLevelType w:val="singleLevel"/>
    <w:tmpl w:val="9F20813F"/>
    <w:lvl w:ilvl="0" w:tentative="0">
      <w:start w:val="1"/>
      <w:numFmt w:val="chineseCounting"/>
      <w:pStyle w:val="2"/>
      <w:suff w:val="nothing"/>
      <w:lvlText w:val="%1、"/>
      <w:lvlJc w:val="left"/>
      <w:rPr>
        <w:rFonts w:hint="eastAsia"/>
      </w:rPr>
    </w:lvl>
  </w:abstractNum>
  <w:abstractNum w:abstractNumId="1">
    <w:nsid w:val="A8DD0187"/>
    <w:multiLevelType w:val="singleLevel"/>
    <w:tmpl w:val="A8DD0187"/>
    <w:lvl w:ilvl="0" w:tentative="0">
      <w:start w:val="1"/>
      <w:numFmt w:val="chineseCounting"/>
      <w:suff w:val="nothing"/>
      <w:lvlText w:val="%1、"/>
      <w:lvlJc w:val="left"/>
      <w:rPr>
        <w:rFonts w:hint="eastAsia"/>
      </w:rPr>
    </w:lvl>
  </w:abstractNum>
  <w:abstractNum w:abstractNumId="2">
    <w:nsid w:val="BB960679"/>
    <w:multiLevelType w:val="singleLevel"/>
    <w:tmpl w:val="BB960679"/>
    <w:lvl w:ilvl="0" w:tentative="0">
      <w:start w:val="2"/>
      <w:numFmt w:val="chineseCounting"/>
      <w:suff w:val="nothing"/>
      <w:lvlText w:val="（%1）"/>
      <w:lvlJc w:val="left"/>
      <w:rPr>
        <w:rFonts w:hint="eastAsia"/>
      </w:rPr>
    </w:lvl>
  </w:abstractNum>
  <w:abstractNum w:abstractNumId="3">
    <w:nsid w:val="C9FBB7F2"/>
    <w:multiLevelType w:val="singleLevel"/>
    <w:tmpl w:val="C9FBB7F2"/>
    <w:lvl w:ilvl="0" w:tentative="0">
      <w:start w:val="1"/>
      <w:numFmt w:val="decimal"/>
      <w:suff w:val="nothing"/>
      <w:lvlText w:val="（%1）"/>
      <w:lvlJc w:val="left"/>
    </w:lvl>
  </w:abstractNum>
  <w:abstractNum w:abstractNumId="4">
    <w:nsid w:val="4DCB4F30"/>
    <w:multiLevelType w:val="multilevel"/>
    <w:tmpl w:val="4DCB4F30"/>
    <w:lvl w:ilvl="0" w:tentative="0">
      <w:start w:val="1"/>
      <w:numFmt w:val="bullet"/>
      <w:pStyle w:val="21"/>
      <w:lvlText w:val=""/>
      <w:lvlJc w:val="left"/>
      <w:pPr>
        <w:ind w:left="420" w:hanging="420"/>
      </w:pPr>
      <w:rPr>
        <w:rFonts w:hint="default" w:ascii="Wingdings" w:hAnsi="Wingdings"/>
        <w:b/>
        <w:bCs/>
        <w:color w:val="00000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219"/>
  <w:displayHorizontalDrawingGridEvery w:val="1"/>
  <w:displayVerticalDrawingGridEvery w:val="2"/>
  <w:noPunctuationKerning w:val="1"/>
  <w:characterSpacingControl w:val="compressPunctuation"/>
  <w:hdrShapeDefaults>
    <o:shapelayout v:ext="edit">
      <o:idmap v:ext="edit" data="2"/>
    </o:shapelayout>
  </w:hdrShapeDefaults>
  <w:footnotePr>
    <w:footnote w:id="4"/>
    <w:footnote w:id="5"/>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0NDIzZjBlM2ZlYmM2YjYzYzRjYTNkZGUyOTM1MTgifQ=="/>
  </w:docVars>
  <w:rsids>
    <w:rsidRoot w:val="73F52C95"/>
    <w:rsid w:val="04FB3315"/>
    <w:rsid w:val="068E5516"/>
    <w:rsid w:val="19F31E08"/>
    <w:rsid w:val="20A025BE"/>
    <w:rsid w:val="38957002"/>
    <w:rsid w:val="394A5D8E"/>
    <w:rsid w:val="3E5E28E2"/>
    <w:rsid w:val="4D57391A"/>
    <w:rsid w:val="50A12FB3"/>
    <w:rsid w:val="54326116"/>
    <w:rsid w:val="56494582"/>
    <w:rsid w:val="5CF727BD"/>
    <w:rsid w:val="62F35FA1"/>
    <w:rsid w:val="6BAF5FBC"/>
    <w:rsid w:val="7113780F"/>
    <w:rsid w:val="73F52C95"/>
    <w:rsid w:val="F1FB7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iPriority="39"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kinsoku/>
      <w:wordWrap/>
      <w:overflowPunct/>
      <w:topLinePunct w:val="0"/>
      <w:autoSpaceDE/>
      <w:autoSpaceDN/>
      <w:bidi w:val="0"/>
      <w:adjustRightInd/>
      <w:snapToGrid/>
      <w:spacing w:line="600" w:lineRule="exact"/>
      <w:ind w:firstLine="420" w:firstLineChars="200"/>
      <w:jc w:val="left"/>
      <w:textAlignment w:val="auto"/>
    </w:pPr>
    <w:rPr>
      <w:rFonts w:eastAsia="方正仿宋GBK" w:asciiTheme="minorAscii" w:hAnsiTheme="minorAscii" w:cstheme="minorBidi"/>
      <w:kern w:val="2"/>
      <w:sz w:val="32"/>
      <w:szCs w:val="24"/>
      <w:lang w:val="en-US" w:eastAsia="zh-CN" w:bidi="ar-SA"/>
    </w:rPr>
  </w:style>
  <w:style w:type="paragraph" w:styleId="2">
    <w:name w:val="heading 1"/>
    <w:basedOn w:val="1"/>
    <w:next w:val="1"/>
    <w:qFormat/>
    <w:uiPriority w:val="0"/>
    <w:pPr>
      <w:numPr>
        <w:ilvl w:val="0"/>
        <w:numId w:val="1"/>
      </w:numPr>
      <w:spacing w:before="-2147483648" w:beforeAutospacing="1" w:afterAutospacing="1"/>
      <w:ind w:firstLine="0" w:firstLineChars="0"/>
      <w:outlineLvl w:val="0"/>
    </w:pPr>
    <w:rPr>
      <w:rFonts w:ascii="宋体" w:hAnsi="宋体" w:eastAsia="方正黑体GBK" w:cs="宋体"/>
      <w:b/>
      <w:bCs/>
      <w:kern w:val="44"/>
      <w:sz w:val="36"/>
      <w:szCs w:val="48"/>
      <w:lang w:bidi="ar"/>
    </w:rPr>
  </w:style>
  <w:style w:type="paragraph" w:styleId="3">
    <w:name w:val="heading 2"/>
    <w:basedOn w:val="1"/>
    <w:next w:val="1"/>
    <w:unhideWhenUsed/>
    <w:qFormat/>
    <w:uiPriority w:val="0"/>
    <w:pPr>
      <w:spacing w:before="0" w:beforeAutospacing="1" w:after="0" w:afterAutospacing="1" w:line="240" w:lineRule="auto"/>
      <w:ind w:firstLine="0" w:firstLineChars="0"/>
      <w:jc w:val="left"/>
      <w:outlineLvl w:val="1"/>
    </w:pPr>
    <w:rPr>
      <w:rFonts w:hint="eastAsia" w:ascii="宋体" w:hAnsi="宋体" w:eastAsia="方正楷体GBK" w:cs="宋体"/>
      <w:b/>
      <w:bCs/>
      <w:kern w:val="0"/>
      <w:sz w:val="36"/>
      <w:szCs w:val="36"/>
      <w:lang w:bidi="ar"/>
    </w:rPr>
  </w:style>
  <w:style w:type="paragraph" w:styleId="4">
    <w:name w:val="heading 3"/>
    <w:basedOn w:val="1"/>
    <w:next w:val="1"/>
    <w:link w:val="25"/>
    <w:unhideWhenUsed/>
    <w:qFormat/>
    <w:uiPriority w:val="0"/>
    <w:pPr>
      <w:keepNext/>
      <w:keepLines/>
      <w:spacing w:before="260" w:beforeLines="0" w:after="260" w:afterLines="0" w:line="413" w:lineRule="auto"/>
      <w:ind w:firstLine="0" w:firstLineChars="0"/>
      <w:outlineLvl w:val="2"/>
    </w:pPr>
    <w:rPr>
      <w:rFonts w:eastAsia="方正楷体GBK"/>
      <w:b/>
    </w:rPr>
  </w:style>
  <w:style w:type="paragraph" w:styleId="5">
    <w:name w:val="heading 4"/>
    <w:basedOn w:val="4"/>
    <w:next w:val="1"/>
    <w:link w:val="26"/>
    <w:unhideWhenUsed/>
    <w:qFormat/>
    <w:uiPriority w:val="9"/>
    <w:pPr>
      <w:spacing w:line="240" w:lineRule="auto"/>
      <w:outlineLvl w:val="3"/>
    </w:pPr>
    <w:rPr>
      <w:rFonts w:ascii="Arial" w:hAnsi="Arial"/>
      <w:sz w:val="32"/>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tabs>
        <w:tab w:val="right" w:leader="dot" w:pos="8306"/>
      </w:tabs>
      <w:spacing w:line="240" w:lineRule="auto"/>
      <w:ind w:left="840" w:leftChars="400" w:firstLine="0" w:firstLineChars="0"/>
    </w:pPr>
    <w:rPr>
      <w:rFonts w:asciiTheme="minorHAnsi" w:hAnsiTheme="minorHAnsi" w:eastAsiaTheme="minorEastAsia"/>
      <w:sz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tabs>
        <w:tab w:val="right" w:leader="dot" w:pos="8306"/>
      </w:tabs>
      <w:spacing w:line="240" w:lineRule="auto"/>
      <w:ind w:firstLine="0" w:firstLineChars="0"/>
    </w:pPr>
    <w:rPr>
      <w:rFonts w:eastAsiaTheme="minorEastAsia"/>
      <w:b/>
      <w:bCs/>
      <w:sz w:val="24"/>
    </w:rPr>
  </w:style>
  <w:style w:type="paragraph" w:styleId="10">
    <w:name w:val="toc 4"/>
    <w:basedOn w:val="1"/>
    <w:next w:val="1"/>
    <w:semiHidden/>
    <w:unhideWhenUsed/>
    <w:qFormat/>
    <w:uiPriority w:val="39"/>
    <w:pPr>
      <w:spacing w:line="240" w:lineRule="auto"/>
      <w:ind w:left="720"/>
      <w:jc w:val="left"/>
    </w:pPr>
    <w:rPr>
      <w:rFonts w:eastAsiaTheme="minorEastAsia"/>
      <w:sz w:val="20"/>
      <w:szCs w:val="20"/>
    </w:rPr>
  </w:style>
  <w:style w:type="paragraph" w:styleId="11">
    <w:name w:val="footnote text"/>
    <w:basedOn w:val="1"/>
    <w:semiHidden/>
    <w:unhideWhenUsed/>
    <w:qFormat/>
    <w:uiPriority w:val="99"/>
    <w:pPr>
      <w:snapToGrid w:val="0"/>
      <w:jc w:val="left"/>
    </w:pPr>
    <w:rPr>
      <w:sz w:val="18"/>
      <w:szCs w:val="18"/>
    </w:rPr>
  </w:style>
  <w:style w:type="paragraph" w:styleId="12">
    <w:name w:val="toc 2"/>
    <w:basedOn w:val="1"/>
    <w:next w:val="1"/>
    <w:qFormat/>
    <w:uiPriority w:val="0"/>
    <w:pPr>
      <w:tabs>
        <w:tab w:val="right" w:leader="dot" w:pos="8306"/>
      </w:tabs>
      <w:spacing w:line="240" w:lineRule="auto"/>
      <w:ind w:left="640" w:leftChars="200" w:firstLine="0" w:firstLineChars="0"/>
    </w:pPr>
    <w:rPr>
      <w:rFonts w:eastAsiaTheme="minorEastAsia"/>
      <w:sz w:val="24"/>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styleId="17">
    <w:name w:val="page number"/>
    <w:basedOn w:val="15"/>
    <w:semiHidden/>
    <w:unhideWhenUsed/>
    <w:qFormat/>
    <w:uiPriority w:val="99"/>
  </w:style>
  <w:style w:type="character" w:styleId="18">
    <w:name w:val="FollowedHyperlink"/>
    <w:basedOn w:val="15"/>
    <w:qFormat/>
    <w:uiPriority w:val="0"/>
    <w:rPr>
      <w:color w:val="800080"/>
      <w:u w:val="single"/>
    </w:rPr>
  </w:style>
  <w:style w:type="character" w:styleId="19">
    <w:name w:val="Hyperlink"/>
    <w:basedOn w:val="15"/>
    <w:qFormat/>
    <w:uiPriority w:val="0"/>
    <w:rPr>
      <w:color w:val="0000FF"/>
      <w:u w:val="single"/>
    </w:rPr>
  </w:style>
  <w:style w:type="character" w:styleId="20">
    <w:name w:val="footnote reference"/>
    <w:basedOn w:val="15"/>
    <w:semiHidden/>
    <w:unhideWhenUsed/>
    <w:qFormat/>
    <w:uiPriority w:val="99"/>
    <w:rPr>
      <w:vertAlign w:val="superscript"/>
    </w:rPr>
  </w:style>
  <w:style w:type="paragraph" w:styleId="21">
    <w:name w:val="List Paragraph"/>
    <w:basedOn w:val="1"/>
    <w:qFormat/>
    <w:uiPriority w:val="34"/>
    <w:pPr>
      <w:widowControl/>
      <w:numPr>
        <w:ilvl w:val="0"/>
        <w:numId w:val="2"/>
      </w:numPr>
      <w:spacing w:line="460" w:lineRule="exact"/>
      <w:ind w:left="2520" w:hanging="420"/>
      <w:jc w:val="left"/>
    </w:pPr>
    <w:rPr>
      <w:rFonts w:ascii="宋体" w:hAnsi="宋体" w:cs="Calibri"/>
      <w:kern w:val="0"/>
      <w:sz w:val="28"/>
      <w:szCs w:val="28"/>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character" w:customStyle="1" w:styleId="25">
    <w:name w:val="标题 3 Char"/>
    <w:link w:val="4"/>
    <w:uiPriority w:val="0"/>
    <w:rPr>
      <w:rFonts w:eastAsia="方正楷体GBK"/>
      <w:b/>
    </w:rPr>
  </w:style>
  <w:style w:type="character" w:customStyle="1" w:styleId="26">
    <w:name w:val="标题 4 Char"/>
    <w:link w:val="5"/>
    <w:uiPriority w:val="9"/>
    <w:rPr>
      <w:rFonts w:ascii="Arial" w:hAnsi="Arial"/>
      <w:sz w:val="32"/>
    </w:rPr>
  </w:style>
  <w:style w:type="paragraph" w:customStyle="1" w:styleId="27">
    <w:name w:val="TOC Heading"/>
    <w:basedOn w:val="2"/>
    <w:next w:val="1"/>
    <w:unhideWhenUsed/>
    <w:qFormat/>
    <w:uiPriority w:val="39"/>
    <w:pPr>
      <w:spacing w:before="480" w:after="0" w:line="276" w:lineRule="auto"/>
      <w:jc w:val="left"/>
      <w:outlineLvl w:val="9"/>
    </w:pPr>
    <w:rPr>
      <w:rFonts w:asciiTheme="majorHAnsi" w:hAnsiTheme="majorHAnsi" w:eastAsiaTheme="majorEastAsia" w:cstheme="majorBidi"/>
      <w:color w:val="2E54A1"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14223</Words>
  <Characters>14679</Characters>
  <Lines>0</Lines>
  <Paragraphs>0</Paragraphs>
  <TotalTime>13</TotalTime>
  <ScaleCrop>false</ScaleCrop>
  <LinksUpToDate>false</LinksUpToDate>
  <CharactersWithSpaces>15156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2025-11-18T21:26:00Z</dcterms:created>
  <dc:creator>赵梓楠</dc:creator>
  <cp:lastModifiedBy>故故故故梦`</cp:lastModifiedBy>
  <dcterms:modified xsi:type="dcterms:W3CDTF">2025-11-26T08:54:22Z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53E6F699F6A744768C3140C666D497F4_13</vt:lpwstr>
  </property>
</Properties>
</file>