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80"/>
        <w:jc w:val="both"/>
      </w:pPr>
      <w:r>
        <w:t>9月12日，国家发展改革委、国家能源局印发《电力现货连续运行地区市场建设指引》的通知。</w:t>
      </w:r>
    </w:p>
    <w:p>
      <w:pPr>
        <w:ind w:firstLine="480"/>
        <w:jc w:val="both"/>
      </w:pPr>
      <w:r>
        <w:t>文件提出，推动发用两侧共同参与现货市场，鼓励虚拟电厂、智能微电网、新型储能等新型经营主体和用电侧主体“报量报价”参与现货市场竞争，探索按节点/分区电价申报及结算。支持“电源+储能”作为联合报价主体参与现货市场。</w:t>
      </w:r>
    </w:p>
    <w:p>
      <w:pPr>
        <w:ind w:firstLine="480"/>
        <w:jc w:val="both"/>
      </w:pPr>
      <w:r>
        <w:t>建立容量评估机制。探索建立发电机组可靠容量评估机制，综合考虑发电机组类型、出力特性、厂用电率、检修停机等因素，科学评估各类型机组及新型储能的容量系数，客观反映其对电力系统发电容量充裕度的实际贡献。</w:t>
      </w:r>
    </w:p>
    <w:p>
      <w:pPr>
        <w:ind w:firstLine="480"/>
        <w:jc w:val="both"/>
      </w:pPr>
      <w:r>
        <w:t>支持各地探索完善新能源全面入市下的现货市场机制。做好市场竞争与系统运行的衔接，优化现货市场出清机制，形成反映供需关系和调节成本的分时价格信号。开展日前交易的地区，以发用电两侧经营主体自主申报的量价信息出清和结算，通过日前价格信号激励用户合理安排生产计划、参与系统调节。加快完善可靠性机组组合环节，以负荷预测和新能源功率预测为基础，优化形成机组组合，保障市场环境下的电力安全可靠供应。</w:t>
      </w:r>
    </w:p>
    <w:p>
      <w:pPr>
        <w:ind w:firstLine="480"/>
        <w:jc w:val="both"/>
      </w:pPr>
      <w:r>
        <w:t>完善中长期签约及限价机制。国家统筹考虑电力供需形势、电力保供要求、电力市场建设进展等因素，明确中长期交易签约比例要求，各地在签约要求范围内结合实际动态调整、做好落实。完善煤电中长期交易限价，逐步实现月度、月内等较短时间尺度中长期交易限价范围与现货市场限价贴近，具体由价格主管部门会同有关部门确定。</w:t>
      </w:r>
    </w:p>
    <w:p>
      <w:pPr>
        <w:ind w:firstLine="480"/>
        <w:jc w:val="both"/>
      </w:pPr>
      <w:r>
        <w:t>完善调频辅助服务市场。规范调频容量需求标准，基于调节速率、调节精度、响应时间等细分性能，建立以调节效果为导向的市场机制，推动调频市场与电能量市场联合出清，实现整体成本最优。</w:t>
      </w:r>
    </w:p>
    <w:p>
      <w:pPr>
        <w:ind w:firstLine="480"/>
        <w:jc w:val="both"/>
      </w:pPr>
      <w:r>
        <w:t>扩大参与辅助服务市场主体范围。鼓励包括新型经营主体在内的各类主体根据自身特性，以聚合等多种方式参与辅助服务市场，更好发挥灵活调节资源作用。各类市场经营主体按照所提供的辅助服务获取收益，按照国家相关文件要求分担辅助服务费用。</w:t>
      </w:r>
    </w:p>
    <w:p>
      <w:pPr>
        <w:ind w:firstLine="480"/>
        <w:jc w:val="both"/>
      </w:pPr>
      <w:r>
        <w:rPr>
          <w:rFonts w:ascii="宋体" w:hAnsi="宋体"/>
          <w:sz w:val="24"/>
        </w:rPr>
        <w:t>国家发展改革委 2025/9/15</w:t>
      </w:r>
    </w:p>
    <w:p>
      <w:pPr>
        <w:spacing w:line="240" w:lineRule="auto" w:after="240"/>
        <w:jc w:val="right"/>
      </w:pPr>
      <w:r>
        <w:rPr>
          <w:rFonts w:ascii="宋体" w:hAnsi="宋体"/>
          <w:sz w:val="24"/>
        </w:rPr>
        <w:t>返回目录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