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E41" w:rsidRPr="00C70E41" w:rsidRDefault="00C70E41" w:rsidP="00C70E41">
      <w:pPr>
        <w:jc w:val="both"/>
        <w:rPr>
          <w:rFonts w:ascii="Times New Roman" w:eastAsia="Times New Roman" w:hAnsi="Times New Roman" w:cs="Times New Roman"/>
          <w:kern w:val="0"/>
          <w:lang w:eastAsia="en-GB"/>
          <w14:ligatures w14:val="none"/>
        </w:rPr>
      </w:pPr>
      <w:r w:rsidRPr="00C70E41">
        <w:rPr>
          <w:rFonts w:ascii="Calibri" w:eastAsia="Times New Roman" w:hAnsi="Calibri" w:cs="Calibri"/>
          <w:b/>
          <w:bCs/>
          <w:color w:val="000000"/>
          <w:kern w:val="0"/>
          <w:lang w:eastAsia="en-GB"/>
          <w14:ligatures w14:val="none"/>
        </w:rPr>
        <w:t>Supplementary File 1: Rabies diagnosis and sequencing </w:t>
      </w:r>
    </w:p>
    <w:p w:rsidR="00C70E41" w:rsidRPr="006A201A" w:rsidRDefault="00C70E41" w:rsidP="00C70E41">
      <w:pPr>
        <w:jc w:val="both"/>
        <w:rPr>
          <w:rFonts w:ascii="Calibri" w:eastAsia="Times New Roman" w:hAnsi="Calibri" w:cs="Calibri"/>
          <w:i/>
          <w:iCs/>
          <w:color w:val="000000"/>
          <w:kern w:val="0"/>
          <w:lang w:eastAsia="en-GB"/>
          <w14:ligatures w14:val="none"/>
        </w:rPr>
      </w:pPr>
    </w:p>
    <w:p w:rsidR="00C70E41" w:rsidRPr="006A201A" w:rsidRDefault="00C70E41" w:rsidP="00C70E41">
      <w:pPr>
        <w:jc w:val="both"/>
        <w:rPr>
          <w:rFonts w:ascii="Calibri" w:eastAsia="Times New Roman" w:hAnsi="Calibri" w:cs="Calibri"/>
          <w:i/>
          <w:iCs/>
          <w:color w:val="000000"/>
          <w:kern w:val="0"/>
          <w:lang w:eastAsia="en-GB"/>
          <w14:ligatures w14:val="none"/>
        </w:rPr>
      </w:pPr>
      <w:r w:rsidRPr="00C70E41">
        <w:rPr>
          <w:rFonts w:ascii="Calibri" w:eastAsia="Times New Roman" w:hAnsi="Calibri" w:cs="Calibri"/>
          <w:i/>
          <w:iCs/>
          <w:color w:val="000000"/>
          <w:kern w:val="0"/>
          <w:lang w:eastAsia="en-GB"/>
          <w14:ligatures w14:val="none"/>
        </w:rPr>
        <w:t>Diagnosis </w:t>
      </w:r>
    </w:p>
    <w:p w:rsidR="00C70E41" w:rsidRPr="006A201A" w:rsidRDefault="00C70E41" w:rsidP="00F35909">
      <w:pPr>
        <w:spacing w:line="360" w:lineRule="auto"/>
        <w:jc w:val="both"/>
        <w:rPr>
          <w:rFonts w:eastAsia="Times New Roman" w:cstheme="minorHAnsi"/>
          <w:kern w:val="0"/>
          <w:lang w:eastAsia="en-GB"/>
          <w14:ligatures w14:val="none"/>
        </w:rPr>
      </w:pPr>
    </w:p>
    <w:p w:rsidR="00F35909" w:rsidRPr="006A201A" w:rsidRDefault="00C70E41" w:rsidP="00F35909">
      <w:pPr>
        <w:spacing w:line="360" w:lineRule="auto"/>
        <w:jc w:val="both"/>
        <w:rPr>
          <w:rFonts w:eastAsia="Times New Roman" w:cstheme="minorHAnsi"/>
          <w:color w:val="000000"/>
          <w:kern w:val="0"/>
          <w:lang w:eastAsia="en-GB"/>
          <w14:ligatures w14:val="none"/>
        </w:rPr>
      </w:pPr>
      <w:r w:rsidRPr="006A201A">
        <w:rPr>
          <w:rFonts w:ascii="Calibri" w:eastAsia="Times New Roman" w:hAnsi="Calibri" w:cs="Calibri"/>
          <w:color w:val="000000"/>
          <w:kern w:val="0"/>
          <w:lang w:eastAsia="en-GB"/>
          <w14:ligatures w14:val="none"/>
        </w:rPr>
        <w:t>Post-mortem brain samples were collected by pathologists at the hospitals where the deceased attended. Samples from case 1 were collected two days after death whereas samples from all other cases were collected the same day.  Testing and sequencing was conducted at the Kilimanjaro Clinical Research Institute (KCRI), Tanzania, and at the University of Nairobi Institute of Tropical and Infectious Diseases (UNITID), Kenya. Samples from cases 1 and 2 were stored for over a year at UNITID at</w:t>
      </w:r>
      <w:r w:rsidRPr="006A201A">
        <w:rPr>
          <w:rFonts w:ascii="Calibri" w:eastAsia="Times New Roman" w:hAnsi="Calibri" w:cs="Calibri"/>
          <w:color w:val="000000"/>
          <w:kern w:val="0"/>
          <w:shd w:val="clear" w:color="auto" w:fill="FFFF00"/>
          <w:lang w:eastAsia="en-GB"/>
          <w14:ligatures w14:val="none"/>
        </w:rPr>
        <w:t xml:space="preserve"> -80°C</w:t>
      </w:r>
      <w:r w:rsidRPr="006A201A">
        <w:rPr>
          <w:rFonts w:ascii="Calibri" w:eastAsia="Times New Roman" w:hAnsi="Calibri" w:cs="Calibri"/>
          <w:color w:val="000000"/>
          <w:kern w:val="0"/>
          <w:lang w:eastAsia="en-GB"/>
          <w14:ligatures w14:val="none"/>
        </w:rPr>
        <w:t xml:space="preserve"> before testing, while samples from case 3 were stored for one month at KCRI at </w:t>
      </w:r>
      <w:r w:rsidRPr="006A201A">
        <w:rPr>
          <w:rFonts w:ascii="Calibri" w:eastAsia="Times New Roman" w:hAnsi="Calibri" w:cs="Calibri"/>
          <w:color w:val="000000"/>
          <w:kern w:val="0"/>
          <w:shd w:val="clear" w:color="auto" w:fill="FFFF00"/>
          <w:lang w:eastAsia="en-GB"/>
          <w14:ligatures w14:val="none"/>
        </w:rPr>
        <w:t>-80°C</w:t>
      </w:r>
      <w:r w:rsidRPr="006A201A">
        <w:rPr>
          <w:rFonts w:ascii="Calibri" w:eastAsia="Times New Roman" w:hAnsi="Calibri" w:cs="Calibri"/>
          <w:color w:val="000000"/>
          <w:kern w:val="0"/>
          <w:lang w:eastAsia="en-GB"/>
          <w14:ligatures w14:val="none"/>
        </w:rPr>
        <w:t xml:space="preserve">. Samples from cases 4 and 5 were tested on the same day as collection, then stored for varying periods at </w:t>
      </w:r>
      <w:r w:rsidRPr="006A201A">
        <w:rPr>
          <w:rFonts w:ascii="Calibri" w:eastAsia="Times New Roman" w:hAnsi="Calibri" w:cs="Calibri"/>
          <w:color w:val="000000"/>
          <w:kern w:val="0"/>
          <w:shd w:val="clear" w:color="auto" w:fill="FFFF00"/>
          <w:lang w:eastAsia="en-GB"/>
          <w14:ligatures w14:val="none"/>
        </w:rPr>
        <w:t>-80°C</w:t>
      </w:r>
      <w:r w:rsidRPr="006A201A">
        <w:rPr>
          <w:rFonts w:ascii="Calibri" w:eastAsia="Times New Roman" w:hAnsi="Calibri" w:cs="Calibri"/>
          <w:color w:val="000000"/>
          <w:kern w:val="0"/>
          <w:lang w:eastAsia="en-GB"/>
          <w14:ligatures w14:val="none"/>
        </w:rPr>
        <w:t xml:space="preserve"> before sequencing. All samples were tested with rapid diagnostic tests (Antigen Rapid Rabies Ag Test Kit, BioNote) following the manufacturer’s instructions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{"citationID":"3uEvnVTA","properties":{"formattedCitation":"[1]","plainCitation":"[1]","noteIndex":0},"citationItems":[{"id":1232,"uris":["http://zotero.org/users/8057111/items/LJUWPNFF"],"itemData":{"id":1232,"type":"webpage","title":"Rabies Ag - BioNote - Canine Rapid Test - Pet Rapid Test","URL":"https://www.qbiotech.gr/pet-rapid-test/canine-rapid-test/bionote-canine/rabies-ag.html?___store=en&amp;___from_store=el","accessed":{"date-parts":[["2022",10,20]]}}}],"schema":"https://github.com/citation-style-language/schema/raw/master/csl-citation.json"}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[1]</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color w:val="000000"/>
          <w:kern w:val="0"/>
          <w:lang w:val="en-GB" w:eastAsia="en-GB"/>
          <w14:ligatures w14:val="none"/>
        </w:rPr>
        <w:t xml:space="preserve"> </w:t>
      </w:r>
      <w:r w:rsidR="00F35909" w:rsidRPr="006A201A">
        <w:rPr>
          <w:rFonts w:eastAsia="Times New Roman" w:cstheme="minorHAnsi"/>
          <w:color w:val="000000"/>
          <w:kern w:val="0"/>
          <w:lang w:eastAsia="en-GB"/>
          <w14:ligatures w14:val="none"/>
        </w:rPr>
        <w:t>Additionally, a brain specimen from case 3 was fixed in formalin for immunohistochemistry</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{"citationID":"HEW2vRhv","properties":{"formattedCitation":"[2]","plainCitation":"[2]","noteIndex":0},"citationItems":[{"id":1635,"uris":["http://zotero.org/users/8057111/items/IS37E4UK"],"itemData":{"id":1635,"type":"article-journal","abstract":"One of the primary diagnostic modalities for rabies is the detection of viral ribonucleoprotein (RNP) complex (antigen) in the infected tissue samples. While the direct fluorescent antibody (DFA) test or the direct rapid immunohistochemical test (DRIT) are most commonly utilized for the antigen detection, both tests require fresh and/or frozen tissues for impressions on slides prior to the antigen detection using antibodies. If samples are collected and fixed in formalin, neither test is optimal for the antigen detection, however, testing can be performed by conventional immunohistochemistry (IHC) after embedding in paraffin blocks and sectioning. With this IHC method, tissues are stained with anti-rabies antibodies, sections are deparaffinized, antigen retrieved by partial proteolysis or other methods, and incubated with primary and secondary antibodies. Antigens are stained using horseradish peroxidase / amino ethyl carbazole and counterstained with hematoxylin for the visualization using a light microscope. In addition to the specific antigen detection, formalin fixation offers other advantages like the determination of histological changes, relaxed conditions for specimen storage and transport (under ambient temperatures), ability to test retrospective cases and improved biological safety through the inactivation of infectious agents.","container-title":"JoVE (Journal of Visualized Experiments)","DOI":"10.3791/60138","ISSN":"1940-087X","issue":"176","language":"en","page":"e60138","source":"www.jove.com","title":"Immunohistochemistry Test for the Lyssavirus Antigen Detection from Formalin-Fixed Tissues","author":[{"family":"Niezgoda","given":"Michael"},{"family":"Satheshkumar","given":"Panayampalli Subbian"}],"issued":{"date-parts":[["2021",10,26]]}}}],"schema":"https://github.com/citation-style-language/schema/raw/master/csl-citation.json"}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[2]</w:t>
      </w:r>
      <w:r w:rsidR="00DB72B1" w:rsidRPr="006A201A">
        <w:rPr>
          <w:rFonts w:eastAsia="Times New Roman" w:cstheme="minorHAnsi"/>
          <w:color w:val="000000"/>
          <w:kern w:val="0"/>
          <w:lang w:eastAsia="en-GB"/>
          <w14:ligatures w14:val="none"/>
        </w:rPr>
        <w:fldChar w:fldCharType="end"/>
      </w:r>
      <w:r w:rsidR="00F35909" w:rsidRPr="006A201A">
        <w:rPr>
          <w:rFonts w:eastAsia="Times New Roman" w:cstheme="minorHAnsi"/>
          <w:color w:val="000000"/>
          <w:kern w:val="0"/>
          <w:lang w:eastAsia="en-GB"/>
          <w14:ligatures w14:val="none"/>
        </w:rPr>
        <w:t xml:space="preserve"> at the Department of Viroscience, Rotterdam, the Netherlands. The sample was first embedded in paraffin, cut in 3µM slices, stained with antibody against the nucleoprotein (RABV-N, antibody 5DF12) then with peroxidase-labelled goat-anti-mouse IgG1. Peroxidase was revealed with aminoethyl carbazole, resulting in a red precipitate. Slides were counterstained with hematoxylin. Isotype controls (Streptavidin-biotin complex) were included to assess specific staining</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{"citationID":"iOMm65rO","properties":{"formattedCitation":"[3]","plainCitation":"[3]","noteIndex":0},"citationItems":[{"id":1234,"uris":["http://zotero.org/users/8057111/items/REZAZM4G"],"itemData":{"id":1234,"type":"webpage","abstract":"Immunohistochemistry (IHC) methods are a sensitive and specific means to detect rabies in formalin-fixed tissues. IHC uses specific antibodies to detect rabies virus.","language":"en-us","title":"CDC - Diagnosis: Immunohistochemistry (IHC) - Rabies","title-short":"CDC - Diagnosis","URL":"https://www.cdc.gov/rabies/diagnosis/immunohistochemistry.html","accessed":{"date-parts":[["2022",10,20]]},"issued":{"date-parts":[["2022",5,10]]}}}],"schema":"https://github.com/citation-style-language/schema/raw/master/csl-citation.json"}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[3]</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p>
    <w:p w:rsidR="00F35909" w:rsidRPr="006A201A" w:rsidRDefault="00F35909" w:rsidP="00F35909">
      <w:pPr>
        <w:spacing w:line="360" w:lineRule="auto"/>
        <w:rPr>
          <w:rFonts w:eastAsia="Times New Roman" w:cstheme="minorHAnsi"/>
          <w:kern w:val="0"/>
          <w:lang w:eastAsia="en-GB"/>
          <w14:ligatures w14:val="none"/>
        </w:rPr>
      </w:pPr>
    </w:p>
    <w:p w:rsidR="00C70E41" w:rsidRPr="006A201A" w:rsidRDefault="006A201A" w:rsidP="00F35909">
      <w:pPr>
        <w:spacing w:line="360" w:lineRule="auto"/>
        <w:jc w:val="both"/>
        <w:rPr>
          <w:rFonts w:eastAsia="Times New Roman" w:cstheme="minorHAnsi"/>
          <w:color w:val="000000"/>
          <w:kern w:val="0"/>
          <w:lang w:eastAsia="en-GB"/>
          <w14:ligatures w14:val="none"/>
        </w:rPr>
      </w:pPr>
      <w:r w:rsidRPr="006A201A">
        <w:rPr>
          <w:rFonts w:ascii="Calibri" w:hAnsi="Calibri" w:cs="Calibri"/>
          <w:i/>
          <w:iCs/>
          <w:color w:val="000000"/>
        </w:rPr>
        <w:t>Sequencing</w:t>
      </w:r>
    </w:p>
    <w:p w:rsidR="00C70E41" w:rsidRPr="006A201A" w:rsidRDefault="00C70E41" w:rsidP="006A201A">
      <w:pPr>
        <w:spacing w:line="360" w:lineRule="auto"/>
        <w:jc w:val="both"/>
        <w:rPr>
          <w:rFonts w:eastAsia="Times New Roman" w:cstheme="minorHAnsi"/>
          <w:kern w:val="0"/>
          <w:lang w:eastAsia="en-GB"/>
          <w14:ligatures w14:val="none"/>
        </w:rPr>
      </w:pPr>
      <w:r w:rsidRPr="006A201A">
        <w:rPr>
          <w:rFonts w:ascii="Calibri" w:eastAsia="Times New Roman" w:hAnsi="Calibri" w:cs="Calibri"/>
          <w:color w:val="000000"/>
          <w:kern w:val="0"/>
          <w:lang w:eastAsia="en-GB"/>
          <w14:ligatures w14:val="none"/>
        </w:rPr>
        <w:t xml:space="preserve">Brain samples were prepared and sequenced following a previously established end-to-end protocol </w:t>
      </w:r>
      <w:r w:rsidRPr="006A201A">
        <w:rPr>
          <w:rFonts w:eastAsia="Times New Roman" w:cstheme="minorHAnsi"/>
          <w:color w:val="000000"/>
          <w:kern w:val="0"/>
          <w:lang w:eastAsia="en-GB"/>
          <w14:ligatures w14:val="none"/>
        </w:rPr>
        <w:fldChar w:fldCharType="begin"/>
      </w:r>
      <w:r w:rsidR="00D93D38">
        <w:rPr>
          <w:rFonts w:eastAsia="Times New Roman" w:cstheme="minorHAnsi"/>
          <w:color w:val="000000"/>
          <w:kern w:val="0"/>
          <w:lang w:eastAsia="en-GB"/>
          <w14:ligatures w14:val="none"/>
        </w:rPr>
        <w:instrText xml:space="preserve"> ADDIN ZOTERO_ITEM CSL_CITATION {"citationID":"bxLULBWm","properties":{"formattedCitation":"[4]","plainCitation":"[4]","noteIndex":0},"citationItems":[{"id":1695,"uris":["http://zotero.org/groups/4242481/items/KKCFF4M7"],"itemData":{"id":1695,"type":"article-journal","abstract":"Genomic data can be used to track the transmission and geographic spread of infectious diseases. However, the sequencing capacity required for genomic surveillance remains limited in many low- and middle-income countries (LMICs), where dog-mediated rabies and/or rabies transmitted by wildlife such as vampire bats pose major public health and economic concerns. We present here a rapid and affordable sample-to-sequence-to-interpretation workflow using nanopore technology. Protocols for sample collection and the diagnosis of rabies are briefly described, followed by details of the optimized whole genome sequencing workflow, including primer design and optimization for multiplex polymerase chain reaction (PCR), a modified, low-cost sequencing library preparation, sequencing with live and offline base calling, genetic lineage designation, and phylogenetic analysis. Implementation of the workflow is demonstrated, and critical steps are highlighted for local deployment, such as pipeline validation, primer optimization, inclusion of negative controls, and the use of publicly available data and genomic tools (GLUE, MADDOG) for classification and placement within regional and global phylogenies. The turnaround time for the workflow is 2-3 days, and the cost ranges from $25 per sample for a 96 sample run to $80 per sample for a 12 sample run. We conclude that setting up rabies virus genomic surveillance in LMICs is feasible and can support progress toward the global goal of zero dog-mediated human rabies deaths by 2030, as well as enhanced monitoring of wildlife rabies spread. Moreover, the platform can be adapted for other pathogens, helping to build a versatile genomic capacity that contributes to epidemic and pandemic preparedness.","container-title":"Journal of Visualized Experiments: JoVE","DOI":"10.3791/65414","ISSN":"1940-087X","issue":"198","journalAbbreviation":"J Vis Exp","language":"eng","note":"PMID: 37677046","source":"PubMed","title":"Whole Genome Sequencing for Rapid Characterization of Rabies Virus Using Nanopore Technology","author":[{"family":"Bautista","given":"Criselda"},{"family":"Jaswant","given":"Gurdeep"},{"family":"French","given":"Hollie"},{"family":"Campbell","given":"Kathryn"},{"family":"Durrant","given":"Rowan"},{"family":"Gifford","given":"Robert"},{"family":"Kia","given":"Grace S. N."},{"family":"Ogoti","given":"Brian"},{"family":"Hampson","given":"Katie"},{"family":"Brunker","given":"Kirstyn"}],"issued":{"date-parts":[["2023",8,18]]}}}],"schema":"https://github.com/citation-style-language/schema/raw/master/csl-citation.json"} </w:instrText>
      </w:r>
      <w:r w:rsidRPr="006A201A">
        <w:rPr>
          <w:rFonts w:eastAsia="Times New Roman" w:cstheme="minorHAnsi"/>
          <w:color w:val="000000"/>
          <w:kern w:val="0"/>
          <w:lang w:eastAsia="en-GB"/>
          <w14:ligatures w14:val="none"/>
        </w:rPr>
        <w:fldChar w:fldCharType="separate"/>
      </w:r>
      <w:r w:rsidR="00D93D38">
        <w:rPr>
          <w:rFonts w:ascii="Calibri" w:cs="Calibri"/>
          <w:color w:val="000000"/>
          <w:kern w:val="0"/>
          <w:lang w:val="en-GB"/>
        </w:rPr>
        <w:t>[4]</w:t>
      </w:r>
      <w:r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w:t>
      </w:r>
      <w:r w:rsidRPr="006A201A">
        <w:rPr>
          <w:rFonts w:eastAsia="Times New Roman" w:cstheme="minorHAnsi"/>
          <w:color w:val="000000"/>
          <w:kern w:val="0"/>
          <w:lang w:eastAsia="en-GB"/>
          <w14:ligatures w14:val="none"/>
        </w:rPr>
        <w:t xml:space="preserve"> </w:t>
      </w:r>
      <w:r w:rsidRPr="006A201A">
        <w:rPr>
          <w:rFonts w:ascii="Calibri" w:eastAsia="Times New Roman" w:hAnsi="Calibri" w:cs="Calibri"/>
          <w:color w:val="000000"/>
          <w:kern w:val="0"/>
          <w:lang w:eastAsia="en-GB"/>
          <w14:ligatures w14:val="none"/>
        </w:rPr>
        <w:t xml:space="preserve">In brief, brain tissue was homogenised and inactivated in RNA shield (Zymo Research, USA). Total RNA was extracted using the Quick Viral RNA Mini-prep Kit (Zymo Research, USA), followed by cDNA synthesis with LunaScript RT Supermix (New England Biolabs, UK). </w:t>
      </w:r>
      <w:r w:rsidRPr="006A201A">
        <w:rPr>
          <w:rFonts w:ascii="Calibri" w:eastAsia="Times New Roman" w:hAnsi="Calibri" w:cs="Calibri"/>
          <w:color w:val="000000"/>
          <w:kern w:val="0"/>
          <w:shd w:val="clear" w:color="auto" w:fill="FFFF00"/>
          <w:lang w:eastAsia="en-GB"/>
          <w14:ligatures w14:val="none"/>
        </w:rPr>
        <w:t>To enrich the RABV DNA, multiplex PCR was conducted following the widely used “ARTIC-method”</w:t>
      </w:r>
      <w:r w:rsidRPr="006A201A">
        <w:rPr>
          <w:rFonts w:ascii="Calibri" w:eastAsia="Times New Roman" w:hAnsi="Calibri" w:cs="Calibri"/>
          <w:color w:val="000000"/>
          <w:kern w:val="0"/>
          <w:lang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{"citationID":"hw1ojY7g","properties":{"formattedCitation":"[5,6]","plainCitation":"[5,6]","noteIndex":0},"citationItems":[{"id":219,"uris":["http://zotero.org/users/8057111/items/K6CS9ZI9"],"itemData":{"id":219,"type":"article-journal","abstract":"This multiplex PCR enrichment protocol enables sequencing of Zika and other viral genomes of low abundance from clinical samples using the Illumina platform, or the portable MinION sequencer, facilitating direct application in field situations.","container-title":"Nature Protocols","DOI":"10.1038/nprot.2017.066","ISSN":"17502799","issue":"6","page":"1261–1266","title":"Multiplex PCR method for MinION and Illumina sequencing of Zika and other virus genomes directly from clinical samples","volume":"12","author":[{"family":"Quick","given":"Joshua"},{"family":"Grubaugh","given":"Nathan D."},{"family":"Pullan","given":"Steven T."},{"family":"Claro","given":"Ingra M."},{"family":"Smith","given":"Andrew D."},{"family":"Gangavarapu","given":"Karthik"},{"family":"Oliveira","given":"Glenn"},{"family":"Robles-Sikisaka","given":"Refugio"},{"family":"Rogers","given":"Thomas F."},{"family":"Beutler","given":"Nathan A."},{"family":"Burton","given":"Dennis R."},{"family":"Lewis-Ximenez","given":"Lia Laura"},{"family":"De Jesus","given":"Jaqueline Goes"},{"family":"Giovanetti","given":"Marta"},{"family":"Hill","given":"Sarah C."},{"family":"Black","given":"Allison"},{"family":"Bedford","given":"Trevor"},{"family":"Carroll","given":"Miles W."},{"family":"Nunes","given":"Marcio"},{"family":"Alcantara","given":"Luiz Carlos"},{"family":"Sabino","given":"Ester C."},{"family":"Baylis","given":"Sally A."},{"family":"Faria","given":"Nuno R."},{"family":"Loose","given":"Matthew"},{"family":"Simpson","given":"Jared T."},{"family":"Pybus","given":"Oliver G."},{"family":"Andersen","given":"Kristian G."},{"family":"Loman","given":"Nicholas J."}],"issued":{"date-parts":[["2017"]]}}},{"id":191,"uris":["http://zotero.org/users/8057111/items/KA4LGPX9"],"itemData":{"id":191,"type":"article-journal","abstract":"Genomic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[5,6]</w:t>
      </w:r>
      <w:r w:rsidR="00DB72B1"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 xml:space="preserve">, </w:t>
      </w:r>
      <w:r w:rsidRPr="006A201A">
        <w:rPr>
          <w:rFonts w:ascii="Calibri" w:eastAsia="Times New Roman" w:hAnsi="Calibri" w:cs="Calibri"/>
          <w:color w:val="000000"/>
          <w:kern w:val="0"/>
          <w:lang w:eastAsia="en-GB"/>
          <w14:ligatures w14:val="none"/>
        </w:rPr>
        <w:t>using previously designed primers specific to RABV in East Africa</w:t>
      </w:r>
      <w:r w:rsidRPr="006A201A">
        <w:rPr>
          <w:rFonts w:ascii="Calibri" w:eastAsia="Times New Roman" w:hAnsi="Calibri" w:cs="Calibr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{"citationID":"S1DC1FiU","properties":{"formattedCitation":"[7]","plainCitation":"[7]","noteIndex":0},"citationItems":[{"id":1239,"uris":["http://zotero.org/users/8057111/items/8GK7NHHG"],"itemData":{"id":1239,"type":"webpage","title":"PrimalScheme: primer panels for multiplex PCR","URL":"https://primalscheme.com/","accessed":{"date-parts":[["2022",10,20]]}}}],"schema":"https://github.com/citation-style-language/schema/raw/master/csl-citation.json"}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[7]</w:t>
      </w:r>
      <w:r w:rsidR="00DB72B1"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 xml:space="preserve">, </w:t>
      </w:r>
      <w:r w:rsidR="00F35909" w:rsidRPr="006A201A">
        <w:rPr>
          <w:rFonts w:eastAsia="Times New Roman" w:cstheme="minorHAnsi"/>
          <w:color w:val="000000"/>
          <w:kern w:val="0"/>
          <w:lang w:eastAsia="en-GB"/>
          <w14:ligatures w14:val="none"/>
        </w:rPr>
        <w:t xml:space="preserve"> </w:t>
      </w:r>
      <w:r w:rsidRPr="006A201A">
        <w:rPr>
          <w:rFonts w:ascii="Calibri" w:eastAsia="Times New Roman" w:hAnsi="Calibri" w:cs="Calibri"/>
          <w:color w:val="000000"/>
          <w:kern w:val="0"/>
          <w:lang w:eastAsia="en-GB"/>
          <w14:ligatures w14:val="none"/>
        </w:rPr>
        <w:t xml:space="preserve">in a reaction with Q5 Hot start High Fidelity 2x Master Mix (New England Biolabs), nuclease-free water and cDNA. Sequencing was undertaken using a Nanopore MinION MK1B, with a ligation-based library preparation kit (SQK-LSK109) and native barcoding (NBD-104 to 196). The final library was loaded on an R9.4.1 flow cell. A negative control of nuclease-free water was included in every run for quality control.  In total, four runs were done for the five cases; </w:t>
      </w:r>
      <w:r w:rsidRPr="006A201A">
        <w:rPr>
          <w:rFonts w:ascii="Calibri" w:eastAsia="Times New Roman" w:hAnsi="Calibri" w:cs="Calibri"/>
          <w:color w:val="000000"/>
          <w:kern w:val="0"/>
          <w:lang w:eastAsia="en-GB"/>
          <w14:ligatures w14:val="none"/>
        </w:rPr>
        <w:lastRenderedPageBreak/>
        <w:t>the first run included cases 1 and 2, and the remaining three runs were for cases 3, 4, and 5. Other samples from different hosts (domestic dogs and various livestock)  were included in each run, generating 99 new sequences (Supplementary Table 1).</w:t>
      </w:r>
    </w:p>
    <w:p w:rsidR="00C70E41" w:rsidRPr="006A201A" w:rsidRDefault="00C70E41" w:rsidP="00F35909">
      <w:pPr>
        <w:spacing w:line="360" w:lineRule="auto"/>
        <w:jc w:val="both"/>
        <w:rPr>
          <w:rFonts w:eastAsia="Times New Roman" w:cstheme="minorHAnsi"/>
          <w:color w:val="000000"/>
          <w:kern w:val="0"/>
          <w:lang w:eastAsia="en-GB"/>
          <w14:ligatures w14:val="none"/>
        </w:rPr>
      </w:pPr>
    </w:p>
    <w:p w:rsidR="00C70E41" w:rsidRPr="00C70E41" w:rsidRDefault="00C70E41" w:rsidP="00C70E41">
      <w:pPr>
        <w:spacing w:line="360" w:lineRule="auto"/>
        <w:jc w:val="both"/>
        <w:rPr>
          <w:rFonts w:eastAsia="Times New Roman" w:cstheme="minorHAnsi"/>
          <w:color w:val="000000"/>
          <w:kern w:val="0"/>
          <w:lang w:eastAsia="en-GB"/>
          <w14:ligatures w14:val="none"/>
        </w:rPr>
      </w:pPr>
      <w:r w:rsidRPr="00C70E41">
        <w:rPr>
          <w:rFonts w:eastAsia="Times New Roman" w:cstheme="minorHAnsi"/>
          <w:i/>
          <w:iCs/>
          <w:color w:val="000000"/>
          <w:kern w:val="0"/>
          <w:lang w:eastAsia="en-GB"/>
          <w14:ligatures w14:val="none"/>
        </w:rPr>
        <w:t>Bioinformatics</w:t>
      </w:r>
    </w:p>
    <w:p w:rsidR="006A201A" w:rsidRPr="00C70E41" w:rsidRDefault="00C70E41" w:rsidP="006A201A">
      <w:pPr>
        <w:spacing w:line="360" w:lineRule="auto"/>
        <w:jc w:val="both"/>
        <w:rPr>
          <w:rFonts w:eastAsia="Times New Roman" w:cstheme="minorHAnsi"/>
          <w:color w:val="000000"/>
          <w:kern w:val="0"/>
          <w:lang w:eastAsia="en-GB"/>
          <w14:ligatures w14:val="none"/>
        </w:rPr>
      </w:pPr>
      <w:r w:rsidRPr="00C70E41">
        <w:rPr>
          <w:rFonts w:eastAsia="Times New Roman" w:cstheme="minorHAnsi"/>
          <w:color w:val="000000"/>
          <w:kern w:val="0"/>
          <w:lang w:eastAsia="en-GB"/>
          <w14:ligatures w14:val="none"/>
        </w:rPr>
        <w:t>A previously published bioinformatics pipeline</w:t>
      </w:r>
      <w:r w:rsidRPr="006A201A">
        <w:rPr>
          <w:rFonts w:eastAsia="Times New Roman" w:cstheme="minorHAnsi"/>
          <w:color w:val="000000"/>
          <w:kern w:val="0"/>
          <w:lang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{"citationID":"UvjovwsG","properties":{"formattedCitation":"[6]","plainCitation":"[6]","noteIndex":0},"citationItems":[{"id":191,"uris":["http://zotero.org/users/8057111/items/KA4LGPX9"],"itemData":{"id":191,"type":"article-journal","abstract":"Genomic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[6]</w:t>
      </w:r>
      <w:r w:rsidR="00DB72B1" w:rsidRPr="006A201A">
        <w:rPr>
          <w:rFonts w:eastAsia="Times New Roman" w:cstheme="minorHAnsi"/>
          <w:color w:val="000000"/>
          <w:kern w:val="0"/>
          <w:lang w:eastAsia="en-GB"/>
          <w14:ligatures w14:val="none"/>
        </w:rPr>
        <w:fldChar w:fldCharType="end"/>
      </w:r>
      <w:r w:rsidR="006A201A" w:rsidRPr="006A201A">
        <w:rPr>
          <w:rFonts w:eastAsia="Times New Roman" w:cstheme="minorHAnsi"/>
          <w:color w:val="000000"/>
          <w:kern w:val="0"/>
          <w:lang w:eastAsia="en-GB"/>
          <w14:ligatures w14:val="none"/>
        </w:rPr>
        <w:t xml:space="preserve"> </w:t>
      </w:r>
      <w:r w:rsidR="006A201A" w:rsidRPr="00C70E41">
        <w:rPr>
          <w:rFonts w:eastAsia="Times New Roman" w:cstheme="minorHAnsi"/>
          <w:color w:val="000000"/>
          <w:kern w:val="0"/>
          <w:lang w:eastAsia="en-GB"/>
          <w14:ligatures w14:val="none"/>
        </w:rPr>
        <w:t>was applied to generate a consensus sequence from raw MinION reads.</w:t>
      </w:r>
      <w:r w:rsidR="006A201A" w:rsidRPr="006A201A">
        <w:rPr>
          <w:rFonts w:eastAsia="Times New Roman" w:cstheme="minorHAnsi"/>
          <w:color w:val="000000"/>
          <w:kern w:val="0"/>
          <w:lang w:eastAsia="en-GB"/>
          <w14:ligatures w14:val="none"/>
        </w:rPr>
        <w:t xml:space="preserve"> </w:t>
      </w:r>
      <w:r w:rsidR="006A201A" w:rsidRPr="00C70E41">
        <w:rPr>
          <w:rFonts w:eastAsia="Times New Roman" w:cstheme="minorHAnsi"/>
          <w:color w:val="000000"/>
          <w:kern w:val="0"/>
          <w:highlight w:val="yellow"/>
          <w:lang w:eastAsia="en-GB"/>
          <w14:ligatures w14:val="none"/>
        </w:rPr>
        <w:t>This included basecalling and barcode demultiplexing using MinKNOW or stand-alone Guppy software (Version 6.3.2). Reads were mapped to a RABV reference sequence from East Africa (GenBank accession number KF155002) using Minimap followed by variant calling and generation of a consensus sequence using Medaka</w:t>
      </w:r>
      <w:r w:rsidR="006A201A" w:rsidRPr="006A201A">
        <w:rPr>
          <w:rFonts w:eastAsia="Times New Roman" w:cstheme="minorHAnsi"/>
          <w:color w:val="000000"/>
          <w:kern w:val="0"/>
          <w:highlight w:val="yellow"/>
          <w:lang w:val="en-GB" w:eastAsia="en-GB"/>
          <w14:ligatures w14:val="none"/>
        </w:rPr>
        <w:t xml:space="preserve"> </w:t>
      </w:r>
      <w:r w:rsidR="00DB72B1" w:rsidRPr="006A201A">
        <w:rPr>
          <w:rFonts w:eastAsia="Times New Roman" w:cstheme="minorHAnsi"/>
          <w:color w:val="000000"/>
          <w:kern w:val="0"/>
          <w:highlight w:val="yellow"/>
          <w:lang w:eastAsia="en-GB"/>
          <w14:ligatures w14:val="none"/>
        </w:rPr>
        <w:fldChar w:fldCharType="begin"/>
      </w:r>
      <w:r w:rsidR="006A201A" w:rsidRPr="006A201A">
        <w:rPr>
          <w:rFonts w:eastAsia="Times New Roman" w:cstheme="minorHAnsi"/>
          <w:color w:val="000000"/>
          <w:kern w:val="0"/>
          <w:highlight w:val="yellow"/>
          <w:lang w:eastAsia="en-GB"/>
          <w14:ligatures w14:val="none"/>
        </w:rPr>
        <w:instrText xml:space="preserve"> ADDIN ZOTERO_ITEM CSL_CITATION {"citationID":"Hhr4ak0g","properties":{"formattedCitation":"[8]","plainCitation":"[8]","noteIndex":0},"citationItems":[{"id":1273,"uris":["http://zotero.org/users/8057111/items/97PDD83H"],"itemData":{"id":1273,"type":"software","abstract":"Sequence correction provided by ONT Research","genre":"Python","note":"original-date: 2017-06-07T14:01:06Z","publisher":"Oxford Nanopore Technologies","source":"GitHub","title":"Medaka","URL":"https://github.com/nanoporetech/medaka","accessed":{"date-parts":[["2022",12,19]]},"issued":{"date-parts":[["2022",12,16]]}}}],"schema":"https://github.com/citation-style-language/schema/raw/master/csl-citation.json"} </w:instrText>
      </w:r>
      <w:r w:rsidR="00DB72B1" w:rsidRPr="006A201A">
        <w:rPr>
          <w:rFonts w:eastAsia="Times New Roman" w:cstheme="minorHAnsi"/>
          <w:color w:val="000000"/>
          <w:kern w:val="0"/>
          <w:highlight w:val="yellow"/>
          <w:lang w:eastAsia="en-GB"/>
          <w14:ligatures w14:val="none"/>
        </w:rPr>
        <w:fldChar w:fldCharType="separate"/>
      </w:r>
      <w:r w:rsidR="006A201A" w:rsidRPr="006A201A">
        <w:rPr>
          <w:rFonts w:ascii="Calibri" w:cs="Calibri"/>
          <w:color w:val="000000"/>
          <w:kern w:val="0"/>
          <w:highlight w:val="yellow"/>
          <w:lang w:val="en-GB"/>
        </w:rPr>
        <w:t>[8]</w:t>
      </w:r>
      <w:r w:rsidR="00DB72B1" w:rsidRPr="006A201A">
        <w:rPr>
          <w:rFonts w:eastAsia="Times New Roman" w:cstheme="minorHAnsi"/>
          <w:color w:val="000000"/>
          <w:kern w:val="0"/>
          <w:highlight w:val="yellow"/>
          <w:lang w:eastAsia="en-GB"/>
          <w14:ligatures w14:val="none"/>
        </w:rPr>
        <w:fldChar w:fldCharType="end"/>
      </w:r>
      <w:r w:rsidR="00857EDC" w:rsidRPr="006A201A">
        <w:rPr>
          <w:rFonts w:eastAsia="Times New Roman" w:cstheme="minorHAnsi"/>
          <w:color w:val="000000"/>
          <w:kern w:val="0"/>
          <w:highlight w:val="yellow"/>
          <w:lang w:val="en-GB" w:eastAsia="en-GB"/>
          <w14:ligatures w14:val="none"/>
        </w:rPr>
        <w:t>.</w:t>
      </w:r>
      <w:r w:rsidR="00F35909" w:rsidRPr="006A201A">
        <w:rPr>
          <w:rFonts w:eastAsia="Times New Roman" w:cstheme="minorHAnsi"/>
          <w:color w:val="000000"/>
          <w:kern w:val="0"/>
          <w:lang w:eastAsia="en-GB"/>
          <w14:ligatures w14:val="none"/>
        </w:rPr>
        <w:t xml:space="preserve"> </w:t>
      </w:r>
      <w:r w:rsidR="006A201A" w:rsidRPr="00C70E41">
        <w:rPr>
          <w:rFonts w:eastAsia="Times New Roman" w:cstheme="minorHAnsi"/>
          <w:color w:val="000000"/>
          <w:kern w:val="0"/>
          <w:lang w:eastAsia="en-GB"/>
          <w14:ligatures w14:val="none"/>
        </w:rPr>
        <w:t>Genome coverage was calculated using 20 read depth coverage (Supplementary Table 2). Consensus FASTA files are available on NCBI GenBank (accession numbers OR045927 to OR920351).</w:t>
      </w:r>
    </w:p>
    <w:p w:rsidR="00F35909" w:rsidRPr="006A201A" w:rsidRDefault="00F35909" w:rsidP="00F35909">
      <w:pPr>
        <w:spacing w:line="360" w:lineRule="auto"/>
        <w:jc w:val="both"/>
        <w:rPr>
          <w:rFonts w:eastAsia="Times New Roman" w:cstheme="minorHAnsi"/>
          <w:color w:val="000000"/>
          <w:kern w:val="0"/>
          <w:lang w:eastAsia="en-GB"/>
          <w14:ligatures w14:val="none"/>
        </w:rPr>
      </w:pPr>
    </w:p>
    <w:p w:rsidR="00F35909" w:rsidRPr="006A201A" w:rsidRDefault="006A201A" w:rsidP="00F35909">
      <w:pPr>
        <w:spacing w:line="360" w:lineRule="auto"/>
        <w:rPr>
          <w:rFonts w:eastAsia="Times New Roman" w:cstheme="minorHAnsi"/>
          <w:kern w:val="0"/>
          <w:lang w:eastAsia="en-GB"/>
          <w14:ligatures w14:val="none"/>
        </w:rPr>
      </w:pPr>
      <w:r w:rsidRPr="006A201A">
        <w:rPr>
          <w:rFonts w:eastAsia="Times New Roman" w:cstheme="minorHAnsi"/>
          <w:i/>
          <w:iCs/>
          <w:kern w:val="0"/>
          <w:lang w:eastAsia="en-GB"/>
          <w14:ligatures w14:val="none"/>
        </w:rPr>
        <w:t>Phylogenetics</w:t>
      </w:r>
    </w:p>
    <w:p w:rsidR="006A201A" w:rsidRPr="006A201A" w:rsidRDefault="006A201A" w:rsidP="006A201A">
      <w:pPr>
        <w:spacing w:line="360" w:lineRule="auto"/>
        <w:jc w:val="both"/>
        <w:rPr>
          <w:rFonts w:eastAsia="Times New Roman" w:cstheme="minorHAnsi"/>
          <w:kern w:val="0"/>
          <w:lang w:eastAsia="en-GB"/>
          <w14:ligatures w14:val="none"/>
        </w:rPr>
      </w:pPr>
      <w:r w:rsidRPr="006A201A">
        <w:rPr>
          <w:rFonts w:eastAsia="Times New Roman" w:cstheme="minorHAnsi"/>
          <w:kern w:val="0"/>
          <w:lang w:eastAsia="en-GB"/>
          <w14:ligatures w14:val="none"/>
        </w:rPr>
        <w:t xml:space="preserve">RABV-GLUE was used for major and minor phylogenetic clade assignment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{"citationID":"rmfhHGZg","properties":{"formattedCitation":"[9]","plainCitation":"[9]","noteIndex":0},"citationItems":[{"id":1562,"uris":["http://zotero.org/groups/4242481/items/8PHQQFJZ"],"itemData":{"id":1562,"type":"article-journal","abstract":"Virus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[9]</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Pr="006A201A">
        <w:rPr>
          <w:rFonts w:eastAsia="Times New Roman" w:cstheme="minorHAnsi"/>
          <w:kern w:val="0"/>
          <w:lang w:eastAsia="en-GB"/>
          <w14:ligatures w14:val="none"/>
        </w:rPr>
        <w:t xml:space="preserve"> followed by more resolved lineage designation and assignment using MADDOG</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{"citationID":"FMR7otum","properties":{"formattedCitation":"[10]","plainCitation":"[10]","noteIndex":0},"citationItems":[{"id":1229,"uris":["http://zotero.org/users/8057111/items/3X8B832W"],"itemData":{"id":1229,"type":"article-journal","abstract":"The availability of pathogen sequence data and use of genomic surveillance is rapidly increasing. Genomic tools and classification systems need updating to reflect this. Here, rabies virus is used as an example to showcase the potential value of updated genomic tools to enhance surveillance to better understand epidemiological dynamics and improve disease control. Previous studies have described the evolutionary history of rabies virus, however the resulting taxonomy lacks the definition necessary to identify incursions, lineage turnover and transmission routes at high resolution. Here we propose a lineage classification system based on the dynamic nomenclature used for SARS-CoV-2, defining a lineage by phylogenetic methods for tracking virus spread and comparing sequences across geographic areas. We demonstrate this system through application to the globally distributed Cosmopolitan clade of rabies virus, defining 96 total lineages within the clade, beyond the 22 previously reported. We further show how integration of this tool with a new rabies virus sequence data resource (RABV-GLUE) enables rapid application, for example, highlighting lineage dynamics relevant to control and elimination programmes, such as identifying importations and their sources, as well as areas of persistence and routes of virus movement, including transboundary incursions. This system and the tools developed should be useful for coordinating and targeting control programmes and monitoring progress as countries work towards eliminating dog-mediated rabies, as well as having potential for broader application to the surveillance of other viruses.","container-title":"PLOS Pathogens","DOI":"10.1371/journal.ppat.1010023","ISSN":"1553-7374","issue":"5","journalAbbreviation":"PLOS Pathogens","language":"en","note":"publisher: Public Library of Science","page":"e1010023","source":"PLoS Journals","title":"Making genomic surveillance deliver: A lineage classification and nomenclature system to inform rabies elimination","title-short":"Making genomic surveillance deliver","volume":"18","author":[{"family":"Campbell","given":"Kathryn"},{"family":"Gifford","given":"Robert J."},{"family":"Singer","given":"Joshua"},{"family":"Hill","given":"Verity"},{"family":"O’Toole","given":"Aine"},{"family":"Rambaut","given":"Andrew"},{"family":"Hampson","given":"Katie"},{"family":"Brunker","given":"Kirstyn"}],"issued":{"date-parts":[["2022",5,2]]}}}],"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[10]</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kern w:val="0"/>
          <w:lang w:eastAsia="en-GB"/>
          <w14:ligatures w14:val="none"/>
        </w:rPr>
        <w:t xml:space="preserve">Sequenced viruses were classified using the  nomenclature &lt;Major clade Minor clade_Lineage&gt;, e.g. Cosmopolitan AF1a_A1.1. To build contextual datasets, publicly available sequences from the identified lineages were obtained from RABV-GLUE, and aligned with the newly generated sequences using default settings in MAFFT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{"citationID":"vKwhPQFL","properties":{"formattedCitation":"[11]","plainCitation":"[11]","noteIndex":0},"citationItems":[{"id":1245,"uris":["http://zotero.org/users/8057111/items/ZDRZVC4I"],"itemData":{"id":1245,"type":"article-journal","abstract":"A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Research","DOI":"10.1093/nar/gkf436","ISSN":"1362-4962","issue":"14","journalAbbreviation":"Nucleic Acids Res","language":"eng","note":"PMID: 12136088\nPMCID: PMC135756","page":"3059-3066","source":"PubMed","title":"MAFFT: a novel method for rapid multiple sequence alignment based on fast Fourier transform","title-short":"MAFFT","volume":"30","author":[{"family":"Katoh","given":"Kazutaka"},{"family":"Misawa","given":"Kazuharu"},{"family":"Kuma","given":"Kei-ichi"},{"family":"Miyata","given":"Takashi"}],"issued":{"date-parts":[["2002",7,15]]}}}],"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[11]</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kern w:val="0"/>
          <w:lang w:eastAsia="en-GB"/>
          <w14:ligatures w14:val="none"/>
        </w:rPr>
        <w:t xml:space="preserve">Maximum likelihood trees were built using IQTREE2 with model selection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{"citationID":"9SRmxDND","properties":{"formattedCitation":"[12]","plainCitation":"[12]","noteIndex":0},"citationItems":[{"id":1248,"uris":["http://zotero.org/users/8057111/items/BJ9WAJD8"],"itemData":{"id":1248,"type":"article-journal","abstract":"IQ-TREE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Evolution","DOI":"10.1093/molbev/msaa015","ISSN":"1537-1719","issue":"5","journalAbbreviation":"Mol Biol Evol","language":"eng","note":"PMID: 32011700\nPMCID: PMC7182206","page":"1530-1534","source":"PubMed","title":"IQ-TREE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[12]</w:t>
      </w:r>
      <w:r w:rsidR="00DB72B1" w:rsidRPr="006A201A">
        <w:rPr>
          <w:rFonts w:eastAsia="Times New Roman" w:cstheme="minorHAnsi"/>
          <w:color w:val="000000"/>
          <w:kern w:val="0"/>
          <w:lang w:eastAsia="en-GB"/>
          <w14:ligatures w14:val="none"/>
        </w:rPr>
        <w:fldChar w:fldCharType="end"/>
      </w:r>
      <w:r w:rsidR="00F35909" w:rsidRPr="006A201A">
        <w:rPr>
          <w:rFonts w:eastAsia="Times New Roman" w:cstheme="minorHAnsi"/>
          <w:color w:val="000000"/>
          <w:kern w:val="0"/>
          <w:lang w:eastAsia="en-GB"/>
          <w14:ligatures w14:val="none"/>
        </w:rPr>
        <w:t xml:space="preserve"> and 1000 ultrafast bootstrap replicates</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{"citationID":"JYne1w0B","properties":{"formattedCitation":"[13]","plainCitation":"[13]","noteIndex":0},"citationItems":[{"id":1251,"uris":["http://zotero.org/users/8057111/items/D3AE6CFD"],"itemData":{"id":1251,"type":"article-journal","abstract":"Nonparametric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[13]</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kern w:val="0"/>
          <w:lang w:eastAsia="en-GB"/>
          <w14:ligatures w14:val="none"/>
        </w:rPr>
        <w:t xml:space="preserve">Trees of widespread lineages were checked to identify other closely related cases outside of East Africa relevant to human cases. If absent, these lineages were subset to only include sequences from Kenya or Tanzania up to 10 years prior to each human case (i.e. only sequences relevant to understanding transmission to the human case). Patristic distances (phylogenetic distance between tip pairs) were calculated using the R package castor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{"citationID":"wtqavtX0","properties":{"formattedCitation":"[14]","plainCitation":"[14]","noteIndex":0},"citationItems":[{"id":1355,"uris":["http://zotero.org/users/8057111/items/8SARZLXY"],"itemData":{"id":1355,"type":"webpage","abstract":"You can use the Castor API R package to access study data in Castor via R. Please note that the 'castoRedc' project is released with a Contributor Code of","container-title":"Castor","language":"en_US","title":"Using the Castor API R package for data analysis","URL":"https://helpdesk.castoredc.com/link-castor-to-another-application/using-the-castor-api-r-package-for-data-analysis","accessed":{"date-parts":[["2023",5,2]]}}}],"schema":"https://github.com/citation-style-language/schema/raw/master/csl-citation.json"}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[14]</w:t>
      </w:r>
      <w:r w:rsidR="00DB72B1"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w:t>
      </w:r>
      <w:r w:rsidRPr="006A201A">
        <w:rPr>
          <w:rFonts w:eastAsia="Times New Roman" w:cstheme="minorHAnsi"/>
          <w:kern w:val="0"/>
          <w:lang w:eastAsia="en-GB"/>
          <w14:ligatures w14:val="none"/>
        </w:rPr>
        <w:t xml:space="preserve"> Locations of cases were mapped using precise coordinates where available. Where exact coordinates were not available, the village or county centroid was used and jittered for mapping. Cases with no within-country location information were excluded from maps but included in phylogenetic analyses.</w:t>
      </w:r>
    </w:p>
    <w:p w:rsidR="00F35909" w:rsidRPr="006A201A" w:rsidRDefault="00F35909" w:rsidP="00F35909">
      <w:pPr>
        <w:spacing w:line="360" w:lineRule="auto"/>
        <w:jc w:val="both"/>
        <w:rPr>
          <w:rFonts w:eastAsia="Times New Roman" w:cstheme="minorHAnsi"/>
          <w:color w:val="000000"/>
          <w:kern w:val="0"/>
          <w:lang w:eastAsia="en-GB"/>
          <w14:ligatures w14:val="none"/>
        </w:rPr>
      </w:pPr>
    </w:p>
    <w:p w:rsidR="00DB72B1" w:rsidRPr="006A201A" w:rsidRDefault="00DB72B1" w:rsidP="00F35909">
      <w:pPr>
        <w:spacing w:line="360" w:lineRule="auto"/>
        <w:jc w:val="both"/>
        <w:rPr>
          <w:rFonts w:eastAsia="Times New Roman" w:cstheme="minorHAnsi"/>
          <w:color w:val="000000"/>
          <w:kern w:val="0"/>
          <w:lang w:eastAsia="en-GB"/>
          <w14:ligatures w14:val="none"/>
        </w:rPr>
      </w:pPr>
    </w:p>
    <w:p w:rsidR="00F005DF" w:rsidRPr="006A201A" w:rsidRDefault="00F005DF" w:rsidP="00F005DF">
      <w:pPr>
        <w:rPr>
          <w:rFonts w:ascii="Times New Roman" w:eastAsia="Times New Roman" w:hAnsi="Times New Roman" w:cs="Times New Roman"/>
          <w:kern w:val="0"/>
          <w:lang w:eastAsia="en-GB"/>
          <w14:ligatures w14:val="none"/>
        </w:rPr>
      </w:pPr>
    </w:p>
    <w:p w:rsidR="00DB72B1" w:rsidRPr="006A201A" w:rsidRDefault="00DB72B1" w:rsidP="006A201A">
      <w:pPr>
        <w:rPr>
          <w:rFonts w:eastAsia="Times New Roman" w:cstheme="minorHAnsi"/>
          <w:color w:val="000000"/>
          <w:kern w:val="0"/>
          <w:lang w:val="en-GB" w:eastAsia="en-GB"/>
          <w14:ligatures w14:val="none"/>
        </w:rPr>
      </w:pPr>
      <w:r w:rsidRPr="006A201A">
        <w:rPr>
          <w:rFonts w:eastAsia="Times New Roman" w:cstheme="minorHAnsi"/>
          <w:color w:val="000000"/>
          <w:kern w:val="0"/>
          <w:lang w:val="en-GB" w:eastAsia="en-GB"/>
          <w14:ligatures w14:val="none"/>
        </w:rPr>
        <w:t>Reference</w:t>
      </w:r>
    </w:p>
    <w:p w:rsidR="00D93D38" w:rsidRPr="00D93D38" w:rsidRDefault="00DB72B1" w:rsidP="00D93D38">
      <w:pPr>
        <w:pStyle w:val="Bibliography"/>
        <w:rPr>
          <w:rFonts w:ascii="Calibri" w:cs="Calibri"/>
          <w:lang w:val="en-GB"/>
        </w:rPr>
      </w:pPr>
      <w:r w:rsidRPr="006A201A">
        <w:rPr>
          <w:rFonts w:eastAsia="Times New Roman" w:cstheme="minorHAnsi"/>
          <w:lang w:eastAsia="en-GB"/>
          <w14:ligatures w14:val="none"/>
        </w:rPr>
        <w:fldChar w:fldCharType="begin"/>
      </w:r>
      <w:r w:rsidR="006A201A" w:rsidRPr="006A201A">
        <w:rPr>
          <w:rFonts w:eastAsia="Times New Roman" w:cstheme="minorHAnsi"/>
          <w:lang w:eastAsia="en-GB"/>
          <w14:ligatures w14:val="none"/>
        </w:rPr>
        <w:instrText xml:space="preserve"> ADDIN ZOTERO_BIBL {"uncited":[],"omitted":[],"custom":[]} CSL_BIBLIOGRAPHY </w:instrText>
      </w:r>
      <w:r w:rsidRPr="006A201A">
        <w:rPr>
          <w:rFonts w:eastAsia="Times New Roman" w:cstheme="minorHAnsi"/>
          <w:lang w:eastAsia="en-GB"/>
          <w14:ligatures w14:val="none"/>
        </w:rPr>
        <w:fldChar w:fldCharType="separate"/>
      </w:r>
      <w:r w:rsidR="00D93D38" w:rsidRPr="00D93D38">
        <w:rPr>
          <w:rFonts w:ascii="Calibri" w:cs="Calibri"/>
          <w:lang w:val="en-GB"/>
        </w:rPr>
        <w:t xml:space="preserve">1. </w:t>
      </w:r>
      <w:r w:rsidR="00D93D38" w:rsidRPr="00D93D38">
        <w:rPr>
          <w:rFonts w:ascii="Calibri" w:cs="Calibri"/>
          <w:lang w:val="en-GB"/>
        </w:rPr>
        <w:tab/>
        <w:t xml:space="preserve">Rabies Ag - </w:t>
      </w:r>
      <w:proofErr w:type="spellStart"/>
      <w:r w:rsidR="00D93D38" w:rsidRPr="00D93D38">
        <w:rPr>
          <w:rFonts w:ascii="Calibri" w:cs="Calibri"/>
          <w:lang w:val="en-GB"/>
        </w:rPr>
        <w:t>BioNote</w:t>
      </w:r>
      <w:proofErr w:type="spellEnd"/>
      <w:r w:rsidR="00D93D38" w:rsidRPr="00D93D38">
        <w:rPr>
          <w:rFonts w:ascii="Calibri" w:cs="Calibri"/>
          <w:lang w:val="en-GB"/>
        </w:rPr>
        <w:t xml:space="preserve"> - Canine Rapid Test - Pet Rapid Test. [cited 20 Oct 2022]. Available: https://www.qbiotech.gr/pet-rapid-test/canine-rapid-test/bionote-canine/rabies-ag.html?___store=en&amp;___from_store=el</w:t>
      </w:r>
    </w:p>
    <w:p w:rsidR="00D93D38" w:rsidRPr="00D93D38" w:rsidRDefault="00D93D38" w:rsidP="00D93D38">
      <w:pPr>
        <w:pStyle w:val="Bibliography"/>
        <w:rPr>
          <w:rFonts w:ascii="Calibri" w:cs="Calibri"/>
          <w:lang w:val="en-GB"/>
        </w:rPr>
      </w:pPr>
      <w:r w:rsidRPr="00D93D38">
        <w:rPr>
          <w:rFonts w:ascii="Calibri" w:cs="Calibri"/>
          <w:lang w:val="en-GB"/>
        </w:rPr>
        <w:t xml:space="preserve">2. </w:t>
      </w:r>
      <w:r w:rsidRPr="00D93D38">
        <w:rPr>
          <w:rFonts w:ascii="Calibri" w:cs="Calibri"/>
          <w:lang w:val="en-GB"/>
        </w:rPr>
        <w:tab/>
      </w:r>
      <w:proofErr w:type="spellStart"/>
      <w:r w:rsidRPr="00D93D38">
        <w:rPr>
          <w:rFonts w:ascii="Calibri" w:cs="Calibri"/>
          <w:lang w:val="en-GB"/>
        </w:rPr>
        <w:t>Niezgoda</w:t>
      </w:r>
      <w:proofErr w:type="spellEnd"/>
      <w:r w:rsidRPr="00D93D38">
        <w:rPr>
          <w:rFonts w:ascii="Calibri" w:cs="Calibri"/>
          <w:lang w:val="en-GB"/>
        </w:rPr>
        <w:t xml:space="preserve"> M, </w:t>
      </w:r>
      <w:proofErr w:type="spellStart"/>
      <w:r w:rsidRPr="00D93D38">
        <w:rPr>
          <w:rFonts w:ascii="Calibri" w:cs="Calibri"/>
          <w:lang w:val="en-GB"/>
        </w:rPr>
        <w:t>Satheshkumar</w:t>
      </w:r>
      <w:proofErr w:type="spellEnd"/>
      <w:r w:rsidRPr="00D93D38">
        <w:rPr>
          <w:rFonts w:ascii="Calibri" w:cs="Calibri"/>
          <w:lang w:val="en-GB"/>
        </w:rPr>
        <w:t xml:space="preserve"> PS. Immunohistochemistry Test for the Lyssavirus Antigen Detection from Formalin-Fixed Tissues. </w:t>
      </w:r>
      <w:proofErr w:type="spellStart"/>
      <w:r w:rsidRPr="00D93D38">
        <w:rPr>
          <w:rFonts w:ascii="Calibri" w:cs="Calibri"/>
          <w:lang w:val="en-GB"/>
        </w:rPr>
        <w:t>JoVE</w:t>
      </w:r>
      <w:proofErr w:type="spellEnd"/>
      <w:r w:rsidRPr="00D93D38">
        <w:rPr>
          <w:rFonts w:ascii="Calibri" w:cs="Calibri"/>
          <w:lang w:val="en-GB"/>
        </w:rPr>
        <w:t xml:space="preserve"> J Vis Exp. 2021; e60138. doi:10.3791/60138</w:t>
      </w:r>
    </w:p>
    <w:p w:rsidR="00D93D38" w:rsidRPr="00D93D38" w:rsidRDefault="00D93D38" w:rsidP="00D93D38">
      <w:pPr>
        <w:pStyle w:val="Bibliography"/>
        <w:rPr>
          <w:rFonts w:ascii="Calibri" w:cs="Calibri"/>
          <w:lang w:val="en-GB"/>
        </w:rPr>
      </w:pPr>
      <w:r w:rsidRPr="00D93D38">
        <w:rPr>
          <w:rFonts w:ascii="Calibri" w:cs="Calibri"/>
          <w:lang w:val="en-GB"/>
        </w:rPr>
        <w:t xml:space="preserve">3. </w:t>
      </w:r>
      <w:r w:rsidRPr="00D93D38">
        <w:rPr>
          <w:rFonts w:ascii="Calibri" w:cs="Calibri"/>
          <w:lang w:val="en-GB"/>
        </w:rPr>
        <w:tab/>
        <w:t>CDC - Diagnosis: Immunohistochemistry (IHC) - Rabies. 10 May 2022 [cited 20 Oct 2022]. Available: https://www.cdc.gov/rabies/diagnosis/immunohistochemistry.html</w:t>
      </w:r>
    </w:p>
    <w:p w:rsidR="00D93D38" w:rsidRPr="00D93D38" w:rsidRDefault="00D93D38" w:rsidP="00D93D38">
      <w:pPr>
        <w:pStyle w:val="Bibliography"/>
        <w:rPr>
          <w:rFonts w:ascii="Calibri" w:cs="Calibri"/>
          <w:lang w:val="en-GB"/>
        </w:rPr>
      </w:pPr>
      <w:r w:rsidRPr="00D93D38">
        <w:rPr>
          <w:rFonts w:ascii="Calibri" w:cs="Calibri"/>
          <w:lang w:val="en-GB"/>
        </w:rPr>
        <w:t xml:space="preserve">4. </w:t>
      </w:r>
      <w:r w:rsidRPr="00D93D38">
        <w:rPr>
          <w:rFonts w:ascii="Calibri" w:cs="Calibri"/>
          <w:lang w:val="en-GB"/>
        </w:rPr>
        <w:tab/>
        <w:t xml:space="preserve">Bautista C, Jaswant G, French H, Campbell K, </w:t>
      </w:r>
      <w:proofErr w:type="spellStart"/>
      <w:r w:rsidRPr="00D93D38">
        <w:rPr>
          <w:rFonts w:ascii="Calibri" w:cs="Calibri"/>
          <w:lang w:val="en-GB"/>
        </w:rPr>
        <w:t>Durrant</w:t>
      </w:r>
      <w:proofErr w:type="spellEnd"/>
      <w:r w:rsidRPr="00D93D38">
        <w:rPr>
          <w:rFonts w:ascii="Calibri" w:cs="Calibri"/>
          <w:lang w:val="en-GB"/>
        </w:rPr>
        <w:t xml:space="preserve"> R, Gifford R, et al. Whole Genome Sequencing for Rapid Characterization of Rabies Virus Using Nanopore Technology. J Vis Exp </w:t>
      </w:r>
      <w:proofErr w:type="spellStart"/>
      <w:r w:rsidRPr="00D93D38">
        <w:rPr>
          <w:rFonts w:ascii="Calibri" w:cs="Calibri"/>
          <w:lang w:val="en-GB"/>
        </w:rPr>
        <w:t>JoVE</w:t>
      </w:r>
      <w:proofErr w:type="spellEnd"/>
      <w:r w:rsidRPr="00D93D38">
        <w:rPr>
          <w:rFonts w:ascii="Calibri" w:cs="Calibri"/>
          <w:lang w:val="en-GB"/>
        </w:rPr>
        <w:t>. 2023. doi:10.3791/65414</w:t>
      </w:r>
    </w:p>
    <w:p w:rsidR="00D93D38" w:rsidRPr="00D93D38" w:rsidRDefault="00D93D38" w:rsidP="00D93D38">
      <w:pPr>
        <w:pStyle w:val="Bibliography"/>
        <w:rPr>
          <w:rFonts w:ascii="Calibri" w:cs="Calibri"/>
          <w:lang w:val="en-GB"/>
        </w:rPr>
      </w:pPr>
      <w:r w:rsidRPr="00D93D38">
        <w:rPr>
          <w:rFonts w:ascii="Calibri" w:cs="Calibri"/>
          <w:lang w:val="en-GB"/>
        </w:rPr>
        <w:t xml:space="preserve">5. </w:t>
      </w:r>
      <w:r w:rsidRPr="00D93D38">
        <w:rPr>
          <w:rFonts w:ascii="Calibri" w:cs="Calibri"/>
          <w:lang w:val="en-GB"/>
        </w:rPr>
        <w:tab/>
        <w:t xml:space="preserve">Quick J, </w:t>
      </w:r>
      <w:proofErr w:type="spellStart"/>
      <w:r w:rsidRPr="00D93D38">
        <w:rPr>
          <w:rFonts w:ascii="Calibri" w:cs="Calibri"/>
          <w:lang w:val="en-GB"/>
        </w:rPr>
        <w:t>Grubaugh</w:t>
      </w:r>
      <w:proofErr w:type="spellEnd"/>
      <w:r w:rsidRPr="00D93D38">
        <w:rPr>
          <w:rFonts w:ascii="Calibri" w:cs="Calibri"/>
          <w:lang w:val="en-GB"/>
        </w:rPr>
        <w:t xml:space="preserve"> ND, </w:t>
      </w:r>
      <w:proofErr w:type="spellStart"/>
      <w:r w:rsidRPr="00D93D38">
        <w:rPr>
          <w:rFonts w:ascii="Calibri" w:cs="Calibri"/>
          <w:lang w:val="en-GB"/>
        </w:rPr>
        <w:t>Pullan</w:t>
      </w:r>
      <w:proofErr w:type="spellEnd"/>
      <w:r w:rsidRPr="00D93D38">
        <w:rPr>
          <w:rFonts w:ascii="Calibri" w:cs="Calibri"/>
          <w:lang w:val="en-GB"/>
        </w:rPr>
        <w:t xml:space="preserve"> ST, Claro IM, Smith AD, </w:t>
      </w:r>
      <w:proofErr w:type="spellStart"/>
      <w:r w:rsidRPr="00D93D38">
        <w:rPr>
          <w:rFonts w:ascii="Calibri" w:cs="Calibri"/>
          <w:lang w:val="en-GB"/>
        </w:rPr>
        <w:t>Gangavarapu</w:t>
      </w:r>
      <w:proofErr w:type="spellEnd"/>
      <w:r w:rsidRPr="00D93D38">
        <w:rPr>
          <w:rFonts w:ascii="Calibri" w:cs="Calibri"/>
          <w:lang w:val="en-GB"/>
        </w:rPr>
        <w:t xml:space="preserve"> K, et al. Multiplex PCR method for </w:t>
      </w:r>
      <w:proofErr w:type="spellStart"/>
      <w:r w:rsidRPr="00D93D38">
        <w:rPr>
          <w:rFonts w:ascii="Calibri" w:cs="Calibri"/>
          <w:lang w:val="en-GB"/>
        </w:rPr>
        <w:t>MinION</w:t>
      </w:r>
      <w:proofErr w:type="spellEnd"/>
      <w:r w:rsidRPr="00D93D38">
        <w:rPr>
          <w:rFonts w:ascii="Calibri" w:cs="Calibri"/>
          <w:lang w:val="en-GB"/>
        </w:rPr>
        <w:t xml:space="preserve"> and Illumina sequencing of Zika and other virus genomes directly from clinical samples. Nat </w:t>
      </w:r>
      <w:proofErr w:type="spellStart"/>
      <w:r w:rsidRPr="00D93D38">
        <w:rPr>
          <w:rFonts w:ascii="Calibri" w:cs="Calibri"/>
          <w:lang w:val="en-GB"/>
        </w:rPr>
        <w:t>Protoc</w:t>
      </w:r>
      <w:proofErr w:type="spellEnd"/>
      <w:r w:rsidRPr="00D93D38">
        <w:rPr>
          <w:rFonts w:ascii="Calibri" w:cs="Calibri"/>
          <w:lang w:val="en-GB"/>
        </w:rPr>
        <w:t>. 2017;12: 1261–1266. doi:10.1038/nprot.2017.066</w:t>
      </w:r>
    </w:p>
    <w:p w:rsidR="00D93D38" w:rsidRPr="00D93D38" w:rsidRDefault="00D93D38" w:rsidP="00D93D38">
      <w:pPr>
        <w:pStyle w:val="Bibliography"/>
        <w:rPr>
          <w:rFonts w:ascii="Calibri" w:cs="Calibri"/>
          <w:lang w:val="en-GB"/>
        </w:rPr>
      </w:pPr>
      <w:r w:rsidRPr="00D93D38">
        <w:rPr>
          <w:rFonts w:ascii="Calibri" w:cs="Calibri"/>
          <w:lang w:val="en-GB"/>
        </w:rPr>
        <w:t xml:space="preserve">6. </w:t>
      </w:r>
      <w:r w:rsidRPr="00D93D38">
        <w:rPr>
          <w:rFonts w:ascii="Calibri" w:cs="Calibri"/>
          <w:lang w:val="en-GB"/>
        </w:rPr>
        <w:tab/>
        <w:t xml:space="preserve">Brunker K, Jaswant G, Thumbi SM, Lushasi K, </w:t>
      </w:r>
      <w:proofErr w:type="spellStart"/>
      <w:r w:rsidRPr="00D93D38">
        <w:rPr>
          <w:rFonts w:ascii="Calibri" w:cs="Calibri"/>
          <w:lang w:val="en-GB"/>
        </w:rPr>
        <w:t>Lugelo</w:t>
      </w:r>
      <w:proofErr w:type="spellEnd"/>
      <w:r w:rsidRPr="00D93D38">
        <w:rPr>
          <w:rFonts w:ascii="Calibri" w:cs="Calibri"/>
          <w:lang w:val="en-GB"/>
        </w:rPr>
        <w:t xml:space="preserve"> A, </w:t>
      </w:r>
      <w:proofErr w:type="spellStart"/>
      <w:r w:rsidRPr="00D93D38">
        <w:rPr>
          <w:rFonts w:ascii="Calibri" w:cs="Calibri"/>
          <w:lang w:val="en-GB"/>
        </w:rPr>
        <w:t>Czupryna</w:t>
      </w:r>
      <w:proofErr w:type="spellEnd"/>
      <w:r w:rsidRPr="00D93D38">
        <w:rPr>
          <w:rFonts w:ascii="Calibri" w:cs="Calibri"/>
          <w:lang w:val="en-GB"/>
        </w:rPr>
        <w:t xml:space="preserve"> AM, et al. Rapid in-country sequencing of whole virus genomes to inform rabies elimination programmes. </w:t>
      </w:r>
      <w:proofErr w:type="spellStart"/>
      <w:r w:rsidRPr="00D93D38">
        <w:rPr>
          <w:rFonts w:ascii="Calibri" w:cs="Calibri"/>
          <w:lang w:val="en-GB"/>
        </w:rPr>
        <w:t>Wellcome</w:t>
      </w:r>
      <w:proofErr w:type="spellEnd"/>
      <w:r w:rsidRPr="00D93D38">
        <w:rPr>
          <w:rFonts w:ascii="Calibri" w:cs="Calibri"/>
          <w:lang w:val="en-GB"/>
        </w:rPr>
        <w:t xml:space="preserve"> Open Res. 2020;5: 3. doi:10.12688/wellcomeopenres.15518.2</w:t>
      </w:r>
    </w:p>
    <w:p w:rsidR="00D93D38" w:rsidRPr="00D93D38" w:rsidRDefault="00D93D38" w:rsidP="00D93D38">
      <w:pPr>
        <w:pStyle w:val="Bibliography"/>
        <w:rPr>
          <w:rFonts w:ascii="Calibri" w:cs="Calibri"/>
          <w:lang w:val="en-GB"/>
        </w:rPr>
      </w:pPr>
      <w:r w:rsidRPr="00D93D38">
        <w:rPr>
          <w:rFonts w:ascii="Calibri" w:cs="Calibri"/>
          <w:lang w:val="en-GB"/>
        </w:rPr>
        <w:t xml:space="preserve">7. </w:t>
      </w:r>
      <w:r w:rsidRPr="00D93D38">
        <w:rPr>
          <w:rFonts w:ascii="Calibri" w:cs="Calibri"/>
          <w:lang w:val="en-GB"/>
        </w:rPr>
        <w:tab/>
      </w:r>
      <w:proofErr w:type="spellStart"/>
      <w:r w:rsidRPr="00D93D38">
        <w:rPr>
          <w:rFonts w:ascii="Calibri" w:cs="Calibri"/>
          <w:lang w:val="en-GB"/>
        </w:rPr>
        <w:t>PrimalScheme</w:t>
      </w:r>
      <w:proofErr w:type="spellEnd"/>
      <w:r w:rsidRPr="00D93D38">
        <w:rPr>
          <w:rFonts w:ascii="Calibri" w:cs="Calibri"/>
          <w:lang w:val="en-GB"/>
        </w:rPr>
        <w:t>: primer panels for multiplex PCR. [cited 20 Oct 2022]. Available: https://primalscheme.com/</w:t>
      </w:r>
    </w:p>
    <w:p w:rsidR="00D93D38" w:rsidRPr="00D93D38" w:rsidRDefault="00D93D38" w:rsidP="00D93D38">
      <w:pPr>
        <w:pStyle w:val="Bibliography"/>
        <w:rPr>
          <w:rFonts w:ascii="Calibri" w:cs="Calibri"/>
          <w:lang w:val="en-GB"/>
        </w:rPr>
      </w:pPr>
      <w:r w:rsidRPr="00D93D38">
        <w:rPr>
          <w:rFonts w:ascii="Calibri" w:cs="Calibri"/>
          <w:lang w:val="en-GB"/>
        </w:rPr>
        <w:t xml:space="preserve">8. </w:t>
      </w:r>
      <w:r w:rsidRPr="00D93D38">
        <w:rPr>
          <w:rFonts w:ascii="Calibri" w:cs="Calibri"/>
          <w:lang w:val="en-GB"/>
        </w:rPr>
        <w:tab/>
        <w:t>Medaka. Oxford Nanopore Technologies; 2022. Available: https://github.com/nanoporetech/medaka</w:t>
      </w:r>
    </w:p>
    <w:p w:rsidR="00D93D38" w:rsidRPr="00D93D38" w:rsidRDefault="00D93D38" w:rsidP="00D93D38">
      <w:pPr>
        <w:pStyle w:val="Bibliography"/>
        <w:rPr>
          <w:rFonts w:ascii="Calibri" w:cs="Calibri"/>
          <w:lang w:val="en-GB"/>
        </w:rPr>
      </w:pPr>
      <w:r w:rsidRPr="00D93D38">
        <w:rPr>
          <w:rFonts w:ascii="Calibri" w:cs="Calibri"/>
          <w:lang w:val="en-GB"/>
        </w:rPr>
        <w:t xml:space="preserve">9. </w:t>
      </w:r>
      <w:r w:rsidRPr="00D93D38">
        <w:rPr>
          <w:rFonts w:ascii="Calibri" w:cs="Calibri"/>
          <w:lang w:val="en-GB"/>
        </w:rPr>
        <w:tab/>
        <w:t>Singer JB, Thomson EC, McLauchlan J, Hughes J, Gifford RJ. GLUE: a flexible software system for virus sequence data. BMC Bioinformatics. 2018;19: 532. doi:10.1186/s12859-018-2459-9</w:t>
      </w:r>
    </w:p>
    <w:p w:rsidR="00D93D38" w:rsidRPr="00D93D38" w:rsidRDefault="00D93D38" w:rsidP="00D93D38">
      <w:pPr>
        <w:pStyle w:val="Bibliography"/>
        <w:rPr>
          <w:rFonts w:ascii="Calibri" w:cs="Calibri"/>
          <w:lang w:val="en-GB"/>
        </w:rPr>
      </w:pPr>
      <w:r w:rsidRPr="00D93D38">
        <w:rPr>
          <w:rFonts w:ascii="Calibri" w:cs="Calibri"/>
          <w:lang w:val="en-GB"/>
        </w:rPr>
        <w:t xml:space="preserve">10. </w:t>
      </w:r>
      <w:r w:rsidRPr="00D93D38">
        <w:rPr>
          <w:rFonts w:ascii="Calibri" w:cs="Calibri"/>
          <w:lang w:val="en-GB"/>
        </w:rPr>
        <w:tab/>
        <w:t xml:space="preserve">Campbell K, Gifford RJ, Singer J, Hill V, O’Toole A, </w:t>
      </w:r>
      <w:proofErr w:type="spellStart"/>
      <w:r w:rsidRPr="00D93D38">
        <w:rPr>
          <w:rFonts w:ascii="Calibri" w:cs="Calibri"/>
          <w:lang w:val="en-GB"/>
        </w:rPr>
        <w:t>Rambaut</w:t>
      </w:r>
      <w:proofErr w:type="spellEnd"/>
      <w:r w:rsidRPr="00D93D38">
        <w:rPr>
          <w:rFonts w:ascii="Calibri" w:cs="Calibri"/>
          <w:lang w:val="en-GB"/>
        </w:rPr>
        <w:t xml:space="preserve"> A, et al. Making genomic surveillance deliver: A lineage classification and nomenclature system to inform rabies elimination. PLOS </w:t>
      </w:r>
      <w:proofErr w:type="spellStart"/>
      <w:r w:rsidRPr="00D93D38">
        <w:rPr>
          <w:rFonts w:ascii="Calibri" w:cs="Calibri"/>
          <w:lang w:val="en-GB"/>
        </w:rPr>
        <w:t>Pathog</w:t>
      </w:r>
      <w:proofErr w:type="spellEnd"/>
      <w:r w:rsidRPr="00D93D38">
        <w:rPr>
          <w:rFonts w:ascii="Calibri" w:cs="Calibri"/>
          <w:lang w:val="en-GB"/>
        </w:rPr>
        <w:t xml:space="preserve">. 2022;18: e1010023. </w:t>
      </w:r>
      <w:proofErr w:type="gramStart"/>
      <w:r w:rsidRPr="00D93D38">
        <w:rPr>
          <w:rFonts w:ascii="Calibri" w:cs="Calibri"/>
          <w:lang w:val="en-GB"/>
        </w:rPr>
        <w:t>doi:10.1371/journal.ppat</w:t>
      </w:r>
      <w:proofErr w:type="gramEnd"/>
      <w:r w:rsidRPr="00D93D38">
        <w:rPr>
          <w:rFonts w:ascii="Calibri" w:cs="Calibri"/>
          <w:lang w:val="en-GB"/>
        </w:rPr>
        <w:t>.1010023</w:t>
      </w:r>
    </w:p>
    <w:p w:rsidR="00D93D38" w:rsidRPr="00D93D38" w:rsidRDefault="00D93D38" w:rsidP="00D93D38">
      <w:pPr>
        <w:pStyle w:val="Bibliography"/>
        <w:rPr>
          <w:rFonts w:ascii="Calibri" w:cs="Calibri"/>
          <w:lang w:val="en-GB"/>
        </w:rPr>
      </w:pPr>
      <w:r w:rsidRPr="00D93D38">
        <w:rPr>
          <w:rFonts w:ascii="Calibri" w:cs="Calibri"/>
          <w:lang w:val="en-GB"/>
        </w:rPr>
        <w:t xml:space="preserve">11. </w:t>
      </w:r>
      <w:r w:rsidRPr="00D93D38">
        <w:rPr>
          <w:rFonts w:ascii="Calibri" w:cs="Calibri"/>
          <w:lang w:val="en-GB"/>
        </w:rPr>
        <w:tab/>
      </w:r>
      <w:proofErr w:type="spellStart"/>
      <w:r w:rsidRPr="00D93D38">
        <w:rPr>
          <w:rFonts w:ascii="Calibri" w:cs="Calibri"/>
          <w:lang w:val="en-GB"/>
        </w:rPr>
        <w:t>Katoh</w:t>
      </w:r>
      <w:proofErr w:type="spellEnd"/>
      <w:r w:rsidRPr="00D93D38">
        <w:rPr>
          <w:rFonts w:ascii="Calibri" w:cs="Calibri"/>
          <w:lang w:val="en-GB"/>
        </w:rPr>
        <w:t xml:space="preserve"> K, Misawa K, Kuma K, Miyata T. MAFFT: a novel method for rapid multiple sequence alignment based on fast Fourier transform. Nucleic Acids Res. 2002;30: 3059–3066. doi:10.1093/</w:t>
      </w:r>
      <w:proofErr w:type="spellStart"/>
      <w:r w:rsidRPr="00D93D38">
        <w:rPr>
          <w:rFonts w:ascii="Calibri" w:cs="Calibri"/>
          <w:lang w:val="en-GB"/>
        </w:rPr>
        <w:t>nar</w:t>
      </w:r>
      <w:proofErr w:type="spellEnd"/>
      <w:r w:rsidRPr="00D93D38">
        <w:rPr>
          <w:rFonts w:ascii="Calibri" w:cs="Calibri"/>
          <w:lang w:val="en-GB"/>
        </w:rPr>
        <w:t>/gkf436</w:t>
      </w:r>
    </w:p>
    <w:p w:rsidR="00D93D38" w:rsidRPr="00D93D38" w:rsidRDefault="00D93D38" w:rsidP="00D93D38">
      <w:pPr>
        <w:pStyle w:val="Bibliography"/>
        <w:rPr>
          <w:rFonts w:ascii="Calibri" w:cs="Calibri"/>
          <w:lang w:val="en-GB"/>
        </w:rPr>
      </w:pPr>
      <w:r w:rsidRPr="00D93D38">
        <w:rPr>
          <w:rFonts w:ascii="Calibri" w:cs="Calibri"/>
          <w:lang w:val="en-GB"/>
        </w:rPr>
        <w:t xml:space="preserve">12. </w:t>
      </w:r>
      <w:r w:rsidRPr="00D93D38">
        <w:rPr>
          <w:rFonts w:ascii="Calibri" w:cs="Calibri"/>
          <w:lang w:val="en-GB"/>
        </w:rPr>
        <w:tab/>
        <w:t xml:space="preserve">Minh BQ, Schmidt HA, </w:t>
      </w:r>
      <w:proofErr w:type="spellStart"/>
      <w:r w:rsidRPr="00D93D38">
        <w:rPr>
          <w:rFonts w:ascii="Calibri" w:cs="Calibri"/>
          <w:lang w:val="en-GB"/>
        </w:rPr>
        <w:t>Chernomor</w:t>
      </w:r>
      <w:proofErr w:type="spellEnd"/>
      <w:r w:rsidRPr="00D93D38">
        <w:rPr>
          <w:rFonts w:ascii="Calibri" w:cs="Calibri"/>
          <w:lang w:val="en-GB"/>
        </w:rPr>
        <w:t xml:space="preserve"> O, Schrempf D, Woodhams MD, von </w:t>
      </w:r>
      <w:proofErr w:type="spellStart"/>
      <w:r w:rsidRPr="00D93D38">
        <w:rPr>
          <w:rFonts w:ascii="Calibri" w:cs="Calibri"/>
          <w:lang w:val="en-GB"/>
        </w:rPr>
        <w:t>Haeseler</w:t>
      </w:r>
      <w:proofErr w:type="spellEnd"/>
      <w:r w:rsidRPr="00D93D38">
        <w:rPr>
          <w:rFonts w:ascii="Calibri" w:cs="Calibri"/>
          <w:lang w:val="en-GB"/>
        </w:rPr>
        <w:t xml:space="preserve"> A, et al. IQ-TREE 2: New Models and Efficient Methods for Phylogenetic Inference in the Genomic Era. Mol </w:t>
      </w:r>
      <w:proofErr w:type="spellStart"/>
      <w:r w:rsidRPr="00D93D38">
        <w:rPr>
          <w:rFonts w:ascii="Calibri" w:cs="Calibri"/>
          <w:lang w:val="en-GB"/>
        </w:rPr>
        <w:t>Biol</w:t>
      </w:r>
      <w:proofErr w:type="spellEnd"/>
      <w:r w:rsidRPr="00D93D38">
        <w:rPr>
          <w:rFonts w:ascii="Calibri" w:cs="Calibri"/>
          <w:lang w:val="en-GB"/>
        </w:rPr>
        <w:t xml:space="preserve"> </w:t>
      </w:r>
      <w:proofErr w:type="spellStart"/>
      <w:r w:rsidRPr="00D93D38">
        <w:rPr>
          <w:rFonts w:ascii="Calibri" w:cs="Calibri"/>
          <w:lang w:val="en-GB"/>
        </w:rPr>
        <w:t>Evol</w:t>
      </w:r>
      <w:proofErr w:type="spellEnd"/>
      <w:r w:rsidRPr="00D93D38">
        <w:rPr>
          <w:rFonts w:ascii="Calibri" w:cs="Calibri"/>
          <w:lang w:val="en-GB"/>
        </w:rPr>
        <w:t>. 2020;37: 1530–1534. doi:10.1093/</w:t>
      </w:r>
      <w:proofErr w:type="spellStart"/>
      <w:r w:rsidRPr="00D93D38">
        <w:rPr>
          <w:rFonts w:ascii="Calibri" w:cs="Calibri"/>
          <w:lang w:val="en-GB"/>
        </w:rPr>
        <w:t>molbev</w:t>
      </w:r>
      <w:proofErr w:type="spellEnd"/>
      <w:r w:rsidRPr="00D93D38">
        <w:rPr>
          <w:rFonts w:ascii="Calibri" w:cs="Calibri"/>
          <w:lang w:val="en-GB"/>
        </w:rPr>
        <w:t>/msaa015</w:t>
      </w:r>
    </w:p>
    <w:p w:rsidR="00D93D38" w:rsidRPr="00D93D38" w:rsidRDefault="00D93D38" w:rsidP="00D93D38">
      <w:pPr>
        <w:pStyle w:val="Bibliography"/>
        <w:rPr>
          <w:rFonts w:ascii="Calibri" w:cs="Calibri"/>
          <w:lang w:val="en-GB"/>
        </w:rPr>
      </w:pPr>
      <w:r w:rsidRPr="00D93D38">
        <w:rPr>
          <w:rFonts w:ascii="Calibri" w:cs="Calibri"/>
          <w:lang w:val="en-GB"/>
        </w:rPr>
        <w:lastRenderedPageBreak/>
        <w:t xml:space="preserve">13. </w:t>
      </w:r>
      <w:r w:rsidRPr="00D93D38">
        <w:rPr>
          <w:rFonts w:ascii="Calibri" w:cs="Calibri"/>
          <w:lang w:val="en-GB"/>
        </w:rPr>
        <w:tab/>
        <w:t xml:space="preserve">Minh BQ, Nguyen MAT, von </w:t>
      </w:r>
      <w:proofErr w:type="spellStart"/>
      <w:r w:rsidRPr="00D93D38">
        <w:rPr>
          <w:rFonts w:ascii="Calibri" w:cs="Calibri"/>
          <w:lang w:val="en-GB"/>
        </w:rPr>
        <w:t>Haeseler</w:t>
      </w:r>
      <w:proofErr w:type="spellEnd"/>
      <w:r w:rsidRPr="00D93D38">
        <w:rPr>
          <w:rFonts w:ascii="Calibri" w:cs="Calibri"/>
          <w:lang w:val="en-GB"/>
        </w:rPr>
        <w:t xml:space="preserve"> A. Ultrafast Approximation for Phylogenetic Bootstrap. Mol </w:t>
      </w:r>
      <w:proofErr w:type="spellStart"/>
      <w:r w:rsidRPr="00D93D38">
        <w:rPr>
          <w:rFonts w:ascii="Calibri" w:cs="Calibri"/>
          <w:lang w:val="en-GB"/>
        </w:rPr>
        <w:t>Biol</w:t>
      </w:r>
      <w:proofErr w:type="spellEnd"/>
      <w:r w:rsidRPr="00D93D38">
        <w:rPr>
          <w:rFonts w:ascii="Calibri" w:cs="Calibri"/>
          <w:lang w:val="en-GB"/>
        </w:rPr>
        <w:t xml:space="preserve"> </w:t>
      </w:r>
      <w:proofErr w:type="spellStart"/>
      <w:r w:rsidRPr="00D93D38">
        <w:rPr>
          <w:rFonts w:ascii="Calibri" w:cs="Calibri"/>
          <w:lang w:val="en-GB"/>
        </w:rPr>
        <w:t>Evol</w:t>
      </w:r>
      <w:proofErr w:type="spellEnd"/>
      <w:r w:rsidRPr="00D93D38">
        <w:rPr>
          <w:rFonts w:ascii="Calibri" w:cs="Calibri"/>
          <w:lang w:val="en-GB"/>
        </w:rPr>
        <w:t>. 2013;30: 1188–1195. doi:10.1093/</w:t>
      </w:r>
      <w:proofErr w:type="spellStart"/>
      <w:r w:rsidRPr="00D93D38">
        <w:rPr>
          <w:rFonts w:ascii="Calibri" w:cs="Calibri"/>
          <w:lang w:val="en-GB"/>
        </w:rPr>
        <w:t>molbev</w:t>
      </w:r>
      <w:proofErr w:type="spellEnd"/>
      <w:r w:rsidRPr="00D93D38">
        <w:rPr>
          <w:rFonts w:ascii="Calibri" w:cs="Calibri"/>
          <w:lang w:val="en-GB"/>
        </w:rPr>
        <w:t>/mst024</w:t>
      </w:r>
    </w:p>
    <w:p w:rsidR="00D93D38" w:rsidRPr="00D93D38" w:rsidRDefault="00D93D38" w:rsidP="00D93D38">
      <w:pPr>
        <w:pStyle w:val="Bibliography"/>
        <w:rPr>
          <w:rFonts w:ascii="Calibri" w:cs="Calibri"/>
          <w:lang w:val="en-GB"/>
        </w:rPr>
      </w:pPr>
      <w:r w:rsidRPr="00D93D38">
        <w:rPr>
          <w:rFonts w:ascii="Calibri" w:cs="Calibri"/>
          <w:lang w:val="en-GB"/>
        </w:rPr>
        <w:t xml:space="preserve">14. </w:t>
      </w:r>
      <w:r w:rsidRPr="00D93D38">
        <w:rPr>
          <w:rFonts w:ascii="Calibri" w:cs="Calibri"/>
          <w:lang w:val="en-GB"/>
        </w:rPr>
        <w:tab/>
        <w:t>Using the Castor API R package for data analysis. In: Castor [Internet]. [cited 2 May 2023]. Available: https://helpdesk.castoredc.com/link-castor-to-another-application/using-the-castor-api-r-package-for-data-analysis</w:t>
      </w:r>
    </w:p>
    <w:p w:rsidR="00F35909" w:rsidRPr="006A201A" w:rsidRDefault="00DB72B1" w:rsidP="00F35909">
      <w:pPr>
        <w:spacing w:line="360" w:lineRule="auto"/>
        <w:rPr>
          <w:rFonts w:eastAsia="Times New Roman" w:cstheme="minorHAnsi"/>
          <w:kern w:val="0"/>
          <w:lang w:eastAsia="en-GB"/>
          <w14:ligatures w14:val="none"/>
        </w:rPr>
      </w:pPr>
      <w:r w:rsidRPr="006A201A">
        <w:rPr>
          <w:rFonts w:eastAsia="Times New Roman" w:cstheme="minorHAnsi"/>
          <w:kern w:val="0"/>
          <w:lang w:eastAsia="en-GB"/>
          <w14:ligatures w14:val="none"/>
        </w:rPr>
        <w:fldChar w:fldCharType="end"/>
      </w:r>
    </w:p>
    <w:sectPr w:rsidR="00F35909" w:rsidRPr="006A2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623732"/>
    <w:rsid w:val="006A201A"/>
    <w:rsid w:val="00782878"/>
    <w:rsid w:val="00857EDC"/>
    <w:rsid w:val="0086130E"/>
    <w:rsid w:val="00C70E41"/>
    <w:rsid w:val="00D93D38"/>
    <w:rsid w:val="00DB72B1"/>
    <w:rsid w:val="00F005D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styleId="Bibliography">
    <w:name w:val="Bibliography"/>
    <w:basedOn w:val="Normal"/>
    <w:next w:val="Normal"/>
    <w:uiPriority w:val="37"/>
    <w:unhideWhenUsed/>
    <w:rsid w:val="00DB72B1"/>
    <w:pPr>
      <w:tabs>
        <w:tab w:val="left" w:pos="380"/>
        <w:tab w:val="left" w:pos="500"/>
      </w:tabs>
      <w:spacing w:after="240"/>
      <w:ind w:left="504" w:hanging="504"/>
    </w:pPr>
  </w:style>
  <w:style w:type="character" w:customStyle="1" w:styleId="apple-tab-span">
    <w:name w:val="apple-tab-span"/>
    <w:basedOn w:val="DefaultParagraphFont"/>
    <w:rsid w:val="00F00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3249">
      <w:bodyDiv w:val="1"/>
      <w:marLeft w:val="0"/>
      <w:marRight w:val="0"/>
      <w:marTop w:val="0"/>
      <w:marBottom w:val="0"/>
      <w:divBdr>
        <w:top w:val="none" w:sz="0" w:space="0" w:color="auto"/>
        <w:left w:val="none" w:sz="0" w:space="0" w:color="auto"/>
        <w:bottom w:val="none" w:sz="0" w:space="0" w:color="auto"/>
        <w:right w:val="none" w:sz="0" w:space="0" w:color="auto"/>
      </w:divBdr>
    </w:div>
    <w:div w:id="389503132">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726807867">
      <w:bodyDiv w:val="1"/>
      <w:marLeft w:val="0"/>
      <w:marRight w:val="0"/>
      <w:marTop w:val="0"/>
      <w:marBottom w:val="0"/>
      <w:divBdr>
        <w:top w:val="none" w:sz="0" w:space="0" w:color="auto"/>
        <w:left w:val="none" w:sz="0" w:space="0" w:color="auto"/>
        <w:bottom w:val="none" w:sz="0" w:space="0" w:color="auto"/>
        <w:right w:val="none" w:sz="0" w:space="0" w:color="auto"/>
      </w:divBdr>
    </w:div>
    <w:div w:id="778109294">
      <w:bodyDiv w:val="1"/>
      <w:marLeft w:val="0"/>
      <w:marRight w:val="0"/>
      <w:marTop w:val="0"/>
      <w:marBottom w:val="0"/>
      <w:divBdr>
        <w:top w:val="none" w:sz="0" w:space="0" w:color="auto"/>
        <w:left w:val="none" w:sz="0" w:space="0" w:color="auto"/>
        <w:bottom w:val="none" w:sz="0" w:space="0" w:color="auto"/>
        <w:right w:val="none" w:sz="0" w:space="0" w:color="auto"/>
      </w:divBdr>
    </w:div>
    <w:div w:id="929696125">
      <w:bodyDiv w:val="1"/>
      <w:marLeft w:val="0"/>
      <w:marRight w:val="0"/>
      <w:marTop w:val="0"/>
      <w:marBottom w:val="0"/>
      <w:divBdr>
        <w:top w:val="none" w:sz="0" w:space="0" w:color="auto"/>
        <w:left w:val="none" w:sz="0" w:space="0" w:color="auto"/>
        <w:bottom w:val="none" w:sz="0" w:space="0" w:color="auto"/>
        <w:right w:val="none" w:sz="0" w:space="0" w:color="auto"/>
      </w:divBdr>
    </w:div>
    <w:div w:id="1027952623">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337489786">
      <w:bodyDiv w:val="1"/>
      <w:marLeft w:val="0"/>
      <w:marRight w:val="0"/>
      <w:marTop w:val="0"/>
      <w:marBottom w:val="0"/>
      <w:divBdr>
        <w:top w:val="none" w:sz="0" w:space="0" w:color="auto"/>
        <w:left w:val="none" w:sz="0" w:space="0" w:color="auto"/>
        <w:bottom w:val="none" w:sz="0" w:space="0" w:color="auto"/>
        <w:right w:val="none" w:sz="0" w:space="0" w:color="auto"/>
      </w:divBdr>
    </w:div>
    <w:div w:id="152397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5484</Words>
  <Characters>31263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7</cp:revision>
  <dcterms:created xsi:type="dcterms:W3CDTF">2024-06-24T13:16:00Z</dcterms:created>
  <dcterms:modified xsi:type="dcterms:W3CDTF">2024-08-16T10:45:00Z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id="LNOEnurR"/&gt;&lt;style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