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7C065" w14:textId="2D77DC6E" w:rsidR="002934BB" w:rsidRDefault="00B35B34" w:rsidP="00B35B34">
      <w:pPr>
        <w:jc w:val="center"/>
        <w:rPr>
          <w:b/>
          <w:bCs/>
          <w:sz w:val="40"/>
          <w:szCs w:val="40"/>
        </w:rPr>
      </w:pPr>
      <w:r>
        <w:rPr>
          <w:b/>
          <w:bCs/>
          <w:sz w:val="40"/>
          <w:szCs w:val="40"/>
        </w:rPr>
        <w:t xml:space="preserve">Sales Store Dashboard Report </w:t>
      </w:r>
    </w:p>
    <w:p w14:paraId="5DBDB49A" w14:textId="364083AA" w:rsidR="00B35B34" w:rsidRDefault="00B35B34" w:rsidP="00B35B34">
      <w:pPr>
        <w:rPr>
          <w:b/>
          <w:bCs/>
          <w:sz w:val="28"/>
          <w:szCs w:val="28"/>
        </w:rPr>
      </w:pPr>
      <w:r>
        <w:rPr>
          <w:b/>
          <w:bCs/>
          <w:sz w:val="28"/>
          <w:szCs w:val="28"/>
        </w:rPr>
        <w:t xml:space="preserve">Name: Karmveer Singh Gurjar </w:t>
      </w:r>
    </w:p>
    <w:p w14:paraId="42361918" w14:textId="1BB545A3" w:rsidR="00B35B34" w:rsidRDefault="00B35B34" w:rsidP="00B35B34">
      <w:pPr>
        <w:spacing w:line="240" w:lineRule="auto"/>
        <w:rPr>
          <w:b/>
          <w:bCs/>
          <w:sz w:val="28"/>
          <w:szCs w:val="28"/>
        </w:rPr>
      </w:pPr>
      <w:r>
        <w:rPr>
          <w:b/>
          <w:bCs/>
          <w:sz w:val="28"/>
          <w:szCs w:val="28"/>
        </w:rPr>
        <w:t xml:space="preserve">Domain: Data Science/ Data Analyst </w:t>
      </w:r>
    </w:p>
    <w:p w14:paraId="07D1EE72" w14:textId="77777777" w:rsidR="00B35B34" w:rsidRPr="00B35B34" w:rsidRDefault="00B35B34" w:rsidP="00B35B34">
      <w:pPr>
        <w:spacing w:line="240" w:lineRule="auto"/>
        <w:rPr>
          <w:b/>
          <w:bCs/>
          <w:sz w:val="28"/>
          <w:szCs w:val="28"/>
        </w:rPr>
      </w:pPr>
      <w:r w:rsidRPr="00B35B34">
        <w:rPr>
          <w:b/>
          <w:bCs/>
          <w:sz w:val="28"/>
          <w:szCs w:val="28"/>
        </w:rPr>
        <w:t>Executive Summary</w:t>
      </w:r>
    </w:p>
    <w:p w14:paraId="1F199F46" w14:textId="1F0B437C" w:rsidR="00B35B34" w:rsidRDefault="00B35B34" w:rsidP="00B35B34">
      <w:pPr>
        <w:jc w:val="both"/>
        <w:rPr>
          <w:sz w:val="28"/>
          <w:szCs w:val="28"/>
        </w:rPr>
      </w:pPr>
      <w:r w:rsidRPr="00B35B34">
        <w:rPr>
          <w:sz w:val="28"/>
          <w:szCs w:val="28"/>
        </w:rPr>
        <w:t>In the latest analysis period, the business generated $2.3 million in total sales and achieved a profit of $282,900 with an average shipping time of 4 days. A total of 36,750 units were sold across all regions. The sales performance is strong, with significant contributions from both regional sales leaders and key customers. However, there are opportunities to further improve profitability and operational efficiency.</w:t>
      </w:r>
    </w:p>
    <w:p w14:paraId="7A1A719C" w14:textId="6385610F" w:rsidR="005312F7" w:rsidRDefault="00B35B34" w:rsidP="00B35B34">
      <w:pPr>
        <w:jc w:val="both"/>
        <w:rPr>
          <w:b/>
          <w:bCs/>
          <w:sz w:val="28"/>
          <w:szCs w:val="28"/>
        </w:rPr>
      </w:pPr>
      <w:r w:rsidRPr="00B35B34">
        <w:rPr>
          <w:b/>
          <w:bCs/>
          <w:sz w:val="28"/>
          <w:szCs w:val="28"/>
        </w:rPr>
        <w:t>Key Performance Indicators</w:t>
      </w:r>
    </w:p>
    <w:tbl>
      <w:tblPr>
        <w:tblStyle w:val="TableGrid"/>
        <w:tblW w:w="0" w:type="auto"/>
        <w:tblLook w:val="04A0" w:firstRow="1" w:lastRow="0" w:firstColumn="1" w:lastColumn="0" w:noHBand="0" w:noVBand="1"/>
      </w:tblPr>
      <w:tblGrid>
        <w:gridCol w:w="4508"/>
        <w:gridCol w:w="4508"/>
      </w:tblGrid>
      <w:tr w:rsidR="00B35B34" w14:paraId="5511860D" w14:textId="77777777" w:rsidTr="00B35B34">
        <w:tc>
          <w:tcPr>
            <w:tcW w:w="4508" w:type="dxa"/>
          </w:tcPr>
          <w:p w14:paraId="0B57E1D8" w14:textId="0E825C43" w:rsidR="00B35B34" w:rsidRDefault="00B35B34" w:rsidP="00B35B34">
            <w:pPr>
              <w:jc w:val="center"/>
              <w:rPr>
                <w:b/>
                <w:bCs/>
                <w:sz w:val="28"/>
                <w:szCs w:val="28"/>
              </w:rPr>
            </w:pPr>
            <w:r w:rsidRPr="00B35B34">
              <w:rPr>
                <w:b/>
                <w:bCs/>
                <w:sz w:val="28"/>
                <w:szCs w:val="28"/>
              </w:rPr>
              <w:t>Metric</w:t>
            </w:r>
          </w:p>
        </w:tc>
        <w:tc>
          <w:tcPr>
            <w:tcW w:w="4508" w:type="dxa"/>
          </w:tcPr>
          <w:p w14:paraId="457FDB6C" w14:textId="3A3CF92E" w:rsidR="00B35B34" w:rsidRDefault="00B35B34" w:rsidP="00B35B34">
            <w:pPr>
              <w:jc w:val="center"/>
              <w:rPr>
                <w:b/>
                <w:bCs/>
                <w:sz w:val="28"/>
                <w:szCs w:val="28"/>
              </w:rPr>
            </w:pPr>
            <w:r w:rsidRPr="00B35B34">
              <w:rPr>
                <w:b/>
                <w:bCs/>
                <w:sz w:val="28"/>
                <w:szCs w:val="28"/>
              </w:rPr>
              <w:t>Total Sales</w:t>
            </w:r>
          </w:p>
        </w:tc>
      </w:tr>
      <w:tr w:rsidR="00B35B34" w14:paraId="57EEE826" w14:textId="77777777" w:rsidTr="00B35B34">
        <w:tc>
          <w:tcPr>
            <w:tcW w:w="4508" w:type="dxa"/>
          </w:tcPr>
          <w:p w14:paraId="1C5091B8" w14:textId="6190A38B" w:rsidR="00B35B34" w:rsidRPr="00B35B34" w:rsidRDefault="005312F7" w:rsidP="00B35B34">
            <w:pPr>
              <w:jc w:val="both"/>
              <w:rPr>
                <w:sz w:val="28"/>
                <w:szCs w:val="28"/>
              </w:rPr>
            </w:pPr>
            <w:r>
              <w:rPr>
                <w:sz w:val="28"/>
                <w:szCs w:val="28"/>
              </w:rPr>
              <w:t>Total Sales</w:t>
            </w:r>
          </w:p>
        </w:tc>
        <w:tc>
          <w:tcPr>
            <w:tcW w:w="4508" w:type="dxa"/>
          </w:tcPr>
          <w:p w14:paraId="59F2F005" w14:textId="3EAD4254" w:rsidR="00B35B34" w:rsidRPr="005312F7" w:rsidRDefault="005312F7" w:rsidP="005312F7">
            <w:pPr>
              <w:jc w:val="center"/>
              <w:rPr>
                <w:sz w:val="28"/>
                <w:szCs w:val="28"/>
              </w:rPr>
            </w:pPr>
            <w:r w:rsidRPr="005312F7">
              <w:rPr>
                <w:sz w:val="28"/>
                <w:szCs w:val="28"/>
              </w:rPr>
              <w:t>2.3 M</w:t>
            </w:r>
          </w:p>
        </w:tc>
      </w:tr>
      <w:tr w:rsidR="00B35B34" w14:paraId="6F2DEE68" w14:textId="77777777" w:rsidTr="00B35B34">
        <w:tc>
          <w:tcPr>
            <w:tcW w:w="4508" w:type="dxa"/>
          </w:tcPr>
          <w:p w14:paraId="034CEF12" w14:textId="6D709688" w:rsidR="00B35B34" w:rsidRPr="00B35B34" w:rsidRDefault="005312F7" w:rsidP="00B35B34">
            <w:pPr>
              <w:jc w:val="both"/>
              <w:rPr>
                <w:sz w:val="28"/>
                <w:szCs w:val="28"/>
              </w:rPr>
            </w:pPr>
            <w:r w:rsidRPr="00B35B34">
              <w:rPr>
                <w:sz w:val="28"/>
                <w:szCs w:val="28"/>
              </w:rPr>
              <w:t>Total Profit</w:t>
            </w:r>
          </w:p>
        </w:tc>
        <w:tc>
          <w:tcPr>
            <w:tcW w:w="4508" w:type="dxa"/>
          </w:tcPr>
          <w:p w14:paraId="397C4348" w14:textId="59B5848A" w:rsidR="00B35B34" w:rsidRPr="005312F7" w:rsidRDefault="005312F7" w:rsidP="005312F7">
            <w:pPr>
              <w:jc w:val="center"/>
              <w:rPr>
                <w:sz w:val="28"/>
                <w:szCs w:val="28"/>
              </w:rPr>
            </w:pPr>
            <w:r w:rsidRPr="005312F7">
              <w:rPr>
                <w:sz w:val="28"/>
                <w:szCs w:val="28"/>
              </w:rPr>
              <w:t>282.9k</w:t>
            </w:r>
          </w:p>
        </w:tc>
      </w:tr>
      <w:tr w:rsidR="00B35B34" w14:paraId="56B694D2" w14:textId="77777777" w:rsidTr="00B35B34">
        <w:tc>
          <w:tcPr>
            <w:tcW w:w="4508" w:type="dxa"/>
          </w:tcPr>
          <w:p w14:paraId="5020070A" w14:textId="438C84C8" w:rsidR="00B35B34" w:rsidRPr="00B35B34" w:rsidRDefault="005312F7" w:rsidP="00B35B34">
            <w:pPr>
              <w:jc w:val="both"/>
              <w:rPr>
                <w:sz w:val="28"/>
                <w:szCs w:val="28"/>
              </w:rPr>
            </w:pPr>
            <w:r w:rsidRPr="00B35B34">
              <w:rPr>
                <w:sz w:val="28"/>
                <w:szCs w:val="28"/>
              </w:rPr>
              <w:t>Profit Margin</w:t>
            </w:r>
          </w:p>
        </w:tc>
        <w:tc>
          <w:tcPr>
            <w:tcW w:w="4508" w:type="dxa"/>
          </w:tcPr>
          <w:p w14:paraId="77BADCD3" w14:textId="7DAED463" w:rsidR="00B35B34" w:rsidRPr="005312F7" w:rsidRDefault="005312F7" w:rsidP="005312F7">
            <w:pPr>
              <w:jc w:val="center"/>
              <w:rPr>
                <w:sz w:val="28"/>
                <w:szCs w:val="28"/>
              </w:rPr>
            </w:pPr>
            <w:r w:rsidRPr="005312F7">
              <w:rPr>
                <w:sz w:val="28"/>
                <w:szCs w:val="28"/>
              </w:rPr>
              <w:t>12.3%</w:t>
            </w:r>
          </w:p>
        </w:tc>
      </w:tr>
      <w:tr w:rsidR="00B35B34" w14:paraId="115FB4D9" w14:textId="77777777" w:rsidTr="00B35B34">
        <w:tc>
          <w:tcPr>
            <w:tcW w:w="4508" w:type="dxa"/>
          </w:tcPr>
          <w:p w14:paraId="35781408" w14:textId="2BB8EED9" w:rsidR="00B35B34" w:rsidRPr="00B35B34" w:rsidRDefault="00B35B34" w:rsidP="00B35B34">
            <w:pPr>
              <w:jc w:val="both"/>
              <w:rPr>
                <w:sz w:val="28"/>
                <w:szCs w:val="28"/>
              </w:rPr>
            </w:pPr>
            <w:r w:rsidRPr="00B35B34">
              <w:rPr>
                <w:sz w:val="28"/>
                <w:szCs w:val="28"/>
              </w:rPr>
              <w:t>Total Quantity</w:t>
            </w:r>
          </w:p>
        </w:tc>
        <w:tc>
          <w:tcPr>
            <w:tcW w:w="4508" w:type="dxa"/>
          </w:tcPr>
          <w:p w14:paraId="5AA54548" w14:textId="39024B36" w:rsidR="00B35B34" w:rsidRPr="005312F7" w:rsidRDefault="005312F7" w:rsidP="005312F7">
            <w:pPr>
              <w:jc w:val="center"/>
              <w:rPr>
                <w:sz w:val="28"/>
                <w:szCs w:val="28"/>
              </w:rPr>
            </w:pPr>
            <w:r w:rsidRPr="005312F7">
              <w:rPr>
                <w:sz w:val="28"/>
                <w:szCs w:val="28"/>
              </w:rPr>
              <w:t>367.5K</w:t>
            </w:r>
          </w:p>
        </w:tc>
      </w:tr>
      <w:tr w:rsidR="00B35B34" w14:paraId="0E075C2E" w14:textId="77777777" w:rsidTr="00B35B34">
        <w:tc>
          <w:tcPr>
            <w:tcW w:w="4508" w:type="dxa"/>
          </w:tcPr>
          <w:p w14:paraId="1FA9AC92" w14:textId="33B4C614" w:rsidR="00B35B34" w:rsidRPr="00B35B34" w:rsidRDefault="00B35B34" w:rsidP="00B35B34">
            <w:pPr>
              <w:jc w:val="both"/>
              <w:rPr>
                <w:sz w:val="28"/>
                <w:szCs w:val="28"/>
              </w:rPr>
            </w:pPr>
            <w:r w:rsidRPr="00B35B34">
              <w:rPr>
                <w:sz w:val="28"/>
                <w:szCs w:val="28"/>
              </w:rPr>
              <w:t>Average Shipping Days</w:t>
            </w:r>
          </w:p>
        </w:tc>
        <w:tc>
          <w:tcPr>
            <w:tcW w:w="4508" w:type="dxa"/>
          </w:tcPr>
          <w:p w14:paraId="4B4E184F" w14:textId="1A4FEDD5" w:rsidR="00B35B34" w:rsidRPr="005312F7" w:rsidRDefault="005312F7" w:rsidP="005312F7">
            <w:pPr>
              <w:jc w:val="center"/>
              <w:rPr>
                <w:sz w:val="28"/>
                <w:szCs w:val="28"/>
              </w:rPr>
            </w:pPr>
            <w:r w:rsidRPr="005312F7">
              <w:rPr>
                <w:sz w:val="28"/>
                <w:szCs w:val="28"/>
              </w:rPr>
              <w:t>4days</w:t>
            </w:r>
          </w:p>
        </w:tc>
      </w:tr>
    </w:tbl>
    <w:p w14:paraId="5F2B7895" w14:textId="3359A16F" w:rsidR="005312F7" w:rsidRDefault="00524DFC" w:rsidP="005312F7">
      <w:pPr>
        <w:spacing w:before="240"/>
        <w:jc w:val="both"/>
        <w:rPr>
          <w:b/>
          <w:bCs/>
          <w:sz w:val="28"/>
          <w:szCs w:val="28"/>
        </w:rPr>
      </w:pPr>
      <w:r>
        <w:rPr>
          <w:b/>
          <w:bCs/>
          <w:sz w:val="28"/>
          <w:szCs w:val="28"/>
        </w:rPr>
        <w:t xml:space="preserve">Total </w:t>
      </w:r>
      <w:r w:rsidR="005312F7">
        <w:rPr>
          <w:b/>
          <w:bCs/>
          <w:sz w:val="28"/>
          <w:szCs w:val="28"/>
        </w:rPr>
        <w:t xml:space="preserve">Sales by Category </w:t>
      </w:r>
    </w:p>
    <w:p w14:paraId="0026D46A" w14:textId="77777777" w:rsidR="005312F7" w:rsidRDefault="005312F7" w:rsidP="00CD50A1">
      <w:pPr>
        <w:spacing w:after="0" w:line="360" w:lineRule="auto"/>
        <w:jc w:val="both"/>
        <w:rPr>
          <w:sz w:val="28"/>
          <w:szCs w:val="28"/>
        </w:rPr>
      </w:pPr>
      <w:r w:rsidRPr="005312F7">
        <w:rPr>
          <w:sz w:val="28"/>
          <w:szCs w:val="28"/>
        </w:rPr>
        <w:t xml:space="preserve">This horizontal bar chart compares total sales across three main product categories: </w:t>
      </w:r>
    </w:p>
    <w:p w14:paraId="26AAB61F" w14:textId="77777777" w:rsidR="005312F7" w:rsidRPr="005312F7" w:rsidRDefault="005312F7" w:rsidP="00CD50A1">
      <w:pPr>
        <w:pStyle w:val="ListParagraph"/>
        <w:numPr>
          <w:ilvl w:val="0"/>
          <w:numId w:val="2"/>
        </w:numPr>
        <w:spacing w:after="0" w:line="360" w:lineRule="auto"/>
        <w:jc w:val="both"/>
        <w:rPr>
          <w:sz w:val="28"/>
          <w:szCs w:val="28"/>
        </w:rPr>
      </w:pPr>
      <w:r w:rsidRPr="005312F7">
        <w:rPr>
          <w:b/>
          <w:bCs/>
          <w:sz w:val="28"/>
          <w:szCs w:val="28"/>
        </w:rPr>
        <w:t>Technology,</w:t>
      </w:r>
      <w:r w:rsidRPr="005312F7">
        <w:rPr>
          <w:sz w:val="28"/>
          <w:szCs w:val="28"/>
        </w:rPr>
        <w:t xml:space="preserve"> Furniture, and Office Supplies. Technology leads with about 836.15K in sales. This shows strong market demand and possibly higher price points or sales volume. </w:t>
      </w:r>
    </w:p>
    <w:p w14:paraId="3357320A" w14:textId="77777777" w:rsidR="005312F7" w:rsidRPr="005312F7" w:rsidRDefault="005312F7" w:rsidP="00CD50A1">
      <w:pPr>
        <w:pStyle w:val="ListParagraph"/>
        <w:numPr>
          <w:ilvl w:val="0"/>
          <w:numId w:val="2"/>
        </w:numPr>
        <w:spacing w:after="0" w:line="360" w:lineRule="auto"/>
        <w:jc w:val="both"/>
        <w:rPr>
          <w:sz w:val="28"/>
          <w:szCs w:val="28"/>
        </w:rPr>
      </w:pPr>
      <w:r w:rsidRPr="005312F7">
        <w:rPr>
          <w:b/>
          <w:bCs/>
          <w:sz w:val="28"/>
          <w:szCs w:val="28"/>
        </w:rPr>
        <w:t>Furniture</w:t>
      </w:r>
      <w:r w:rsidRPr="005312F7">
        <w:rPr>
          <w:sz w:val="28"/>
          <w:szCs w:val="28"/>
        </w:rPr>
        <w:t xml:space="preserve"> follows with 742.00K, indicating that it is also a key revenue driver, though slightly behind Technology.</w:t>
      </w:r>
    </w:p>
    <w:p w14:paraId="0DFFA651" w14:textId="5E79AC40" w:rsidR="005312F7" w:rsidRDefault="005312F7" w:rsidP="00CD50A1">
      <w:pPr>
        <w:pStyle w:val="ListParagraph"/>
        <w:numPr>
          <w:ilvl w:val="0"/>
          <w:numId w:val="2"/>
        </w:numPr>
        <w:spacing w:after="0" w:line="360" w:lineRule="auto"/>
        <w:jc w:val="both"/>
        <w:rPr>
          <w:sz w:val="28"/>
          <w:szCs w:val="28"/>
        </w:rPr>
      </w:pPr>
      <w:r w:rsidRPr="005312F7">
        <w:rPr>
          <w:b/>
          <w:bCs/>
          <w:sz w:val="28"/>
          <w:szCs w:val="28"/>
        </w:rPr>
        <w:t>Office Supplies</w:t>
      </w:r>
      <w:r w:rsidRPr="005312F7">
        <w:rPr>
          <w:sz w:val="28"/>
          <w:szCs w:val="28"/>
        </w:rPr>
        <w:t xml:space="preserve"> is at 719.05K, making it the smallest contributor among the three, but it still represents a significant revenue segment.</w:t>
      </w:r>
    </w:p>
    <w:p w14:paraId="6335C8B9" w14:textId="2ABCA81F" w:rsidR="005312F7" w:rsidRDefault="00CD50A1" w:rsidP="005312F7">
      <w:pPr>
        <w:spacing w:after="0"/>
        <w:jc w:val="both"/>
        <w:rPr>
          <w:sz w:val="28"/>
          <w:szCs w:val="28"/>
        </w:rPr>
      </w:pPr>
      <w:r>
        <w:rPr>
          <w:sz w:val="28"/>
          <w:szCs w:val="28"/>
        </w:rPr>
        <w:lastRenderedPageBreak/>
        <w:t xml:space="preserve">   </w:t>
      </w:r>
      <w:r>
        <w:rPr>
          <w:noProof/>
          <w:sz w:val="28"/>
          <w:szCs w:val="28"/>
        </w:rPr>
        <w:drawing>
          <wp:inline distT="0" distB="0" distL="0" distR="0" wp14:anchorId="12E3DE54" wp14:editId="25AE46D0">
            <wp:extent cx="5455249" cy="2529205"/>
            <wp:effectExtent l="0" t="0" r="0" b="4445"/>
            <wp:docPr id="1698029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29490" name="Picture 1698029490"/>
                    <pic:cNvPicPr/>
                  </pic:nvPicPr>
                  <pic:blipFill>
                    <a:blip r:embed="rId5">
                      <a:extLst>
                        <a:ext uri="{28A0092B-C50C-407E-A947-70E740481C1C}">
                          <a14:useLocalDpi xmlns:a14="http://schemas.microsoft.com/office/drawing/2010/main" val="0"/>
                        </a:ext>
                      </a:extLst>
                    </a:blip>
                    <a:stretch>
                      <a:fillRect/>
                    </a:stretch>
                  </pic:blipFill>
                  <pic:spPr>
                    <a:xfrm>
                      <a:off x="0" y="0"/>
                      <a:ext cx="5497392" cy="2548743"/>
                    </a:xfrm>
                    <a:prstGeom prst="rect">
                      <a:avLst/>
                    </a:prstGeom>
                  </pic:spPr>
                </pic:pic>
              </a:graphicData>
            </a:graphic>
          </wp:inline>
        </w:drawing>
      </w:r>
    </w:p>
    <w:p w14:paraId="63CD7660" w14:textId="7BD83BD7" w:rsidR="005312F7" w:rsidRDefault="00524DFC" w:rsidP="005312F7">
      <w:pPr>
        <w:spacing w:after="0"/>
        <w:jc w:val="both"/>
        <w:rPr>
          <w:b/>
          <w:bCs/>
          <w:sz w:val="28"/>
          <w:szCs w:val="28"/>
        </w:rPr>
      </w:pPr>
      <w:r>
        <w:rPr>
          <w:b/>
          <w:bCs/>
          <w:sz w:val="28"/>
          <w:szCs w:val="28"/>
        </w:rPr>
        <w:t>Total</w:t>
      </w:r>
      <w:r w:rsidR="00CD50A1">
        <w:rPr>
          <w:b/>
          <w:bCs/>
          <w:sz w:val="28"/>
          <w:szCs w:val="28"/>
        </w:rPr>
        <w:t xml:space="preserve"> Sales by Sub-Category</w:t>
      </w:r>
    </w:p>
    <w:p w14:paraId="0D6E738C" w14:textId="77777777" w:rsidR="00CD50A1" w:rsidRDefault="00CD50A1" w:rsidP="005312F7">
      <w:pPr>
        <w:spacing w:after="0"/>
        <w:jc w:val="both"/>
        <w:rPr>
          <w:b/>
          <w:bCs/>
          <w:sz w:val="28"/>
          <w:szCs w:val="28"/>
        </w:rPr>
      </w:pPr>
    </w:p>
    <w:p w14:paraId="2340AFB0" w14:textId="77777777" w:rsidR="00CD50A1" w:rsidRPr="00CD50A1" w:rsidRDefault="00CD50A1" w:rsidP="005312F7">
      <w:pPr>
        <w:spacing w:after="0"/>
        <w:jc w:val="both"/>
        <w:rPr>
          <w:sz w:val="28"/>
          <w:szCs w:val="28"/>
        </w:rPr>
      </w:pPr>
      <w:r w:rsidRPr="00CD50A1">
        <w:rPr>
          <w:sz w:val="28"/>
          <w:szCs w:val="28"/>
        </w:rPr>
        <w:t xml:space="preserve">This chart shows the five top sub-categories for sales: </w:t>
      </w:r>
    </w:p>
    <w:p w14:paraId="321861A4" w14:textId="77777777" w:rsidR="00524DFC" w:rsidRPr="00524DFC" w:rsidRDefault="00CD50A1" w:rsidP="00524DFC">
      <w:pPr>
        <w:pStyle w:val="ListParagraph"/>
        <w:numPr>
          <w:ilvl w:val="0"/>
          <w:numId w:val="3"/>
        </w:numPr>
        <w:spacing w:after="0"/>
        <w:jc w:val="both"/>
        <w:rPr>
          <w:sz w:val="28"/>
          <w:szCs w:val="28"/>
        </w:rPr>
      </w:pPr>
      <w:r w:rsidRPr="00524DFC">
        <w:rPr>
          <w:sz w:val="28"/>
          <w:szCs w:val="28"/>
        </w:rPr>
        <w:t xml:space="preserve">Phones lead just a bit with </w:t>
      </w:r>
      <w:r w:rsidRPr="00524DFC">
        <w:rPr>
          <w:b/>
          <w:bCs/>
          <w:sz w:val="28"/>
          <w:szCs w:val="28"/>
        </w:rPr>
        <w:t>330.01K</w:t>
      </w:r>
      <w:r w:rsidRPr="00524DFC">
        <w:rPr>
          <w:sz w:val="28"/>
          <w:szCs w:val="28"/>
        </w:rPr>
        <w:t xml:space="preserve"> in total sales. Chairs come in closely behind at </w:t>
      </w:r>
      <w:r w:rsidRPr="00524DFC">
        <w:rPr>
          <w:b/>
          <w:bCs/>
          <w:sz w:val="28"/>
          <w:szCs w:val="28"/>
        </w:rPr>
        <w:t>328.45K</w:t>
      </w:r>
      <w:r w:rsidRPr="00524DFC">
        <w:rPr>
          <w:sz w:val="28"/>
          <w:szCs w:val="28"/>
        </w:rPr>
        <w:t xml:space="preserve">, which shows that both technology and furniture have strong revenue streams. </w:t>
      </w:r>
    </w:p>
    <w:p w14:paraId="6EF5B665" w14:textId="77777777" w:rsidR="00524DFC" w:rsidRDefault="00CD50A1" w:rsidP="00524DFC">
      <w:pPr>
        <w:pStyle w:val="ListParagraph"/>
        <w:numPr>
          <w:ilvl w:val="0"/>
          <w:numId w:val="3"/>
        </w:numPr>
        <w:spacing w:after="0"/>
        <w:jc w:val="both"/>
        <w:rPr>
          <w:sz w:val="28"/>
          <w:szCs w:val="28"/>
        </w:rPr>
      </w:pPr>
      <w:r w:rsidRPr="00524DFC">
        <w:rPr>
          <w:sz w:val="28"/>
          <w:szCs w:val="28"/>
        </w:rPr>
        <w:t xml:space="preserve">Storage follows with </w:t>
      </w:r>
      <w:r w:rsidRPr="00524DFC">
        <w:rPr>
          <w:b/>
          <w:bCs/>
          <w:sz w:val="28"/>
          <w:szCs w:val="28"/>
        </w:rPr>
        <w:t>223.84K</w:t>
      </w:r>
      <w:r w:rsidRPr="00524DFC">
        <w:rPr>
          <w:sz w:val="28"/>
          <w:szCs w:val="28"/>
        </w:rPr>
        <w:t xml:space="preserve">, reflecting steady demand for organizational products. </w:t>
      </w:r>
    </w:p>
    <w:p w14:paraId="1E0AEB0C" w14:textId="503C949C" w:rsidR="00524DFC" w:rsidRPr="00524DFC" w:rsidRDefault="00CD50A1" w:rsidP="00524DFC">
      <w:pPr>
        <w:pStyle w:val="ListParagraph"/>
        <w:numPr>
          <w:ilvl w:val="0"/>
          <w:numId w:val="3"/>
        </w:numPr>
        <w:spacing w:after="0"/>
        <w:jc w:val="both"/>
        <w:rPr>
          <w:sz w:val="28"/>
          <w:szCs w:val="28"/>
        </w:rPr>
      </w:pPr>
      <w:r w:rsidRPr="00524DFC">
        <w:rPr>
          <w:sz w:val="28"/>
          <w:szCs w:val="28"/>
        </w:rPr>
        <w:t xml:space="preserve">Tables and Binders generate </w:t>
      </w:r>
      <w:r w:rsidRPr="00524DFC">
        <w:rPr>
          <w:b/>
          <w:bCs/>
          <w:sz w:val="28"/>
          <w:szCs w:val="28"/>
        </w:rPr>
        <w:t>206.97K</w:t>
      </w:r>
      <w:r w:rsidRPr="00524DFC">
        <w:rPr>
          <w:sz w:val="28"/>
          <w:szCs w:val="28"/>
        </w:rPr>
        <w:t xml:space="preserve"> and </w:t>
      </w:r>
      <w:r w:rsidRPr="00524DFC">
        <w:rPr>
          <w:b/>
          <w:bCs/>
          <w:sz w:val="28"/>
          <w:szCs w:val="28"/>
        </w:rPr>
        <w:t>203.41K</w:t>
      </w:r>
      <w:r w:rsidRPr="00524DFC">
        <w:rPr>
          <w:sz w:val="28"/>
          <w:szCs w:val="28"/>
        </w:rPr>
        <w:t>, respectively. This indicates moderate but meaningful contributions.</w:t>
      </w:r>
    </w:p>
    <w:p w14:paraId="3D5BB1D5" w14:textId="77777777" w:rsidR="00524DFC" w:rsidRDefault="00524DFC" w:rsidP="00524DFC">
      <w:pPr>
        <w:pStyle w:val="ListParagraph"/>
        <w:spacing w:after="0"/>
        <w:ind w:left="360"/>
        <w:jc w:val="both"/>
        <w:rPr>
          <w:sz w:val="28"/>
          <w:szCs w:val="28"/>
        </w:rPr>
      </w:pPr>
    </w:p>
    <w:p w14:paraId="74AB4082" w14:textId="24431A7B" w:rsidR="00CD50A1" w:rsidRDefault="00524DFC" w:rsidP="00524DFC">
      <w:pPr>
        <w:pStyle w:val="ListParagraph"/>
        <w:spacing w:after="0"/>
        <w:ind w:left="360"/>
        <w:jc w:val="both"/>
        <w:rPr>
          <w:sz w:val="28"/>
          <w:szCs w:val="28"/>
        </w:rPr>
      </w:pPr>
      <w:r>
        <w:rPr>
          <w:b/>
          <w:bCs/>
          <w:noProof/>
        </w:rPr>
        <w:drawing>
          <wp:inline distT="0" distB="0" distL="0" distR="0" wp14:anchorId="3652739C" wp14:editId="546FD0F3">
            <wp:extent cx="4594860" cy="3352730"/>
            <wp:effectExtent l="0" t="0" r="0" b="635"/>
            <wp:docPr id="883345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45606" name="Picture 883345606"/>
                    <pic:cNvPicPr/>
                  </pic:nvPicPr>
                  <pic:blipFill>
                    <a:blip r:embed="rId6">
                      <a:extLst>
                        <a:ext uri="{28A0092B-C50C-407E-A947-70E740481C1C}">
                          <a14:useLocalDpi xmlns:a14="http://schemas.microsoft.com/office/drawing/2010/main" val="0"/>
                        </a:ext>
                      </a:extLst>
                    </a:blip>
                    <a:stretch>
                      <a:fillRect/>
                    </a:stretch>
                  </pic:blipFill>
                  <pic:spPr>
                    <a:xfrm>
                      <a:off x="0" y="0"/>
                      <a:ext cx="4643736" cy="3388393"/>
                    </a:xfrm>
                    <a:prstGeom prst="rect">
                      <a:avLst/>
                    </a:prstGeom>
                  </pic:spPr>
                </pic:pic>
              </a:graphicData>
            </a:graphic>
          </wp:inline>
        </w:drawing>
      </w:r>
    </w:p>
    <w:p w14:paraId="001DD236" w14:textId="77777777" w:rsidR="00524DFC" w:rsidRPr="00524DFC" w:rsidRDefault="00524DFC" w:rsidP="00524DFC">
      <w:pPr>
        <w:pStyle w:val="ListParagraph"/>
        <w:spacing w:after="0"/>
        <w:ind w:left="360"/>
        <w:jc w:val="both"/>
        <w:rPr>
          <w:sz w:val="28"/>
          <w:szCs w:val="28"/>
        </w:rPr>
      </w:pPr>
    </w:p>
    <w:p w14:paraId="11493331" w14:textId="70A56748" w:rsidR="00CD50A1" w:rsidRDefault="00524DFC" w:rsidP="005312F7">
      <w:pPr>
        <w:spacing w:after="0"/>
        <w:jc w:val="both"/>
        <w:rPr>
          <w:b/>
          <w:bCs/>
          <w:sz w:val="28"/>
          <w:szCs w:val="28"/>
        </w:rPr>
      </w:pPr>
      <w:r>
        <w:rPr>
          <w:b/>
          <w:bCs/>
          <w:sz w:val="28"/>
          <w:szCs w:val="28"/>
        </w:rPr>
        <w:t xml:space="preserve">Total </w:t>
      </w:r>
      <w:r w:rsidRPr="00524DFC">
        <w:rPr>
          <w:b/>
          <w:bCs/>
          <w:sz w:val="28"/>
          <w:szCs w:val="28"/>
        </w:rPr>
        <w:t xml:space="preserve">Sales by </w:t>
      </w:r>
      <w:r>
        <w:rPr>
          <w:b/>
          <w:bCs/>
          <w:sz w:val="28"/>
          <w:szCs w:val="28"/>
        </w:rPr>
        <w:t>Ship Mode</w:t>
      </w:r>
    </w:p>
    <w:p w14:paraId="5327070B" w14:textId="77777777" w:rsidR="00524DFC" w:rsidRDefault="00524DFC" w:rsidP="005312F7">
      <w:pPr>
        <w:spacing w:after="0"/>
        <w:jc w:val="both"/>
        <w:rPr>
          <w:b/>
          <w:bCs/>
          <w:sz w:val="28"/>
          <w:szCs w:val="28"/>
        </w:rPr>
      </w:pPr>
    </w:p>
    <w:p w14:paraId="23130C8B" w14:textId="77777777" w:rsidR="0002351A" w:rsidRDefault="0002351A" w:rsidP="005312F7">
      <w:pPr>
        <w:spacing w:after="0"/>
        <w:jc w:val="both"/>
        <w:rPr>
          <w:sz w:val="28"/>
          <w:szCs w:val="28"/>
        </w:rPr>
      </w:pPr>
      <w:r w:rsidRPr="0002351A">
        <w:rPr>
          <w:sz w:val="28"/>
          <w:szCs w:val="28"/>
        </w:rPr>
        <w:t xml:space="preserve">This chart compares total sales generated across four shipping modes: </w:t>
      </w:r>
    </w:p>
    <w:p w14:paraId="0111D86A" w14:textId="77777777" w:rsidR="0002351A" w:rsidRPr="0002351A" w:rsidRDefault="0002351A" w:rsidP="0002351A">
      <w:pPr>
        <w:pStyle w:val="ListParagraph"/>
        <w:numPr>
          <w:ilvl w:val="0"/>
          <w:numId w:val="4"/>
        </w:numPr>
        <w:spacing w:after="0"/>
        <w:jc w:val="both"/>
        <w:rPr>
          <w:sz w:val="28"/>
          <w:szCs w:val="28"/>
        </w:rPr>
      </w:pPr>
      <w:r w:rsidRPr="0002351A">
        <w:rPr>
          <w:sz w:val="28"/>
          <w:szCs w:val="28"/>
        </w:rPr>
        <w:t xml:space="preserve">Standard Class dominates with 1.36M in sales, making it the preferred shipping option for customers. </w:t>
      </w:r>
    </w:p>
    <w:p w14:paraId="5D167AC3" w14:textId="77777777" w:rsidR="0002351A" w:rsidRPr="0002351A" w:rsidRDefault="0002351A" w:rsidP="0002351A">
      <w:pPr>
        <w:pStyle w:val="ListParagraph"/>
        <w:numPr>
          <w:ilvl w:val="0"/>
          <w:numId w:val="4"/>
        </w:numPr>
        <w:spacing w:after="0"/>
        <w:jc w:val="both"/>
        <w:rPr>
          <w:sz w:val="28"/>
          <w:szCs w:val="28"/>
        </w:rPr>
      </w:pPr>
      <w:r w:rsidRPr="0002351A">
        <w:rPr>
          <w:sz w:val="28"/>
          <w:szCs w:val="28"/>
        </w:rPr>
        <w:t xml:space="preserve">Second Class follows with 459.19K, showing a moderate level of use. </w:t>
      </w:r>
    </w:p>
    <w:p w14:paraId="70E539F6" w14:textId="77777777" w:rsidR="0002351A" w:rsidRPr="0002351A" w:rsidRDefault="0002351A" w:rsidP="0002351A">
      <w:pPr>
        <w:pStyle w:val="ListParagraph"/>
        <w:numPr>
          <w:ilvl w:val="0"/>
          <w:numId w:val="4"/>
        </w:numPr>
        <w:spacing w:after="0"/>
        <w:jc w:val="both"/>
        <w:rPr>
          <w:sz w:val="28"/>
          <w:szCs w:val="28"/>
        </w:rPr>
      </w:pPr>
      <w:r w:rsidRPr="0002351A">
        <w:rPr>
          <w:sz w:val="28"/>
          <w:szCs w:val="28"/>
        </w:rPr>
        <w:t xml:space="preserve">First Class accounts for 351.43K, indicating that a smaller portion of customers choose faster premium delivery. </w:t>
      </w:r>
    </w:p>
    <w:p w14:paraId="5F59A222" w14:textId="5A0EBC24" w:rsidR="00524DFC" w:rsidRPr="00757BFA" w:rsidRDefault="0002351A" w:rsidP="005312F7">
      <w:pPr>
        <w:pStyle w:val="ListParagraph"/>
        <w:numPr>
          <w:ilvl w:val="0"/>
          <w:numId w:val="4"/>
        </w:numPr>
        <w:spacing w:after="0"/>
        <w:jc w:val="both"/>
        <w:rPr>
          <w:sz w:val="28"/>
          <w:szCs w:val="28"/>
        </w:rPr>
      </w:pPr>
      <w:r w:rsidRPr="0002351A">
        <w:rPr>
          <w:sz w:val="28"/>
          <w:szCs w:val="28"/>
        </w:rPr>
        <w:t>Same Day shipping has the lowest sales at 128.36K, reflecting its limited use. This may be due to higher costs or restricted availability.</w:t>
      </w:r>
    </w:p>
    <w:p w14:paraId="073F2EC6" w14:textId="07E1FC27" w:rsidR="00524DFC" w:rsidRDefault="0002351A" w:rsidP="005312F7">
      <w:pPr>
        <w:spacing w:after="0"/>
        <w:jc w:val="both"/>
        <w:rPr>
          <w:b/>
          <w:bCs/>
          <w:sz w:val="28"/>
          <w:szCs w:val="28"/>
        </w:rPr>
      </w:pPr>
      <w:r>
        <w:rPr>
          <w:b/>
          <w:bCs/>
          <w:sz w:val="28"/>
          <w:szCs w:val="28"/>
        </w:rPr>
        <w:t xml:space="preserve">                   </w:t>
      </w:r>
      <w:r>
        <w:rPr>
          <w:b/>
          <w:bCs/>
          <w:noProof/>
          <w:sz w:val="28"/>
          <w:szCs w:val="28"/>
        </w:rPr>
        <w:drawing>
          <wp:inline distT="0" distB="0" distL="0" distR="0" wp14:anchorId="263D8808" wp14:editId="3A04C483">
            <wp:extent cx="4274820" cy="2474148"/>
            <wp:effectExtent l="0" t="0" r="0" b="2540"/>
            <wp:docPr id="1781527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27618" name="Picture 17815276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6611" cy="2480973"/>
                    </a:xfrm>
                    <a:prstGeom prst="rect">
                      <a:avLst/>
                    </a:prstGeom>
                  </pic:spPr>
                </pic:pic>
              </a:graphicData>
            </a:graphic>
          </wp:inline>
        </w:drawing>
      </w:r>
    </w:p>
    <w:p w14:paraId="3ED11D48" w14:textId="390171B6" w:rsidR="0002351A" w:rsidRDefault="0002351A" w:rsidP="005312F7">
      <w:pPr>
        <w:spacing w:after="0"/>
        <w:jc w:val="both"/>
        <w:rPr>
          <w:b/>
          <w:bCs/>
          <w:sz w:val="28"/>
          <w:szCs w:val="28"/>
        </w:rPr>
      </w:pPr>
      <w:r w:rsidRPr="0002351A">
        <w:rPr>
          <w:b/>
          <w:bCs/>
          <w:sz w:val="28"/>
          <w:szCs w:val="28"/>
        </w:rPr>
        <w:t>Monthly Sales by Year</w:t>
      </w:r>
      <w:r w:rsidR="00757BFA">
        <w:rPr>
          <w:b/>
          <w:bCs/>
          <w:sz w:val="28"/>
          <w:szCs w:val="28"/>
        </w:rPr>
        <w:t xml:space="preserve"> </w:t>
      </w:r>
    </w:p>
    <w:p w14:paraId="389CE980" w14:textId="3B777493" w:rsidR="0002351A" w:rsidRDefault="0002351A" w:rsidP="0002351A">
      <w:pPr>
        <w:pStyle w:val="ListParagraph"/>
        <w:numPr>
          <w:ilvl w:val="0"/>
          <w:numId w:val="8"/>
        </w:numPr>
        <w:spacing w:after="0"/>
        <w:rPr>
          <w:sz w:val="28"/>
          <w:szCs w:val="28"/>
        </w:rPr>
      </w:pPr>
      <w:r w:rsidRPr="0002351A">
        <w:rPr>
          <w:sz w:val="28"/>
          <w:szCs w:val="28"/>
        </w:rPr>
        <w:t>Sales have been increasing every year from 2014 to 2017.</w:t>
      </w:r>
    </w:p>
    <w:p w14:paraId="562816AD" w14:textId="70BFFD25" w:rsidR="0002351A" w:rsidRDefault="0002351A" w:rsidP="0002351A">
      <w:pPr>
        <w:pStyle w:val="ListParagraph"/>
        <w:numPr>
          <w:ilvl w:val="0"/>
          <w:numId w:val="8"/>
        </w:numPr>
        <w:spacing w:after="0"/>
        <w:rPr>
          <w:sz w:val="28"/>
          <w:szCs w:val="28"/>
        </w:rPr>
      </w:pPr>
      <w:r w:rsidRPr="0002351A">
        <w:rPr>
          <w:sz w:val="28"/>
          <w:szCs w:val="28"/>
        </w:rPr>
        <w:t>2017 had the highest sales, especially in November and December — probably because of holiday shopping and big promotions.</w:t>
      </w:r>
    </w:p>
    <w:p w14:paraId="6494405D" w14:textId="105F7B2A" w:rsidR="0002351A" w:rsidRDefault="0002351A" w:rsidP="0002351A">
      <w:pPr>
        <w:pStyle w:val="ListParagraph"/>
        <w:numPr>
          <w:ilvl w:val="0"/>
          <w:numId w:val="8"/>
        </w:numPr>
        <w:spacing w:after="0"/>
        <w:rPr>
          <w:sz w:val="28"/>
          <w:szCs w:val="28"/>
        </w:rPr>
      </w:pPr>
      <w:r w:rsidRPr="0002351A">
        <w:rPr>
          <w:sz w:val="28"/>
          <w:szCs w:val="28"/>
        </w:rPr>
        <w:t>2016 grew steadily, 2015 was stable but lower, and 2014 started low but improved by the end of the year.</w:t>
      </w:r>
    </w:p>
    <w:p w14:paraId="3C6B9A64" w14:textId="1A8C1A9A" w:rsidR="00524DFC" w:rsidRPr="00757BFA" w:rsidRDefault="0002351A" w:rsidP="00757BFA">
      <w:pPr>
        <w:pStyle w:val="ListParagraph"/>
        <w:numPr>
          <w:ilvl w:val="0"/>
          <w:numId w:val="8"/>
        </w:numPr>
        <w:spacing w:after="0"/>
        <w:rPr>
          <w:sz w:val="28"/>
          <w:szCs w:val="28"/>
        </w:rPr>
      </w:pPr>
      <w:r w:rsidRPr="0002351A">
        <w:rPr>
          <w:sz w:val="28"/>
          <w:szCs w:val="28"/>
        </w:rPr>
        <w:t>The biggest sales jumps happen at the end of the year, so focusing marketing and promotions in the last quarter could bring the best results.</w:t>
      </w:r>
    </w:p>
    <w:p w14:paraId="145E0843" w14:textId="5DA868ED" w:rsidR="00CD50A1" w:rsidRDefault="00757BFA" w:rsidP="005312F7">
      <w:pPr>
        <w:spacing w:after="0"/>
        <w:jc w:val="both"/>
        <w:rPr>
          <w:sz w:val="28"/>
          <w:szCs w:val="28"/>
        </w:rPr>
      </w:pPr>
      <w:r>
        <w:rPr>
          <w:sz w:val="28"/>
          <w:szCs w:val="28"/>
        </w:rPr>
        <w:t xml:space="preserve">                       </w:t>
      </w:r>
      <w:r>
        <w:rPr>
          <w:b/>
          <w:bCs/>
          <w:noProof/>
          <w:sz w:val="28"/>
          <w:szCs w:val="28"/>
        </w:rPr>
        <w:drawing>
          <wp:inline distT="0" distB="0" distL="0" distR="0" wp14:anchorId="059F8028" wp14:editId="7905F696">
            <wp:extent cx="4045173" cy="1844040"/>
            <wp:effectExtent l="0" t="0" r="0" b="3810"/>
            <wp:docPr id="1850843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43746" name="Picture 18508437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696" cy="1875733"/>
                    </a:xfrm>
                    <a:prstGeom prst="rect">
                      <a:avLst/>
                    </a:prstGeom>
                  </pic:spPr>
                </pic:pic>
              </a:graphicData>
            </a:graphic>
          </wp:inline>
        </w:drawing>
      </w:r>
    </w:p>
    <w:p w14:paraId="35E84133" w14:textId="55DBA2A0" w:rsidR="00CD50A1" w:rsidRDefault="00757BFA" w:rsidP="005312F7">
      <w:pPr>
        <w:spacing w:after="0"/>
        <w:jc w:val="both"/>
        <w:rPr>
          <w:b/>
          <w:bCs/>
          <w:sz w:val="28"/>
          <w:szCs w:val="28"/>
        </w:rPr>
      </w:pPr>
      <w:r w:rsidRPr="00757BFA">
        <w:rPr>
          <w:b/>
          <w:bCs/>
          <w:sz w:val="28"/>
          <w:szCs w:val="28"/>
        </w:rPr>
        <w:t>Monthly Profit by Year</w:t>
      </w:r>
    </w:p>
    <w:p w14:paraId="5EED7783" w14:textId="77777777" w:rsidR="00757BFA" w:rsidRDefault="00757BFA" w:rsidP="005312F7">
      <w:pPr>
        <w:spacing w:after="0"/>
        <w:jc w:val="both"/>
        <w:rPr>
          <w:b/>
          <w:bCs/>
          <w:sz w:val="28"/>
          <w:szCs w:val="28"/>
        </w:rPr>
      </w:pPr>
    </w:p>
    <w:p w14:paraId="4F769420" w14:textId="77777777" w:rsidR="00757BFA" w:rsidRDefault="00757BFA" w:rsidP="00757BFA">
      <w:pPr>
        <w:pStyle w:val="ListParagraph"/>
        <w:numPr>
          <w:ilvl w:val="0"/>
          <w:numId w:val="9"/>
        </w:numPr>
        <w:spacing w:after="0"/>
        <w:rPr>
          <w:sz w:val="28"/>
          <w:szCs w:val="28"/>
        </w:rPr>
      </w:pPr>
      <w:r w:rsidRPr="00757BFA">
        <w:rPr>
          <w:sz w:val="28"/>
          <w:szCs w:val="28"/>
        </w:rPr>
        <w:t>Profits increased every year from 2014 to 2017.</w:t>
      </w:r>
    </w:p>
    <w:p w14:paraId="0B8B6368" w14:textId="265F30AE" w:rsidR="00757BFA" w:rsidRDefault="00757BFA" w:rsidP="00757BFA">
      <w:pPr>
        <w:pStyle w:val="ListParagraph"/>
        <w:numPr>
          <w:ilvl w:val="0"/>
          <w:numId w:val="9"/>
        </w:numPr>
        <w:spacing w:after="0"/>
        <w:rPr>
          <w:sz w:val="28"/>
          <w:szCs w:val="28"/>
        </w:rPr>
      </w:pPr>
      <w:r w:rsidRPr="00757BFA">
        <w:rPr>
          <w:sz w:val="28"/>
          <w:szCs w:val="28"/>
        </w:rPr>
        <w:t>2017 made the most profit, especially in March, September, and December.</w:t>
      </w:r>
    </w:p>
    <w:p w14:paraId="63BD28FC" w14:textId="77777777" w:rsidR="00757BFA" w:rsidRDefault="00757BFA" w:rsidP="00757BFA">
      <w:pPr>
        <w:pStyle w:val="ListParagraph"/>
        <w:numPr>
          <w:ilvl w:val="0"/>
          <w:numId w:val="9"/>
        </w:numPr>
        <w:spacing w:after="0"/>
        <w:rPr>
          <w:sz w:val="28"/>
          <w:szCs w:val="28"/>
        </w:rPr>
      </w:pPr>
      <w:r w:rsidRPr="00757BFA">
        <w:rPr>
          <w:sz w:val="28"/>
          <w:szCs w:val="28"/>
        </w:rPr>
        <w:t>2016 grew steadily, with its biggest jump in December.</w:t>
      </w:r>
    </w:p>
    <w:p w14:paraId="5CE07661" w14:textId="77777777" w:rsidR="00757BFA" w:rsidRDefault="00757BFA" w:rsidP="00757BFA">
      <w:pPr>
        <w:pStyle w:val="ListParagraph"/>
        <w:numPr>
          <w:ilvl w:val="0"/>
          <w:numId w:val="9"/>
        </w:numPr>
        <w:spacing w:after="0"/>
        <w:rPr>
          <w:sz w:val="28"/>
          <w:szCs w:val="28"/>
        </w:rPr>
      </w:pPr>
      <w:r w:rsidRPr="00757BFA">
        <w:rPr>
          <w:sz w:val="28"/>
          <w:szCs w:val="28"/>
        </w:rPr>
        <w:t>2015 had smaller profits but still saw good months in March, September, and November.</w:t>
      </w:r>
    </w:p>
    <w:p w14:paraId="53CAEB0F" w14:textId="377349BC" w:rsidR="00757BFA" w:rsidRPr="00757BFA" w:rsidRDefault="00757BFA" w:rsidP="00757BFA">
      <w:pPr>
        <w:pStyle w:val="ListParagraph"/>
        <w:numPr>
          <w:ilvl w:val="0"/>
          <w:numId w:val="9"/>
        </w:numPr>
        <w:spacing w:after="0"/>
        <w:rPr>
          <w:sz w:val="28"/>
          <w:szCs w:val="28"/>
        </w:rPr>
      </w:pPr>
      <w:r w:rsidRPr="00757BFA">
        <w:rPr>
          <w:sz w:val="28"/>
          <w:szCs w:val="28"/>
        </w:rPr>
        <w:t>2014 started low but improved by the end of the year, with the best months in November and December.</w:t>
      </w:r>
    </w:p>
    <w:p w14:paraId="45E0BF19" w14:textId="3C9C99F3" w:rsidR="00CD50A1" w:rsidRDefault="00757BFA" w:rsidP="005312F7">
      <w:pPr>
        <w:spacing w:after="0"/>
        <w:jc w:val="both"/>
        <w:rPr>
          <w:sz w:val="28"/>
          <w:szCs w:val="28"/>
        </w:rPr>
      </w:pPr>
      <w:r>
        <w:rPr>
          <w:sz w:val="28"/>
          <w:szCs w:val="28"/>
        </w:rPr>
        <w:t xml:space="preserve">                                       </w:t>
      </w:r>
      <w:r>
        <w:rPr>
          <w:noProof/>
          <w:sz w:val="28"/>
          <w:szCs w:val="28"/>
        </w:rPr>
        <w:drawing>
          <wp:inline distT="0" distB="0" distL="0" distR="0" wp14:anchorId="0B5D6FFD" wp14:editId="146B7220">
            <wp:extent cx="3562832" cy="2103120"/>
            <wp:effectExtent l="0" t="0" r="0" b="0"/>
            <wp:docPr id="504240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40491" name="Picture 5042404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3452" cy="2109389"/>
                    </a:xfrm>
                    <a:prstGeom prst="rect">
                      <a:avLst/>
                    </a:prstGeom>
                  </pic:spPr>
                </pic:pic>
              </a:graphicData>
            </a:graphic>
          </wp:inline>
        </w:drawing>
      </w:r>
    </w:p>
    <w:p w14:paraId="21804B5A" w14:textId="5A60CEA4" w:rsidR="00757BFA" w:rsidRDefault="00757BFA" w:rsidP="005312F7">
      <w:pPr>
        <w:spacing w:after="0"/>
        <w:jc w:val="both"/>
        <w:rPr>
          <w:b/>
          <w:bCs/>
          <w:sz w:val="28"/>
          <w:szCs w:val="28"/>
        </w:rPr>
      </w:pPr>
      <w:r>
        <w:rPr>
          <w:b/>
          <w:bCs/>
          <w:sz w:val="28"/>
          <w:szCs w:val="28"/>
        </w:rPr>
        <w:t xml:space="preserve">Total </w:t>
      </w:r>
      <w:r w:rsidR="00CE792F">
        <w:rPr>
          <w:b/>
          <w:bCs/>
          <w:sz w:val="28"/>
          <w:szCs w:val="28"/>
        </w:rPr>
        <w:t>Sales by Region</w:t>
      </w:r>
    </w:p>
    <w:p w14:paraId="7BB08EAB" w14:textId="77777777" w:rsidR="00CE792F" w:rsidRDefault="00CE792F" w:rsidP="005312F7">
      <w:pPr>
        <w:spacing w:after="0"/>
        <w:jc w:val="both"/>
        <w:rPr>
          <w:b/>
          <w:bCs/>
          <w:sz w:val="28"/>
          <w:szCs w:val="28"/>
        </w:rPr>
      </w:pPr>
    </w:p>
    <w:p w14:paraId="49E1F293" w14:textId="77777777" w:rsidR="00CE792F" w:rsidRPr="00CE792F" w:rsidRDefault="00CE792F" w:rsidP="00CE792F">
      <w:pPr>
        <w:spacing w:after="0"/>
        <w:jc w:val="both"/>
        <w:rPr>
          <w:sz w:val="28"/>
          <w:szCs w:val="28"/>
        </w:rPr>
      </w:pPr>
      <w:r w:rsidRPr="00CE792F">
        <w:rPr>
          <w:sz w:val="28"/>
          <w:szCs w:val="28"/>
        </w:rPr>
        <w:t>This chart shows the percentage of total sales by region:</w:t>
      </w:r>
    </w:p>
    <w:p w14:paraId="7C23C325" w14:textId="77777777" w:rsidR="00CE792F" w:rsidRPr="00CE792F" w:rsidRDefault="00CE792F" w:rsidP="00CE792F">
      <w:pPr>
        <w:numPr>
          <w:ilvl w:val="0"/>
          <w:numId w:val="10"/>
        </w:numPr>
        <w:spacing w:after="0"/>
        <w:jc w:val="both"/>
        <w:rPr>
          <w:sz w:val="28"/>
          <w:szCs w:val="28"/>
        </w:rPr>
      </w:pPr>
      <w:r w:rsidRPr="00CE792F">
        <w:rPr>
          <w:sz w:val="28"/>
          <w:szCs w:val="28"/>
        </w:rPr>
        <w:t>West: Highest sales share at 31.6%.</w:t>
      </w:r>
    </w:p>
    <w:p w14:paraId="0302692B" w14:textId="77777777" w:rsidR="00CE792F" w:rsidRPr="00CE792F" w:rsidRDefault="00CE792F" w:rsidP="00CE792F">
      <w:pPr>
        <w:numPr>
          <w:ilvl w:val="0"/>
          <w:numId w:val="10"/>
        </w:numPr>
        <w:spacing w:after="0"/>
        <w:jc w:val="both"/>
        <w:rPr>
          <w:sz w:val="28"/>
          <w:szCs w:val="28"/>
        </w:rPr>
      </w:pPr>
      <w:r w:rsidRPr="00CE792F">
        <w:rPr>
          <w:sz w:val="28"/>
          <w:szCs w:val="28"/>
        </w:rPr>
        <w:t>East: Close second with 29.5%.</w:t>
      </w:r>
    </w:p>
    <w:p w14:paraId="0E893A84" w14:textId="77777777" w:rsidR="00CE792F" w:rsidRPr="00CE792F" w:rsidRDefault="00CE792F" w:rsidP="00CE792F">
      <w:pPr>
        <w:numPr>
          <w:ilvl w:val="0"/>
          <w:numId w:val="10"/>
        </w:numPr>
        <w:spacing w:after="0"/>
        <w:jc w:val="both"/>
        <w:rPr>
          <w:sz w:val="28"/>
          <w:szCs w:val="28"/>
        </w:rPr>
      </w:pPr>
      <w:r w:rsidRPr="00CE792F">
        <w:rPr>
          <w:sz w:val="28"/>
          <w:szCs w:val="28"/>
        </w:rPr>
        <w:t>Central: Accounts for 21.8%.</w:t>
      </w:r>
    </w:p>
    <w:p w14:paraId="41968DA8" w14:textId="77777777" w:rsidR="00CE792F" w:rsidRPr="00CE792F" w:rsidRDefault="00CE792F" w:rsidP="00CE792F">
      <w:pPr>
        <w:numPr>
          <w:ilvl w:val="0"/>
          <w:numId w:val="10"/>
        </w:numPr>
        <w:spacing w:after="0"/>
        <w:jc w:val="both"/>
        <w:rPr>
          <w:sz w:val="28"/>
          <w:szCs w:val="28"/>
        </w:rPr>
      </w:pPr>
      <w:r w:rsidRPr="00CE792F">
        <w:rPr>
          <w:sz w:val="28"/>
          <w:szCs w:val="28"/>
        </w:rPr>
        <w:t>South: Lowest sales share at 17.1%.</w:t>
      </w:r>
    </w:p>
    <w:p w14:paraId="47C53D3F" w14:textId="77777777" w:rsidR="00CE792F" w:rsidRDefault="00CE792F" w:rsidP="00CE792F">
      <w:pPr>
        <w:spacing w:after="0"/>
        <w:jc w:val="both"/>
        <w:rPr>
          <w:sz w:val="28"/>
          <w:szCs w:val="28"/>
        </w:rPr>
      </w:pPr>
      <w:r w:rsidRPr="00CE792F">
        <w:rPr>
          <w:sz w:val="28"/>
          <w:szCs w:val="28"/>
        </w:rPr>
        <w:t>Summary: Sales are strongest in the West and East, while the South lags behind the other regions.</w:t>
      </w:r>
    </w:p>
    <w:p w14:paraId="18B9498B" w14:textId="0C896730" w:rsidR="00CE792F" w:rsidRPr="00CE792F" w:rsidRDefault="00CE792F" w:rsidP="00CE792F">
      <w:pPr>
        <w:spacing w:after="0"/>
        <w:jc w:val="both"/>
        <w:rPr>
          <w:sz w:val="28"/>
          <w:szCs w:val="28"/>
        </w:rPr>
      </w:pPr>
      <w:r>
        <w:rPr>
          <w:sz w:val="28"/>
          <w:szCs w:val="28"/>
        </w:rPr>
        <w:t xml:space="preserve">                                            </w:t>
      </w:r>
      <w:r>
        <w:rPr>
          <w:noProof/>
          <w:sz w:val="28"/>
          <w:szCs w:val="28"/>
        </w:rPr>
        <w:drawing>
          <wp:inline distT="0" distB="0" distL="0" distR="0" wp14:anchorId="043D6D65" wp14:editId="7D33B493">
            <wp:extent cx="2065020" cy="1929122"/>
            <wp:effectExtent l="0" t="0" r="0" b="0"/>
            <wp:docPr id="800233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3585" name="Picture 80023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0400" cy="1952832"/>
                    </a:xfrm>
                    <a:prstGeom prst="rect">
                      <a:avLst/>
                    </a:prstGeom>
                  </pic:spPr>
                </pic:pic>
              </a:graphicData>
            </a:graphic>
          </wp:inline>
        </w:drawing>
      </w:r>
    </w:p>
    <w:p w14:paraId="1D5347BB" w14:textId="77777777" w:rsidR="00CD50A1" w:rsidRDefault="00CD50A1" w:rsidP="005312F7">
      <w:pPr>
        <w:spacing w:after="0"/>
        <w:jc w:val="both"/>
        <w:rPr>
          <w:b/>
          <w:bCs/>
          <w:sz w:val="28"/>
          <w:szCs w:val="28"/>
        </w:rPr>
      </w:pPr>
    </w:p>
    <w:p w14:paraId="1F90D655" w14:textId="6E45C80B" w:rsidR="00CE792F" w:rsidRDefault="00CE792F" w:rsidP="005312F7">
      <w:pPr>
        <w:spacing w:after="0"/>
        <w:jc w:val="both"/>
        <w:rPr>
          <w:b/>
          <w:bCs/>
          <w:sz w:val="28"/>
          <w:szCs w:val="28"/>
        </w:rPr>
      </w:pPr>
      <w:r>
        <w:rPr>
          <w:b/>
          <w:bCs/>
          <w:sz w:val="28"/>
          <w:szCs w:val="28"/>
        </w:rPr>
        <w:t>Total Sales by Segment:</w:t>
      </w:r>
    </w:p>
    <w:p w14:paraId="6891C4EB" w14:textId="77777777" w:rsidR="00CE792F" w:rsidRDefault="00CE792F" w:rsidP="005312F7">
      <w:pPr>
        <w:spacing w:after="0"/>
        <w:jc w:val="both"/>
        <w:rPr>
          <w:sz w:val="28"/>
          <w:szCs w:val="28"/>
        </w:rPr>
      </w:pPr>
    </w:p>
    <w:p w14:paraId="3BFD4396" w14:textId="77777777" w:rsidR="00CE792F" w:rsidRPr="00CE792F" w:rsidRDefault="00CE792F" w:rsidP="00CE792F">
      <w:pPr>
        <w:numPr>
          <w:ilvl w:val="0"/>
          <w:numId w:val="11"/>
        </w:numPr>
        <w:spacing w:after="0"/>
        <w:jc w:val="both"/>
        <w:rPr>
          <w:sz w:val="28"/>
          <w:szCs w:val="28"/>
        </w:rPr>
      </w:pPr>
      <w:r w:rsidRPr="00CE792F">
        <w:rPr>
          <w:b/>
          <w:bCs/>
          <w:sz w:val="28"/>
          <w:szCs w:val="28"/>
        </w:rPr>
        <w:t>Consumer</w:t>
      </w:r>
      <w:r w:rsidRPr="00CE792F">
        <w:rPr>
          <w:sz w:val="28"/>
          <w:szCs w:val="28"/>
        </w:rPr>
        <w:t xml:space="preserve">: Largest segment, making up </w:t>
      </w:r>
      <w:r w:rsidRPr="00CE792F">
        <w:rPr>
          <w:b/>
          <w:bCs/>
          <w:sz w:val="28"/>
          <w:szCs w:val="28"/>
        </w:rPr>
        <w:t>50.6%</w:t>
      </w:r>
      <w:r w:rsidRPr="00CE792F">
        <w:rPr>
          <w:sz w:val="28"/>
          <w:szCs w:val="28"/>
        </w:rPr>
        <w:t xml:space="preserve"> of total sales.</w:t>
      </w:r>
    </w:p>
    <w:p w14:paraId="7E16A050" w14:textId="77777777" w:rsidR="00CE792F" w:rsidRPr="00CE792F" w:rsidRDefault="00CE792F" w:rsidP="00CE792F">
      <w:pPr>
        <w:numPr>
          <w:ilvl w:val="0"/>
          <w:numId w:val="11"/>
        </w:numPr>
        <w:spacing w:after="0"/>
        <w:jc w:val="both"/>
        <w:rPr>
          <w:sz w:val="28"/>
          <w:szCs w:val="28"/>
        </w:rPr>
      </w:pPr>
      <w:r w:rsidRPr="00CE792F">
        <w:rPr>
          <w:b/>
          <w:bCs/>
          <w:sz w:val="28"/>
          <w:szCs w:val="28"/>
        </w:rPr>
        <w:t>Corporate</w:t>
      </w:r>
      <w:r w:rsidRPr="00CE792F">
        <w:rPr>
          <w:sz w:val="28"/>
          <w:szCs w:val="28"/>
        </w:rPr>
        <w:t xml:space="preserve">: Second-largest, with </w:t>
      </w:r>
      <w:r w:rsidRPr="00CE792F">
        <w:rPr>
          <w:b/>
          <w:bCs/>
          <w:sz w:val="28"/>
          <w:szCs w:val="28"/>
        </w:rPr>
        <w:t>30.7%</w:t>
      </w:r>
      <w:r w:rsidRPr="00CE792F">
        <w:rPr>
          <w:sz w:val="28"/>
          <w:szCs w:val="28"/>
        </w:rPr>
        <w:t xml:space="preserve"> of sales.</w:t>
      </w:r>
    </w:p>
    <w:p w14:paraId="45112090" w14:textId="77777777" w:rsidR="00CE792F" w:rsidRPr="00CE792F" w:rsidRDefault="00CE792F" w:rsidP="00CE792F">
      <w:pPr>
        <w:numPr>
          <w:ilvl w:val="0"/>
          <w:numId w:val="11"/>
        </w:numPr>
        <w:spacing w:after="0"/>
        <w:jc w:val="both"/>
        <w:rPr>
          <w:sz w:val="28"/>
          <w:szCs w:val="28"/>
        </w:rPr>
      </w:pPr>
      <w:r w:rsidRPr="00CE792F">
        <w:rPr>
          <w:b/>
          <w:bCs/>
          <w:sz w:val="28"/>
          <w:szCs w:val="28"/>
        </w:rPr>
        <w:t>Home Office</w:t>
      </w:r>
      <w:r w:rsidRPr="00CE792F">
        <w:rPr>
          <w:sz w:val="28"/>
          <w:szCs w:val="28"/>
        </w:rPr>
        <w:t xml:space="preserve">: Smallest segment, contributing </w:t>
      </w:r>
      <w:r w:rsidRPr="00CE792F">
        <w:rPr>
          <w:b/>
          <w:bCs/>
          <w:sz w:val="28"/>
          <w:szCs w:val="28"/>
        </w:rPr>
        <w:t>18.7%</w:t>
      </w:r>
      <w:r w:rsidRPr="00CE792F">
        <w:rPr>
          <w:sz w:val="28"/>
          <w:szCs w:val="28"/>
        </w:rPr>
        <w:t xml:space="preserve"> of sales.</w:t>
      </w:r>
    </w:p>
    <w:p w14:paraId="3D1B05C3" w14:textId="77777777" w:rsidR="00CE792F" w:rsidRDefault="00CE792F" w:rsidP="00CE792F">
      <w:pPr>
        <w:spacing w:after="0"/>
        <w:jc w:val="both"/>
        <w:rPr>
          <w:sz w:val="28"/>
          <w:szCs w:val="28"/>
        </w:rPr>
      </w:pPr>
      <w:r w:rsidRPr="00CE792F">
        <w:rPr>
          <w:b/>
          <w:bCs/>
          <w:sz w:val="28"/>
          <w:szCs w:val="28"/>
        </w:rPr>
        <w:t>Summary:</w:t>
      </w:r>
      <w:r w:rsidRPr="00CE792F">
        <w:rPr>
          <w:sz w:val="28"/>
          <w:szCs w:val="28"/>
        </w:rPr>
        <w:t xml:space="preserve"> Most sales come from the </w:t>
      </w:r>
      <w:r w:rsidRPr="00CE792F">
        <w:rPr>
          <w:b/>
          <w:bCs/>
          <w:sz w:val="28"/>
          <w:szCs w:val="28"/>
        </w:rPr>
        <w:t>Consumer</w:t>
      </w:r>
      <w:r w:rsidRPr="00CE792F">
        <w:rPr>
          <w:sz w:val="28"/>
          <w:szCs w:val="28"/>
        </w:rPr>
        <w:t xml:space="preserve"> segment, followed by </w:t>
      </w:r>
      <w:r w:rsidRPr="00CE792F">
        <w:rPr>
          <w:b/>
          <w:bCs/>
          <w:sz w:val="28"/>
          <w:szCs w:val="28"/>
        </w:rPr>
        <w:t>Corporate</w:t>
      </w:r>
      <w:r w:rsidRPr="00CE792F">
        <w:rPr>
          <w:sz w:val="28"/>
          <w:szCs w:val="28"/>
        </w:rPr>
        <w:t xml:space="preserve">, while </w:t>
      </w:r>
      <w:r w:rsidRPr="00CE792F">
        <w:rPr>
          <w:b/>
          <w:bCs/>
          <w:sz w:val="28"/>
          <w:szCs w:val="28"/>
        </w:rPr>
        <w:t>Home Office</w:t>
      </w:r>
      <w:r w:rsidRPr="00CE792F">
        <w:rPr>
          <w:sz w:val="28"/>
          <w:szCs w:val="28"/>
        </w:rPr>
        <w:t xml:space="preserve"> is the least contributing segment.</w:t>
      </w:r>
    </w:p>
    <w:p w14:paraId="137CCBAE" w14:textId="105DC34E" w:rsidR="00CE792F" w:rsidRDefault="00CE792F" w:rsidP="00CE792F">
      <w:pPr>
        <w:spacing w:after="0"/>
        <w:jc w:val="both"/>
        <w:rPr>
          <w:sz w:val="28"/>
          <w:szCs w:val="28"/>
        </w:rPr>
      </w:pPr>
      <w:r>
        <w:rPr>
          <w:sz w:val="28"/>
          <w:szCs w:val="28"/>
        </w:rPr>
        <w:t xml:space="preserve">                                         </w:t>
      </w:r>
      <w:r>
        <w:rPr>
          <w:noProof/>
          <w:sz w:val="28"/>
          <w:szCs w:val="28"/>
        </w:rPr>
        <w:drawing>
          <wp:inline distT="0" distB="0" distL="0" distR="0" wp14:anchorId="7B209A7A" wp14:editId="26A274E0">
            <wp:extent cx="2773680" cy="2605433"/>
            <wp:effectExtent l="0" t="0" r="7620" b="4445"/>
            <wp:docPr id="1274925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25311" name="Picture 1274925311"/>
                    <pic:cNvPicPr/>
                  </pic:nvPicPr>
                  <pic:blipFill>
                    <a:blip r:embed="rId11">
                      <a:extLst>
                        <a:ext uri="{28A0092B-C50C-407E-A947-70E740481C1C}">
                          <a14:useLocalDpi xmlns:a14="http://schemas.microsoft.com/office/drawing/2010/main" val="0"/>
                        </a:ext>
                      </a:extLst>
                    </a:blip>
                    <a:stretch>
                      <a:fillRect/>
                    </a:stretch>
                  </pic:blipFill>
                  <pic:spPr>
                    <a:xfrm>
                      <a:off x="0" y="0"/>
                      <a:ext cx="2779107" cy="2610531"/>
                    </a:xfrm>
                    <a:prstGeom prst="rect">
                      <a:avLst/>
                    </a:prstGeom>
                  </pic:spPr>
                </pic:pic>
              </a:graphicData>
            </a:graphic>
          </wp:inline>
        </w:drawing>
      </w:r>
    </w:p>
    <w:p w14:paraId="31F72EC3" w14:textId="048640FF" w:rsidR="00630B50" w:rsidRPr="00630B50" w:rsidRDefault="00630B50" w:rsidP="00630B50">
      <w:pPr>
        <w:spacing w:after="0"/>
        <w:jc w:val="both"/>
        <w:rPr>
          <w:sz w:val="28"/>
          <w:szCs w:val="28"/>
        </w:rPr>
      </w:pPr>
      <w:r w:rsidRPr="00630B50">
        <w:rPr>
          <w:b/>
          <w:bCs/>
          <w:sz w:val="28"/>
          <w:szCs w:val="28"/>
        </w:rPr>
        <w:t xml:space="preserve"> Recommendations  </w:t>
      </w:r>
    </w:p>
    <w:p w14:paraId="72C9B98A" w14:textId="77777777" w:rsidR="00630B50" w:rsidRPr="00630B50" w:rsidRDefault="00630B50" w:rsidP="00630B50">
      <w:pPr>
        <w:spacing w:after="0"/>
        <w:jc w:val="both"/>
        <w:rPr>
          <w:sz w:val="28"/>
          <w:szCs w:val="28"/>
        </w:rPr>
      </w:pPr>
      <w:r w:rsidRPr="00630B50">
        <w:rPr>
          <w:sz w:val="28"/>
          <w:szCs w:val="28"/>
        </w:rPr>
        <w:t xml:space="preserve">1. Expand in underperforming regions, focusing on the South.  </w:t>
      </w:r>
    </w:p>
    <w:p w14:paraId="3FDFE702" w14:textId="77777777" w:rsidR="00630B50" w:rsidRPr="00630B50" w:rsidRDefault="00630B50" w:rsidP="00630B50">
      <w:pPr>
        <w:spacing w:after="0"/>
        <w:jc w:val="both"/>
        <w:rPr>
          <w:sz w:val="28"/>
          <w:szCs w:val="28"/>
        </w:rPr>
      </w:pPr>
      <w:r w:rsidRPr="00630B50">
        <w:rPr>
          <w:sz w:val="28"/>
          <w:szCs w:val="28"/>
        </w:rPr>
        <w:t xml:space="preserve">2. Strengthen relationships with top customers.  </w:t>
      </w:r>
    </w:p>
    <w:p w14:paraId="0BAE0595" w14:textId="77777777" w:rsidR="00630B50" w:rsidRPr="00630B50" w:rsidRDefault="00630B50" w:rsidP="00630B50">
      <w:pPr>
        <w:spacing w:after="0"/>
        <w:jc w:val="both"/>
        <w:rPr>
          <w:sz w:val="28"/>
          <w:szCs w:val="28"/>
        </w:rPr>
      </w:pPr>
      <w:r w:rsidRPr="00630B50">
        <w:rPr>
          <w:sz w:val="28"/>
          <w:szCs w:val="28"/>
        </w:rPr>
        <w:t xml:space="preserve">3. Conduct a detailed profitability analysis.  </w:t>
      </w:r>
    </w:p>
    <w:p w14:paraId="2E18CE0B" w14:textId="77777777" w:rsidR="00630B50" w:rsidRPr="00630B50" w:rsidRDefault="00630B50" w:rsidP="00630B50">
      <w:pPr>
        <w:spacing w:after="0"/>
        <w:jc w:val="both"/>
        <w:rPr>
          <w:sz w:val="28"/>
          <w:szCs w:val="28"/>
        </w:rPr>
      </w:pPr>
      <w:r w:rsidRPr="00630B50">
        <w:rPr>
          <w:sz w:val="28"/>
          <w:szCs w:val="28"/>
        </w:rPr>
        <w:t xml:space="preserve">4. Reduce shipping times for key accounts.  </w:t>
      </w:r>
    </w:p>
    <w:p w14:paraId="08A53638" w14:textId="77777777" w:rsidR="00630B50" w:rsidRPr="00630B50" w:rsidRDefault="00630B50" w:rsidP="00630B50">
      <w:pPr>
        <w:spacing w:after="0"/>
        <w:jc w:val="both"/>
        <w:rPr>
          <w:sz w:val="28"/>
          <w:szCs w:val="28"/>
        </w:rPr>
      </w:pPr>
      <w:r w:rsidRPr="00630B50">
        <w:rPr>
          <w:sz w:val="28"/>
          <w:szCs w:val="28"/>
        </w:rPr>
        <w:t xml:space="preserve">5. Diversify the customer base to lower dependency risks.  </w:t>
      </w:r>
    </w:p>
    <w:p w14:paraId="451DBAFD" w14:textId="77777777" w:rsidR="00630B50" w:rsidRPr="00630B50" w:rsidRDefault="00630B50" w:rsidP="00630B50">
      <w:pPr>
        <w:spacing w:after="0"/>
        <w:jc w:val="both"/>
        <w:rPr>
          <w:sz w:val="28"/>
          <w:szCs w:val="28"/>
        </w:rPr>
      </w:pPr>
    </w:p>
    <w:p w14:paraId="209B620A" w14:textId="7620CB4F" w:rsidR="00630B50" w:rsidRPr="00630B50" w:rsidRDefault="00630B50" w:rsidP="00630B50">
      <w:pPr>
        <w:spacing w:after="0"/>
        <w:jc w:val="both"/>
        <w:rPr>
          <w:b/>
          <w:bCs/>
          <w:sz w:val="28"/>
          <w:szCs w:val="28"/>
        </w:rPr>
      </w:pPr>
      <w:r w:rsidRPr="00630B50">
        <w:rPr>
          <w:b/>
          <w:bCs/>
          <w:sz w:val="28"/>
          <w:szCs w:val="28"/>
        </w:rPr>
        <w:t xml:space="preserve">Conclusion  </w:t>
      </w:r>
    </w:p>
    <w:p w14:paraId="35619F94" w14:textId="040CE337" w:rsidR="00CE792F" w:rsidRPr="00CE792F" w:rsidRDefault="00630B50" w:rsidP="00630B50">
      <w:pPr>
        <w:spacing w:after="0"/>
        <w:jc w:val="both"/>
        <w:rPr>
          <w:sz w:val="28"/>
          <w:szCs w:val="28"/>
        </w:rPr>
      </w:pPr>
      <w:r w:rsidRPr="00630B50">
        <w:rPr>
          <w:sz w:val="28"/>
          <w:szCs w:val="28"/>
        </w:rPr>
        <w:t>The company shows healthy sales growth and a solid profit margin of 12.3%. The West and East regions dominate revenue. However, focusing on customer diversification, regional expansion, and improving operations can increase profitability and lower business risks.</w:t>
      </w:r>
    </w:p>
    <w:p w14:paraId="6DABD20D" w14:textId="77777777" w:rsidR="00CE792F" w:rsidRDefault="00CE792F" w:rsidP="005312F7">
      <w:pPr>
        <w:spacing w:after="0"/>
        <w:jc w:val="both"/>
        <w:rPr>
          <w:sz w:val="28"/>
          <w:szCs w:val="28"/>
        </w:rPr>
      </w:pPr>
    </w:p>
    <w:p w14:paraId="0064D3B9" w14:textId="77777777" w:rsidR="00CD50A1" w:rsidRDefault="00CD50A1" w:rsidP="005312F7">
      <w:pPr>
        <w:spacing w:after="0"/>
        <w:jc w:val="both"/>
        <w:rPr>
          <w:sz w:val="28"/>
          <w:szCs w:val="28"/>
        </w:rPr>
      </w:pPr>
    </w:p>
    <w:p w14:paraId="2669FFC1" w14:textId="77777777" w:rsidR="00CD50A1" w:rsidRPr="005312F7" w:rsidRDefault="00CD50A1" w:rsidP="005312F7">
      <w:pPr>
        <w:spacing w:after="0"/>
        <w:jc w:val="both"/>
        <w:rPr>
          <w:sz w:val="28"/>
          <w:szCs w:val="28"/>
        </w:rPr>
      </w:pPr>
    </w:p>
    <w:sectPr w:rsidR="00CD50A1" w:rsidRPr="00531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610F"/>
    <w:multiLevelType w:val="hybridMultilevel"/>
    <w:tmpl w:val="8F6457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E6F24F0"/>
    <w:multiLevelType w:val="hybridMultilevel"/>
    <w:tmpl w:val="FAF88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169F7"/>
    <w:multiLevelType w:val="hybridMultilevel"/>
    <w:tmpl w:val="CC2E9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240BDB"/>
    <w:multiLevelType w:val="multilevel"/>
    <w:tmpl w:val="FD7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D6AEC"/>
    <w:multiLevelType w:val="multilevel"/>
    <w:tmpl w:val="789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9064C"/>
    <w:multiLevelType w:val="hybridMultilevel"/>
    <w:tmpl w:val="5EA200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0E81D3E"/>
    <w:multiLevelType w:val="hybridMultilevel"/>
    <w:tmpl w:val="3A380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CD48DD"/>
    <w:multiLevelType w:val="hybridMultilevel"/>
    <w:tmpl w:val="16B68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D96C65"/>
    <w:multiLevelType w:val="hybridMultilevel"/>
    <w:tmpl w:val="70E8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B30A6F"/>
    <w:multiLevelType w:val="hybridMultilevel"/>
    <w:tmpl w:val="09BE23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B874008"/>
    <w:multiLevelType w:val="hybridMultilevel"/>
    <w:tmpl w:val="5E36B67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43331966">
    <w:abstractNumId w:val="1"/>
  </w:num>
  <w:num w:numId="2" w16cid:durableId="1261794473">
    <w:abstractNumId w:val="5"/>
  </w:num>
  <w:num w:numId="3" w16cid:durableId="994576541">
    <w:abstractNumId w:val="0"/>
  </w:num>
  <w:num w:numId="4" w16cid:durableId="146895662">
    <w:abstractNumId w:val="9"/>
  </w:num>
  <w:num w:numId="5" w16cid:durableId="191378659">
    <w:abstractNumId w:val="2"/>
  </w:num>
  <w:num w:numId="6" w16cid:durableId="1474567245">
    <w:abstractNumId w:val="8"/>
  </w:num>
  <w:num w:numId="7" w16cid:durableId="257491212">
    <w:abstractNumId w:val="6"/>
  </w:num>
  <w:num w:numId="8" w16cid:durableId="854417768">
    <w:abstractNumId w:val="10"/>
  </w:num>
  <w:num w:numId="9" w16cid:durableId="1773238976">
    <w:abstractNumId w:val="7"/>
  </w:num>
  <w:num w:numId="10" w16cid:durableId="1035545558">
    <w:abstractNumId w:val="3"/>
  </w:num>
  <w:num w:numId="11" w16cid:durableId="297494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34"/>
    <w:rsid w:val="0002351A"/>
    <w:rsid w:val="002934BB"/>
    <w:rsid w:val="00524DFC"/>
    <w:rsid w:val="005312F7"/>
    <w:rsid w:val="00550CE5"/>
    <w:rsid w:val="00580AE0"/>
    <w:rsid w:val="00630B50"/>
    <w:rsid w:val="00757BFA"/>
    <w:rsid w:val="00A47957"/>
    <w:rsid w:val="00B35B34"/>
    <w:rsid w:val="00CD50A1"/>
    <w:rsid w:val="00CE7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3B6C2"/>
  <w15:chartTrackingRefBased/>
  <w15:docId w15:val="{6A41AB6E-51BA-46FA-85D0-8AECC0C4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5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5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B34"/>
    <w:rPr>
      <w:rFonts w:eastAsiaTheme="majorEastAsia" w:cstheme="majorBidi"/>
      <w:color w:val="272727" w:themeColor="text1" w:themeTint="D8"/>
    </w:rPr>
  </w:style>
  <w:style w:type="paragraph" w:styleId="Title">
    <w:name w:val="Title"/>
    <w:basedOn w:val="Normal"/>
    <w:next w:val="Normal"/>
    <w:link w:val="TitleChar"/>
    <w:uiPriority w:val="10"/>
    <w:qFormat/>
    <w:rsid w:val="00B35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B34"/>
    <w:pPr>
      <w:spacing w:before="160"/>
      <w:jc w:val="center"/>
    </w:pPr>
    <w:rPr>
      <w:i/>
      <w:iCs/>
      <w:color w:val="404040" w:themeColor="text1" w:themeTint="BF"/>
    </w:rPr>
  </w:style>
  <w:style w:type="character" w:customStyle="1" w:styleId="QuoteChar">
    <w:name w:val="Quote Char"/>
    <w:basedOn w:val="DefaultParagraphFont"/>
    <w:link w:val="Quote"/>
    <w:uiPriority w:val="29"/>
    <w:rsid w:val="00B35B34"/>
    <w:rPr>
      <w:i/>
      <w:iCs/>
      <w:color w:val="404040" w:themeColor="text1" w:themeTint="BF"/>
    </w:rPr>
  </w:style>
  <w:style w:type="paragraph" w:styleId="ListParagraph">
    <w:name w:val="List Paragraph"/>
    <w:basedOn w:val="Normal"/>
    <w:uiPriority w:val="34"/>
    <w:qFormat/>
    <w:rsid w:val="00B35B34"/>
    <w:pPr>
      <w:ind w:left="720"/>
      <w:contextualSpacing/>
    </w:pPr>
  </w:style>
  <w:style w:type="character" w:styleId="IntenseEmphasis">
    <w:name w:val="Intense Emphasis"/>
    <w:basedOn w:val="DefaultParagraphFont"/>
    <w:uiPriority w:val="21"/>
    <w:qFormat/>
    <w:rsid w:val="00B35B34"/>
    <w:rPr>
      <w:i/>
      <w:iCs/>
      <w:color w:val="2F5496" w:themeColor="accent1" w:themeShade="BF"/>
    </w:rPr>
  </w:style>
  <w:style w:type="paragraph" w:styleId="IntenseQuote">
    <w:name w:val="Intense Quote"/>
    <w:basedOn w:val="Normal"/>
    <w:next w:val="Normal"/>
    <w:link w:val="IntenseQuoteChar"/>
    <w:uiPriority w:val="30"/>
    <w:qFormat/>
    <w:rsid w:val="00B35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B34"/>
    <w:rPr>
      <w:i/>
      <w:iCs/>
      <w:color w:val="2F5496" w:themeColor="accent1" w:themeShade="BF"/>
    </w:rPr>
  </w:style>
  <w:style w:type="character" w:styleId="IntenseReference">
    <w:name w:val="Intense Reference"/>
    <w:basedOn w:val="DefaultParagraphFont"/>
    <w:uiPriority w:val="32"/>
    <w:qFormat/>
    <w:rsid w:val="00B35B34"/>
    <w:rPr>
      <w:b/>
      <w:bCs/>
      <w:smallCaps/>
      <w:color w:val="2F5496" w:themeColor="accent1" w:themeShade="BF"/>
      <w:spacing w:val="5"/>
    </w:rPr>
  </w:style>
  <w:style w:type="table" w:styleId="TableGrid">
    <w:name w:val="Table Grid"/>
    <w:basedOn w:val="TableNormal"/>
    <w:uiPriority w:val="39"/>
    <w:rsid w:val="00B3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681</Words>
  <Characters>3751</Characters>
  <Application>Microsoft Office Word</Application>
  <DocSecurity>0</DocSecurity>
  <Lines>121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karmveer gurjar</dc:creator>
  <cp:keywords/>
  <dc:description/>
  <cp:lastModifiedBy>karmveer gurjar</cp:lastModifiedBy>
  <cp:revision>1</cp:revision>
  <dcterms:created xsi:type="dcterms:W3CDTF">2025-08-11T16:12:00Z</dcterms:created>
  <dcterms:modified xsi:type="dcterms:W3CDTF">2025-08-11T17:27:00Z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edae3e62-1848-421a-a27a-6c6cf0ef63b0</vt:lpwstr>
  </property>
</Properties>
</file>