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Active Learning in Higher Education: A Classroom Study</w:t>
      </w:r>
    </w:p>
    <w:p>
      <w:pPr>
        <w:pStyle w:val="Authors"/>
      </w:pPr>
      <w:r>
        <w:t>Author details removed for review</w:t>
      </w:r>
    </w:p>
    <w:p>
      <w:pPr>
        <w:pStyle w:val="AuthorAffiliations"/>
      </w:pPr>
      <w:r>
        <w:t>Affiliation details removed</w:t>
      </w:r>
    </w:p>
    <w:p>
      <w:r>
        <w:t>Abstract</w:t>
      </w:r>
    </w:p>
    <w:p>
      <w:pPr>
        <w:pStyle w:val="FrontPageText"/>
      </w:pPr>
      <w:r>
        <w:t>This manuscript examines active learning in higher education classrooms. The study compares response systems, peer discussion, and structured formative feedback across undergraduate teaching sessions. It reports participation, perceived usefulness, and assessment outcomes. Results suggest that frequent low-stakes interactions are associated with stronger engagement and clearer academic gains. The paper discusses practical implications for curriculum design, theoretical implications for engagement research, and limitations including self-reported data and a modest sample. These findings indicate that embedding purposeful active learning tasks can support student success when tasks are aligned with learning outcomes and feedback cycles.</w:t>
      </w:r>
    </w:p>
    <w:p>
      <w:r>
        <w:t>Practitioner Notes</w:t>
      </w:r>
    </w:p>
    <w:p>
      <w:pPr>
        <w:pStyle w:val="PractitionerNotes"/>
      </w:pPr>
      <w:r>
        <w:t>Practical note 1 for teaching staff.</w:t>
      </w:r>
    </w:p>
    <w:p>
      <w:pPr>
        <w:pStyle w:val="PractitionerNotes"/>
      </w:pPr>
      <w:r>
        <w:t>Practical note 2 for teaching staff.</w:t>
      </w:r>
    </w:p>
    <w:p>
      <w:pPr>
        <w:pStyle w:val="PractitionerNotes"/>
      </w:pPr>
      <w:r>
        <w:t>Practical note 3 for teaching staff.</w:t>
      </w:r>
    </w:p>
    <w:p>
      <w:pPr>
        <w:pStyle w:val="PractitionerNotes"/>
      </w:pPr>
      <w:r>
        <w:t>Practical note 4 for teaching staff.</w:t>
      </w:r>
    </w:p>
    <w:p>
      <w:pPr>
        <w:pStyle w:val="PractitionerNotes"/>
      </w:pPr>
      <w:r>
        <w:t>Practical note 5 for teaching staff.</w:t>
      </w:r>
    </w:p>
    <w:p>
      <w:r>
        <w:t>Keywords</w:t>
      </w:r>
    </w:p>
    <w:p>
      <w:r>
        <w:t>higher education, active learning, student engagement, formative feedback</w:t>
      </w:r>
    </w:p>
    <w:p>
      <w:r>
        <w:t>Additional note: Dr A. Researcher thanks colleagues at Example University for access to data.</w:t>
      </w:r>
    </w:p>
    <w:p>
      <w:pPr>
        <w:pStyle w:val="Heading1"/>
      </w:pPr>
      <w:r>
        <w:t>Introduction</w:t>
      </w:r>
    </w:p>
    <w:p>
      <w:r>
        <w:t>Active learning has been linked to improved outcomes in higher education (Freeman et al., 2014; Chi, 2009). Engagement matters for persistence and achievement (Kahn, 2013; Snijders et al., 2020).</w:t>
      </w:r>
    </w:p>
    <w:p>
      <w:pPr>
        <w:pStyle w:val="Heading1"/>
      </w:pPr>
      <w:r>
        <w:t>Literature</w:t>
      </w:r>
    </w:p>
    <w:p>
      <w:r>
        <w:t>Prior work distinguishes active, constructive, and interactive learning.</w:t>
      </w:r>
    </w:p>
    <w:p>
      <w:pPr>
        <w:pStyle w:val="Heading1"/>
      </w:pPr>
      <w:r>
        <w:t>Method</w:t>
      </w:r>
    </w:p>
    <w:p>
      <w:pPr>
        <w:pStyle w:val="Heading2"/>
      </w:pPr>
      <w:r>
        <w:t>Research Design</w:t>
      </w:r>
    </w:p>
    <w:p>
      <w:r>
        <w:t>A within-course comparison design guided the study.</w:t>
      </w:r>
    </w:p>
    <w:p>
      <w:pPr>
        <w:pStyle w:val="Heading2"/>
      </w:pPr>
      <w:r>
        <w:t>Participants</w:t>
      </w:r>
    </w:p>
    <w:p>
      <w:r>
        <w:t>Participants were undergraduate students at a public university.</w:t>
      </w:r>
    </w:p>
    <w:p>
      <w:pPr>
        <w:pStyle w:val="Heading2"/>
      </w:pPr>
      <w:r>
        <w:t>Measures</w:t>
      </w:r>
    </w:p>
    <w:p>
      <w:r>
        <w:t>Measures included attendance, quiz scores, and engagement surveys.</w:t>
      </w:r>
    </w:p>
    <w:p>
      <w:pPr>
        <w:pStyle w:val="Heading2"/>
      </w:pPr>
      <w:r>
        <w:t>Procedure</w:t>
      </w:r>
    </w:p>
    <w:p>
      <w:r>
        <w:t>Sessions were taught with active learning activities.</w:t>
      </w:r>
    </w:p>
    <w:p>
      <w:pPr>
        <w:pStyle w:val="Heading2"/>
      </w:pPr>
      <w:r>
        <w:t>Analysis</w:t>
      </w:r>
    </w:p>
    <w:p>
      <w:r>
        <w:t>Data were analysed using descriptive statistics and thematic coding.</w:t>
      </w:r>
    </w:p>
    <w:p>
      <w:pPr>
        <w:pStyle w:val="Heading1"/>
      </w:pPr>
      <w:r>
        <w:t>Results</w:t>
      </w:r>
    </w:p>
    <w:p>
      <w:r>
        <w:t>Participants reported greater engagement in interactive sessions.</w:t>
      </w:r>
    </w:p>
    <w:p>
      <w:pPr>
        <w:pStyle w:val="Heading1"/>
      </w:pPr>
      <w:r>
        <w:t>Discussion</w:t>
      </w:r>
    </w:p>
    <w:p>
      <w:pPr>
        <w:pStyle w:val="Heading2"/>
      </w:pPr>
      <w:r>
        <w:t>Practical Implications</w:t>
      </w:r>
    </w:p>
    <w:p>
      <w:r>
        <w:t>Teachers should schedule interactive tasks deliberately.</w:t>
      </w:r>
    </w:p>
    <w:p>
      <w:pPr>
        <w:pStyle w:val="Heading2"/>
      </w:pPr>
      <w:r>
        <w:t>Theoretical Implications</w:t>
      </w:r>
    </w:p>
    <w:p>
      <w:r>
        <w:t>The findings support active engagement models of learning.</w:t>
      </w:r>
    </w:p>
    <w:p>
      <w:pPr>
        <w:pStyle w:val="Heading2"/>
      </w:pPr>
      <w:r>
        <w:t>Limitations and Future Research</w:t>
      </w:r>
    </w:p>
    <w:p>
      <w:r>
        <w:t>Future studies should include larger samples and objective assessment data.</w:t>
      </w:r>
    </w:p>
    <w:p>
      <w:pPr>
        <w:pStyle w:val="Heading1"/>
      </w:pPr>
      <w:r>
        <w:t>Conclusion</w:t>
      </w:r>
    </w:p>
    <w:p>
      <w:r>
        <w:t>Active learning is worth modelling in practice.</w:t>
      </w:r>
    </w:p>
    <w:p>
      <w:pPr>
        <w:pStyle w:val="Heading1"/>
      </w:pPr>
      <w:r>
        <w:t>Acknowledgements</w:t>
      </w:r>
    </w:p>
    <w:p>
      <w:r>
        <w:t>Thanks to peer reviewers and teaching teams.</w:t>
      </w:r>
    </w:p>
    <w:p>
      <w:pPr>
        <w:pStyle w:val="Heading1"/>
      </w:pPr>
      <w:r>
        <w:t>References</w:t>
      </w:r>
    </w:p>
    <w:p>
      <w:pPr>
        <w:pStyle w:val="APA7ReferenceListEntry"/>
      </w:pPr>
      <w:r>
        <w:t>Freeman, S., Eddy, S. L., McDonough, M., Smith, M. K., Okoroafor, N., Jordt, H., &amp; Wenderoth, M. P. (2014). Active learning increases student performance in science, engineering, and mathematics. Proceedings of the National Academy of Sciences, 111(23), 8410-8415. https://doi.org/10.1073/pnas.1319030111</w:t>
      </w:r>
    </w:p>
    <w:p>
      <w:pPr>
        <w:pStyle w:val="APA7ReferenceListEntry"/>
      </w:pPr>
      <w:r>
        <w:t>Chi, M. T. H. (2009). Active-constructive-interactive: A conceptual framework for differentiating learning activities. Topics in Cognitive Science, 1(1), 73-105. https://doi.org/10.1111/j.1756-8765.2008.01005.x</w:t>
      </w:r>
    </w:p>
    <w:p>
      <w:pPr>
        <w:pStyle w:val="APA7ReferenceListEntry"/>
      </w:pPr>
      <w:r>
        <w:t>Kahn, P. E. (2013). Theorising student engagement in higher education. British Educational Research Journal, 40(6), 1005-1018. https://doi.org/10.1002/berj.3121</w:t>
      </w:r>
    </w:p>
    <w:p>
      <w:pPr>
        <w:pStyle w:val="APA7ReferenceListEntry"/>
      </w:pPr>
      <w:r>
        <w:t>Snijders, I., Wijnia, L., Rikers, R. M. J. P., &amp; Loyens, S. M. M. (2020). Building bridges in higher education: Student-faculty relationship quality, student engagement, and student loyalty. International Journal of Educational Research, 100, 101538. https://doi.org/10.1016/j.ijer.2020.101538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style>
  <w:style w:type="paragraph" w:customStyle="1" w:styleId="Authors">
    <w:name w:val="Authors"/>
  </w:style>
  <w:style w:type="paragraph" w:customStyle="1" w:styleId="AuthorAffiliations">
    <w:name w:val="Author Affiliations"/>
  </w:style>
  <w:style w:type="paragraph" w:customStyle="1" w:styleId="FrontPageText">
    <w:name w:val="Front Page Text"/>
  </w:style>
  <w:style w:type="paragraph" w:customStyle="1" w:styleId="PractitionerNotes">
    <w:name w:val="Practitioner Notes"/>
  </w:style>
  <w:style w:type="paragraph" w:customStyle="1" w:styleId="APA7ReferenceListEntry">
    <w:name w:val="APA 7 Reference List Entr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