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6324F"/>
          <w:sz w:val="58"/>
        </w:rPr>
        <w:t>SOFTWARE REQUIREMENTS</w:t>
        <w:br/>
        <w:t>SPECIFICATION</w:t>
      </w:r>
    </w:p>
    <w:p>
      <w:pPr>
        <w:jc w:val="center"/>
      </w:pPr>
      <w:r>
        <w:rPr>
          <w:b/>
          <w:color w:val="1D5D75"/>
          <w:sz w:val="34"/>
        </w:rPr>
        <w:t>Private School &amp; College Digital Website Platform</w:t>
      </w:r>
    </w:p>
    <w:p>
      <w:pPr>
        <w:jc w:val="center"/>
      </w:pPr>
      <w:r>
        <w:rPr>
          <w:i/>
          <w:color w:val="5A6470"/>
          <w:sz w:val="22"/>
        </w:rPr>
        <w:t>A configurable, multi-tenant School Digital Experience Platform</w:t>
      </w:r>
    </w:p>
    <w:p/>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6324F"/>
          </w:tcPr>
          <w:p>
            <w:pPr>
              <w:spacing w:after="20"/>
            </w:pPr>
            <w:r/>
            <w:r>
              <w:rPr>
                <w:rFonts w:ascii="Aptos" w:hAnsi="Aptos"/>
                <w:b/>
                <w:color w:val="FFFFFF"/>
                <w:sz w:val="18"/>
              </w:rPr>
              <w:t>Document field</w:t>
            </w:r>
          </w:p>
        </w:tc>
        <w:tc>
          <w:tcPr>
            <w:tcW w:type="dxa" w:w="7776"/>
            <w:vAlign w:val="center"/>
            <w:shd w:fill="16324F"/>
          </w:tcPr>
          <w:p>
            <w:pPr>
              <w:spacing w:after="20"/>
            </w:pPr>
            <w:r/>
            <w:r>
              <w:rPr>
                <w:rFonts w:ascii="Aptos" w:hAnsi="Aptos"/>
                <w:b/>
                <w:color w:val="FFFFFF"/>
                <w:sz w:val="18"/>
              </w:rPr>
              <w:t>Value</w:t>
            </w:r>
          </w:p>
        </w:tc>
      </w:tr>
      <w:tr>
        <w:tc>
          <w:tcPr>
            <w:tcW w:type="dxa" w:w="2448"/>
            <w:vAlign w:val="center"/>
          </w:tcPr>
          <w:p>
            <w:pPr>
              <w:spacing w:after="20"/>
            </w:pPr>
            <w:r/>
            <w:r>
              <w:rPr>
                <w:rFonts w:ascii="Aptos" w:hAnsi="Aptos"/>
                <w:b w:val="0"/>
                <w:sz w:val="18"/>
              </w:rPr>
              <w:t>Document type</w:t>
            </w:r>
          </w:p>
        </w:tc>
        <w:tc>
          <w:tcPr>
            <w:tcW w:type="dxa" w:w="7776"/>
            <w:vAlign w:val="center"/>
          </w:tcPr>
          <w:p>
            <w:pPr>
              <w:spacing w:after="20"/>
            </w:pPr>
            <w:r/>
            <w:r>
              <w:rPr>
                <w:rFonts w:ascii="Aptos" w:hAnsi="Aptos"/>
                <w:b w:val="0"/>
                <w:sz w:val="18"/>
              </w:rPr>
              <w:t>Software Requirements Specification (SRS)</w:t>
            </w:r>
          </w:p>
        </w:tc>
      </w:tr>
      <w:tr>
        <w:tc>
          <w:tcPr>
            <w:tcW w:type="dxa" w:w="2448"/>
            <w:vAlign w:val="center"/>
            <w:shd w:fill="F1F5F8"/>
          </w:tcPr>
          <w:p>
            <w:pPr>
              <w:spacing w:after="20"/>
            </w:pPr>
            <w:r/>
            <w:r>
              <w:rPr>
                <w:rFonts w:ascii="Aptos" w:hAnsi="Aptos"/>
                <w:b w:val="0"/>
                <w:sz w:val="18"/>
              </w:rPr>
              <w:t>Version / status</w:t>
            </w:r>
          </w:p>
        </w:tc>
        <w:tc>
          <w:tcPr>
            <w:tcW w:type="dxa" w:w="7776"/>
            <w:vAlign w:val="center"/>
            <w:shd w:fill="F1F5F8"/>
          </w:tcPr>
          <w:p>
            <w:pPr>
              <w:spacing w:after="20"/>
            </w:pPr>
            <w:r/>
            <w:r>
              <w:rPr>
                <w:rFonts w:ascii="Aptos" w:hAnsi="Aptos"/>
                <w:b w:val="0"/>
                <w:sz w:val="18"/>
              </w:rPr>
              <w:t>1.0 — Baseline draft for stakeholder validation</w:t>
            </w:r>
          </w:p>
        </w:tc>
      </w:tr>
      <w:tr>
        <w:tc>
          <w:tcPr>
            <w:tcW w:type="dxa" w:w="2448"/>
            <w:vAlign w:val="center"/>
          </w:tcPr>
          <w:p>
            <w:pPr>
              <w:spacing w:after="20"/>
            </w:pPr>
            <w:r/>
            <w:r>
              <w:rPr>
                <w:rFonts w:ascii="Aptos" w:hAnsi="Aptos"/>
                <w:b w:val="0"/>
                <w:sz w:val="18"/>
              </w:rPr>
              <w:t>Prepared on</w:t>
            </w:r>
          </w:p>
        </w:tc>
        <w:tc>
          <w:tcPr>
            <w:tcW w:type="dxa" w:w="7776"/>
            <w:vAlign w:val="center"/>
          </w:tcPr>
          <w:p>
            <w:pPr>
              <w:spacing w:after="20"/>
            </w:pPr>
            <w:r/>
            <w:r>
              <w:rPr>
                <w:rFonts w:ascii="Aptos" w:hAnsi="Aptos"/>
                <w:b w:val="0"/>
                <w:sz w:val="18"/>
              </w:rPr>
              <w:t>19 October 2026</w:t>
            </w:r>
          </w:p>
        </w:tc>
      </w:tr>
      <w:tr>
        <w:tc>
          <w:tcPr>
            <w:tcW w:type="dxa" w:w="2448"/>
            <w:vAlign w:val="center"/>
            <w:shd w:fill="F1F5F8"/>
          </w:tcPr>
          <w:p>
            <w:pPr>
              <w:spacing w:after="20"/>
            </w:pPr>
            <w:r/>
            <w:r>
              <w:rPr>
                <w:rFonts w:ascii="Aptos" w:hAnsi="Aptos"/>
                <w:b w:val="0"/>
                <w:sz w:val="18"/>
              </w:rPr>
              <w:t>Product scope</w:t>
            </w:r>
          </w:p>
        </w:tc>
        <w:tc>
          <w:tcPr>
            <w:tcW w:type="dxa" w:w="7776"/>
            <w:vAlign w:val="center"/>
            <w:shd w:fill="F1F5F8"/>
          </w:tcPr>
          <w:p>
            <w:pPr>
              <w:spacing w:after="20"/>
            </w:pPr>
            <w:r/>
            <w:r>
              <w:rPr>
                <w:rFonts w:ascii="Aptos" w:hAnsi="Aptos"/>
                <w:b w:val="0"/>
                <w:sz w:val="18"/>
              </w:rPr>
              <w:t>Multi-tenant public school/college websites, CMS, and phased admissions capabilities</w:t>
            </w:r>
          </w:p>
        </w:tc>
      </w:tr>
      <w:tr>
        <w:tc>
          <w:tcPr>
            <w:tcW w:type="dxa" w:w="2448"/>
            <w:vAlign w:val="center"/>
          </w:tcPr>
          <w:p>
            <w:pPr>
              <w:spacing w:after="20"/>
            </w:pPr>
            <w:r/>
            <w:r>
              <w:rPr>
                <w:rFonts w:ascii="Aptos" w:hAnsi="Aptos"/>
                <w:b w:val="0"/>
                <w:sz w:val="18"/>
              </w:rPr>
              <w:t>Intended audience</w:t>
            </w:r>
          </w:p>
        </w:tc>
        <w:tc>
          <w:tcPr>
            <w:tcW w:type="dxa" w:w="7776"/>
            <w:vAlign w:val="center"/>
          </w:tcPr>
          <w:p>
            <w:pPr>
              <w:spacing w:after="20"/>
            </w:pPr>
            <w:r/>
            <w:r>
              <w:rPr>
                <w:rFonts w:ascii="Aptos" w:hAnsi="Aptos"/>
                <w:b w:val="0"/>
                <w:sz w:val="18"/>
              </w:rPr>
              <w:t>Product owner, school stakeholders, UX/UI, frontend/backend, database, QA, operations</w:t>
            </w:r>
          </w:p>
        </w:tc>
      </w:tr>
      <w:tr>
        <w:tc>
          <w:tcPr>
            <w:tcW w:type="dxa" w:w="2448"/>
            <w:vAlign w:val="center"/>
            <w:shd w:fill="F1F5F8"/>
          </w:tcPr>
          <w:p>
            <w:pPr>
              <w:spacing w:after="20"/>
            </w:pPr>
            <w:r/>
            <w:r>
              <w:rPr>
                <w:rFonts w:ascii="Aptos" w:hAnsi="Aptos"/>
                <w:b w:val="0"/>
                <w:sz w:val="18"/>
              </w:rPr>
              <w:t>Source brief</w:t>
            </w:r>
          </w:p>
        </w:tc>
        <w:tc>
          <w:tcPr>
            <w:tcW w:type="dxa" w:w="7776"/>
            <w:vAlign w:val="center"/>
            <w:shd w:fill="F1F5F8"/>
          </w:tcPr>
          <w:p>
            <w:pPr>
              <w:spacing w:after="20"/>
            </w:pPr>
            <w:r/>
            <w:r>
              <w:rPr>
                <w:rFonts w:ascii="Aptos" w:hAnsi="Aptos"/>
                <w:b w:val="0"/>
                <w:sz w:val="18"/>
              </w:rPr>
              <w:t>Product-owner requirements brief supplied with this request</w:t>
            </w:r>
          </w:p>
        </w:tc>
      </w:tr>
    </w:tbl>
    <w:p>
      <w:pPr>
        <w:spacing w:after="0"/>
      </w:pPr>
    </w:p>
    <w:p>
      <w:r>
        <w:t>Confidentiality and use: This document is a product planning artifact. It is not a legal opinion, security certification, or proof of regulatory compliance. Items labelled as assumptions or recommendations require validation with stakeholders.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7"/>
              </w:rPr>
              <w:t>Version</w:t>
            </w:r>
          </w:p>
        </w:tc>
        <w:tc>
          <w:tcPr>
            <w:tcW w:type="dxa" w:w="2498"/>
            <w:vAlign w:val="center"/>
            <w:shd w:fill="16324F"/>
          </w:tcPr>
          <w:p>
            <w:pPr>
              <w:spacing w:after="20"/>
            </w:pPr>
            <w:r/>
            <w:r>
              <w:rPr>
                <w:rFonts w:ascii="Aptos" w:hAnsi="Aptos"/>
                <w:b/>
                <w:color w:val="FFFFFF"/>
                <w:sz w:val="17"/>
              </w:rPr>
              <w:t>Date</w:t>
            </w:r>
          </w:p>
        </w:tc>
        <w:tc>
          <w:tcPr>
            <w:tcW w:type="dxa" w:w="2498"/>
            <w:vAlign w:val="center"/>
            <w:shd w:fill="16324F"/>
          </w:tcPr>
          <w:p>
            <w:pPr>
              <w:spacing w:after="20"/>
            </w:pPr>
            <w:r/>
            <w:r>
              <w:rPr>
                <w:rFonts w:ascii="Aptos" w:hAnsi="Aptos"/>
                <w:b/>
                <w:color w:val="FFFFFF"/>
                <w:sz w:val="17"/>
              </w:rPr>
              <w:t>Status</w:t>
            </w:r>
          </w:p>
        </w:tc>
        <w:tc>
          <w:tcPr>
            <w:tcW w:type="dxa" w:w="2498"/>
            <w:vAlign w:val="center"/>
            <w:shd w:fill="16324F"/>
          </w:tcPr>
          <w:p>
            <w:pPr>
              <w:spacing w:after="20"/>
            </w:pPr>
            <w:r/>
            <w:r>
              <w:rPr>
                <w:rFonts w:ascii="Aptos" w:hAnsi="Aptos"/>
                <w:b/>
                <w:color w:val="FFFFFF"/>
                <w:sz w:val="17"/>
              </w:rPr>
              <w:t>Change summary</w:t>
            </w:r>
          </w:p>
        </w:tc>
      </w:tr>
      <w:tr>
        <w:tc>
          <w:tcPr>
            <w:tcW w:type="dxa" w:w="2498"/>
            <w:vAlign w:val="center"/>
          </w:tcPr>
          <w:p>
            <w:pPr>
              <w:spacing w:after="20"/>
            </w:pPr>
            <w:r/>
            <w:r>
              <w:rPr>
                <w:rFonts w:ascii="Aptos" w:hAnsi="Aptos"/>
                <w:b w:val="0"/>
                <w:sz w:val="17"/>
              </w:rPr>
              <w:t>1.0</w:t>
            </w:r>
          </w:p>
        </w:tc>
        <w:tc>
          <w:tcPr>
            <w:tcW w:type="dxa" w:w="2498"/>
            <w:vAlign w:val="center"/>
          </w:tcPr>
          <w:p>
            <w:pPr>
              <w:spacing w:after="20"/>
            </w:pPr>
            <w:r/>
            <w:r>
              <w:rPr>
                <w:rFonts w:ascii="Aptos" w:hAnsi="Aptos"/>
                <w:b w:val="0"/>
                <w:sz w:val="17"/>
              </w:rPr>
              <w:t>19 Oct 2026</w:t>
            </w:r>
          </w:p>
        </w:tc>
        <w:tc>
          <w:tcPr>
            <w:tcW w:type="dxa" w:w="2498"/>
            <w:vAlign w:val="center"/>
          </w:tcPr>
          <w:p>
            <w:pPr>
              <w:spacing w:after="20"/>
            </w:pPr>
            <w:r/>
            <w:r>
              <w:rPr>
                <w:rFonts w:ascii="Aptos" w:hAnsi="Aptos"/>
                <w:b w:val="0"/>
                <w:sz w:val="17"/>
              </w:rPr>
              <w:t>Baseline draft</w:t>
            </w:r>
          </w:p>
        </w:tc>
        <w:tc>
          <w:tcPr>
            <w:tcW w:type="dxa" w:w="2498"/>
            <w:vAlign w:val="center"/>
          </w:tcPr>
          <w:p>
            <w:pPr>
              <w:spacing w:after="20"/>
            </w:pPr>
            <w:r/>
            <w:r>
              <w:rPr>
                <w:rFonts w:ascii="Aptos" w:hAnsi="Aptos"/>
                <w:b w:val="0"/>
                <w:sz w:val="17"/>
              </w:rPr>
              <w:t>Initial consolidated SRS based on product brief and public reference research.</w:t>
            </w:r>
          </w:p>
        </w:tc>
      </w:tr>
    </w:tbl>
    <w:p>
      <w:pPr>
        <w:spacing w:after="0"/>
      </w:pPr>
    </w:p>
    <w:p>
      <w:pPr>
        <w:pStyle w:val="Heading2"/>
      </w:pPr>
      <w:r>
        <w:t>How to read this specification</w:t>
      </w:r>
    </w:p>
    <w:p>
      <w:r>
        <w:t>Requirements use unique identifiers and a priority. MUST means required for the stated release; SHOULD means strongly recommended but may be deferred with an approved rationale; COULD means optional if capacity permits; FUTURE means explicitly outside the MVP. MVP means the first sellable release, not a full student information system (SIS).</w:t>
      </w:r>
    </w:p>
    <w:p>
      <w:r>
        <w:t>Evidence labels: [OBS] = directly observed on a reviewed public reference page; [REC] = product recommendation derived from research and analysis; [ASM] = assumption requiring owner confirmation. Public websites and vendor pages change over time; source links were reviewed on 19 October 2026.</w:t>
      </w:r>
    </w:p>
    <w:p>
      <w:pPr>
        <w:pStyle w:val="Heading1"/>
      </w:pPr>
      <w:r>
        <w:t>Contents</w:t>
      </w:r>
    </w:p>
    <w:p>
      <w:pPr>
        <w:pStyle w:val="ListBullet"/>
      </w:pPr>
      <w:r>
        <w:t>1. Executive Summary and Product Vision</w:t>
      </w:r>
    </w:p>
    <w:p>
      <w:pPr>
        <w:pStyle w:val="ListBullet"/>
      </w:pPr>
      <w:r>
        <w:t>2. Background, Problems, Goals and Scope</w:t>
      </w:r>
    </w:p>
    <w:p>
      <w:pPr>
        <w:pStyle w:val="ListBullet"/>
      </w:pPr>
      <w:r>
        <w:t>3. Research Method and Reference Findings</w:t>
      </w:r>
    </w:p>
    <w:p>
      <w:pPr>
        <w:pStyle w:val="ListBullet"/>
      </w:pPr>
      <w:r>
        <w:t>4. Stakeholders, Personas and Roles</w:t>
      </w:r>
    </w:p>
    <w:p>
      <w:pPr>
        <w:pStyle w:val="ListBullet"/>
      </w:pPr>
      <w:r>
        <w:t>5. Product Structure and Information Architecture</w:t>
      </w:r>
    </w:p>
    <w:p>
      <w:pPr>
        <w:pStyle w:val="ListBullet"/>
      </w:pPr>
      <w:r>
        <w:t>6. Functional Requirements</w:t>
      </w:r>
    </w:p>
    <w:p>
      <w:pPr>
        <w:pStyle w:val="ListBullet"/>
      </w:pPr>
      <w:r>
        <w:t>7. Admissions and Application Lifecycle</w:t>
      </w:r>
    </w:p>
    <w:p>
      <w:pPr>
        <w:pStyle w:val="ListBullet"/>
      </w:pPr>
      <w:r>
        <w:t>8. CMS, Content Model and Publishing Workflow</w:t>
      </w:r>
    </w:p>
    <w:p>
      <w:pPr>
        <w:pStyle w:val="ListBullet"/>
      </w:pPr>
      <w:r>
        <w:t>9. Use Cases and User Journeys</w:t>
      </w:r>
    </w:p>
    <w:p>
      <w:pPr>
        <w:pStyle w:val="ListBullet"/>
      </w:pPr>
      <w:r>
        <w:t>10. Business Rules</w:t>
      </w:r>
    </w:p>
    <w:p>
      <w:pPr>
        <w:pStyle w:val="ListBullet"/>
      </w:pPr>
      <w:r>
        <w:t>11. Multi-Tenancy and Configuration</w:t>
      </w:r>
    </w:p>
    <w:p>
      <w:pPr>
        <w:pStyle w:val="ListBullet"/>
      </w:pPr>
      <w:r>
        <w:t>12. Data Model and Relationships</w:t>
      </w:r>
    </w:p>
    <w:p>
      <w:pPr>
        <w:pStyle w:val="ListBullet"/>
      </w:pPr>
      <w:r>
        <w:t>13. API Requirements</w:t>
      </w:r>
    </w:p>
    <w:p>
      <w:pPr>
        <w:pStyle w:val="ListBullet"/>
      </w:pPr>
      <w:r>
        <w:t>14. UX, Accessibility, SEO and Localization</w:t>
      </w:r>
    </w:p>
    <w:p>
      <w:pPr>
        <w:pStyle w:val="ListBullet"/>
      </w:pPr>
      <w:r>
        <w:t>15. Security, Privacy and Audit</w:t>
      </w:r>
    </w:p>
    <w:p>
      <w:pPr>
        <w:pStyle w:val="ListBullet"/>
      </w:pPr>
      <w:r>
        <w:t>16. Non-Functional Requirements</w:t>
      </w:r>
    </w:p>
    <w:p>
      <w:pPr>
        <w:pStyle w:val="ListBullet"/>
      </w:pPr>
      <w:r>
        <w:t>17. Architecture and Integrations</w:t>
      </w:r>
    </w:p>
    <w:p>
      <w:pPr>
        <w:pStyle w:val="ListBullet"/>
      </w:pPr>
      <w:r>
        <w:t>18. Release Scope and Product Packaging</w:t>
      </w:r>
    </w:p>
    <w:p>
      <w:pPr>
        <w:pStyle w:val="ListBullet"/>
      </w:pPr>
      <w:r>
        <w:t>19. Acceptance Strategy, Risks and Dependencies</w:t>
      </w:r>
    </w:p>
    <w:p>
      <w:pPr>
        <w:pStyle w:val="ListBullet"/>
      </w:pPr>
      <w:r>
        <w:t>20. Assumptions, Open Questions and Traceability</w:t>
      </w:r>
    </w:p>
    <w:p>
      <w:pPr>
        <w:pStyle w:val="ListBullet"/>
      </w:pPr>
      <w:r>
        <w:t>Appendix A: Research Sources</w:t>
      </w:r>
    </w:p>
    <w:p>
      <w:pPr>
        <w:pStyle w:val="ListBullet"/>
      </w:pPr>
      <w:r>
        <w:t>Appendix B: Glossary</w:t>
      </w:r>
    </w:p>
    <w:p>
      <w:r>
        <w:br w:type="page"/>
      </w:r>
    </w:p>
    <w:p>
      <w:pPr>
        <w:pStyle w:val="Heading1"/>
      </w:pPr>
      <w:r>
        <w:t>1. Executive Summary and Product Vision</w:t>
      </w:r>
    </w:p>
    <w:p>
      <w:r>
        <w:t>The product is a premium, configurable, multi-tenant School Digital Experience Platform for kindergartens, primary and secondary schools, private colleges, TVET institutions, training centres, and potentially international schools. It combines a high-quality public-facing digital presence with a CMS, reusable content, enquiries, analytics, and a phased path to admissions management and optional family/student portals.</w:t>
      </w:r>
    </w:p>
    <w:p>
      <w:r>
        <w:t>It is not merely a brochure website and is not intended to become a full SIS/LMS in the first release. The core differentiator is the ability to deliver a distinctive, institution-specific experience from a reusable platform while keeping content administration simple, tenant data isolated, and future admissions capabilities architecturally possible.</w:t>
      </w:r>
    </w:p>
    <w:p>
      <w:pPr>
        <w:pStyle w:val="Heading2"/>
      </w:pPr>
      <w:r>
        <w:t>1.1 Product vision</w:t>
      </w:r>
    </w:p>
    <w:p>
      <w:r>
        <w:t>Enable each institution to communicate its identity, educational offer, community life and admissions journey through a fast, accessible, mobile-first digital experience that school staff can maintain without routine developer intervention.</w:t>
      </w:r>
    </w:p>
    <w:p>
      <w:pPr>
        <w:pStyle w:val="Heading2"/>
      </w:pPr>
      <w:r>
        <w:t>1.2 Product outcomes</w:t>
      </w:r>
    </w:p>
    <w:p>
      <w:pPr>
        <w:pStyle w:val="ListBullet"/>
      </w:pPr>
      <w:r>
        <w:t>Increase the clarity and credibility of the institution’s public digital identity.</w:t>
      </w:r>
    </w:p>
    <w:p>
      <w:pPr>
        <w:pStyle w:val="ListBullet"/>
      </w:pPr>
      <w:r>
        <w:t>Help prospective families find programmes, requirements, costs, key dates and contact routes.</w:t>
      </w:r>
    </w:p>
    <w:p>
      <w:pPr>
        <w:pStyle w:val="ListBullet"/>
      </w:pPr>
      <w:r>
        <w:t>Reduce duplicated content entry through reusable structured content and shared publishing.</w:t>
      </w:r>
    </w:p>
    <w:p>
      <w:pPr>
        <w:pStyle w:val="ListBullet"/>
      </w:pPr>
      <w:r>
        <w:t>Give school staff role-appropriate tools for publishing and maintaining information.</w:t>
      </w:r>
    </w:p>
    <w:p>
      <w:pPr>
        <w:pStyle w:val="ListBullet"/>
      </w:pPr>
      <w:r>
        <w:t>Provide a secure multi-tenant foundation for selling and operating the same product across institutions.</w:t>
      </w:r>
    </w:p>
    <w:p>
      <w:pPr>
        <w:pStyle w:val="ListBullet"/>
      </w:pPr>
      <w:r>
        <w:t>Add admissions workflows in stages without forcing every customer to purchase or operate portal features.</w:t>
      </w:r>
    </w:p>
    <w:p>
      <w:pPr>
        <w:pStyle w:val="ListBullet"/>
      </w:pPr>
      <w:r>
        <w:t>Provide measurable website and enquiry analytics while respecting privacy and consent requirements.</w:t>
      </w:r>
    </w:p>
    <w:p>
      <w:pPr>
        <w:pStyle w:val="Heading2"/>
      </w:pPr>
      <w:r>
        <w:t>1.3 Success measures (initial targets; validate with pilot customers)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Measure</w:t>
            </w:r>
          </w:p>
        </w:tc>
        <w:tc>
          <w:tcPr>
            <w:tcW w:type="dxa" w:w="3331"/>
            <w:vAlign w:val="center"/>
            <w:shd w:fill="16324F"/>
          </w:tcPr>
          <w:p>
            <w:pPr>
              <w:spacing w:after="20"/>
            </w:pPr>
            <w:r/>
            <w:r>
              <w:rPr>
                <w:rFonts w:ascii="Aptos" w:hAnsi="Aptos"/>
                <w:b/>
                <w:color w:val="FFFFFF"/>
                <w:sz w:val="15"/>
              </w:rPr>
              <w:t>Initial target / definition</w:t>
            </w:r>
          </w:p>
        </w:tc>
        <w:tc>
          <w:tcPr>
            <w:tcW w:type="dxa" w:w="3331"/>
            <w:vAlign w:val="center"/>
            <w:shd w:fill="16324F"/>
          </w:tcPr>
          <w:p>
            <w:pPr>
              <w:spacing w:after="20"/>
            </w:pPr>
            <w:r/>
            <w:r>
              <w:rPr>
                <w:rFonts w:ascii="Aptos" w:hAnsi="Aptos"/>
                <w:b/>
                <w:color w:val="FFFFFF"/>
                <w:sz w:val="15"/>
              </w:rPr>
              <w:t>Measurement approach</w:t>
            </w:r>
          </w:p>
        </w:tc>
      </w:tr>
      <w:tr>
        <w:tc>
          <w:tcPr>
            <w:tcW w:type="dxa" w:w="3331"/>
            <w:vAlign w:val="center"/>
          </w:tcPr>
          <w:p>
            <w:pPr>
              <w:spacing w:after="20"/>
            </w:pPr>
            <w:r/>
            <w:r>
              <w:rPr>
                <w:rFonts w:ascii="Aptos" w:hAnsi="Aptos"/>
                <w:b w:val="0"/>
                <w:sz w:val="15"/>
              </w:rPr>
              <w:t>Content independence</w:t>
            </w:r>
          </w:p>
        </w:tc>
        <w:tc>
          <w:tcPr>
            <w:tcW w:type="dxa" w:w="3331"/>
            <w:vAlign w:val="center"/>
          </w:tcPr>
          <w:p>
            <w:pPr>
              <w:spacing w:after="20"/>
            </w:pPr>
            <w:r/>
            <w:r>
              <w:rPr>
                <w:rFonts w:ascii="Aptos" w:hAnsi="Aptos"/>
                <w:b w:val="0"/>
                <w:sz w:val="15"/>
              </w:rPr>
              <w:t>Routine page/news/event edits completed by authorized staff without developer help.</w:t>
            </w:r>
          </w:p>
        </w:tc>
        <w:tc>
          <w:tcPr>
            <w:tcW w:type="dxa" w:w="3331"/>
            <w:vAlign w:val="center"/>
          </w:tcPr>
          <w:p>
            <w:pPr>
              <w:spacing w:after="20"/>
            </w:pPr>
            <w:r/>
            <w:r>
              <w:rPr>
                <w:rFonts w:ascii="Aptos" w:hAnsi="Aptos"/>
                <w:b w:val="0"/>
                <w:sz w:val="15"/>
              </w:rPr>
              <w:t>Pilot task observation; target ≥90% of agreed routine tasks.</w:t>
            </w:r>
          </w:p>
        </w:tc>
      </w:tr>
      <w:tr>
        <w:tc>
          <w:tcPr>
            <w:tcW w:type="dxa" w:w="3331"/>
            <w:vAlign w:val="center"/>
            <w:shd w:fill="F1F5F8"/>
          </w:tcPr>
          <w:p>
            <w:pPr>
              <w:spacing w:after="20"/>
            </w:pPr>
            <w:r/>
            <w:r>
              <w:rPr>
                <w:rFonts w:ascii="Aptos" w:hAnsi="Aptos"/>
                <w:b w:val="0"/>
                <w:sz w:val="15"/>
              </w:rPr>
              <w:t>Mobile usability</w:t>
            </w:r>
          </w:p>
        </w:tc>
        <w:tc>
          <w:tcPr>
            <w:tcW w:type="dxa" w:w="3331"/>
            <w:vAlign w:val="center"/>
            <w:shd w:fill="F1F5F8"/>
          </w:tcPr>
          <w:p>
            <w:pPr>
              <w:spacing w:after="20"/>
            </w:pPr>
            <w:r/>
            <w:r>
              <w:rPr>
                <w:rFonts w:ascii="Aptos" w:hAnsi="Aptos"/>
                <w:b w:val="0"/>
                <w:sz w:val="15"/>
              </w:rPr>
              <w:t>Critical visitor and enquiry journeys usable on small screens.</w:t>
            </w:r>
          </w:p>
        </w:tc>
        <w:tc>
          <w:tcPr>
            <w:tcW w:type="dxa" w:w="3331"/>
            <w:vAlign w:val="center"/>
            <w:shd w:fill="F1F5F8"/>
          </w:tcPr>
          <w:p>
            <w:pPr>
              <w:spacing w:after="20"/>
            </w:pPr>
            <w:r/>
            <w:r>
              <w:rPr>
                <w:rFonts w:ascii="Aptos" w:hAnsi="Aptos"/>
                <w:b w:val="0"/>
                <w:sz w:val="15"/>
              </w:rPr>
              <w:t>Responsive QA plus moderated user testing.</w:t>
            </w:r>
          </w:p>
        </w:tc>
      </w:tr>
      <w:tr>
        <w:tc>
          <w:tcPr>
            <w:tcW w:type="dxa" w:w="3331"/>
            <w:vAlign w:val="center"/>
          </w:tcPr>
          <w:p>
            <w:pPr>
              <w:spacing w:after="20"/>
            </w:pPr>
            <w:r/>
            <w:r>
              <w:rPr>
                <w:rFonts w:ascii="Aptos" w:hAnsi="Aptos"/>
                <w:b w:val="0"/>
                <w:sz w:val="15"/>
              </w:rPr>
              <w:t>Core Web Vitals</w:t>
            </w:r>
          </w:p>
        </w:tc>
        <w:tc>
          <w:tcPr>
            <w:tcW w:type="dxa" w:w="3331"/>
            <w:vAlign w:val="center"/>
          </w:tcPr>
          <w:p>
            <w:pPr>
              <w:spacing w:after="20"/>
            </w:pPr>
            <w:r/>
            <w:r>
              <w:rPr>
                <w:rFonts w:ascii="Aptos" w:hAnsi="Aptos"/>
                <w:b w:val="0"/>
                <w:sz w:val="15"/>
              </w:rPr>
              <w:t>LCP ≤2.5 s, INP ≤200 ms, CLS ≤0.1 at the 75th percentile where measurable.</w:t>
            </w:r>
          </w:p>
        </w:tc>
        <w:tc>
          <w:tcPr>
            <w:tcW w:type="dxa" w:w="3331"/>
            <w:vAlign w:val="center"/>
          </w:tcPr>
          <w:p>
            <w:pPr>
              <w:spacing w:after="20"/>
            </w:pPr>
            <w:r/>
            <w:r>
              <w:rPr>
                <w:rFonts w:ascii="Aptos" w:hAnsi="Aptos"/>
                <w:b w:val="0"/>
                <w:sz w:val="15"/>
              </w:rPr>
              <w:t>Field data after sufficient real traffic; lab tests are diagnostic only.</w:t>
            </w:r>
          </w:p>
        </w:tc>
      </w:tr>
      <w:tr>
        <w:tc>
          <w:tcPr>
            <w:tcW w:type="dxa" w:w="3331"/>
            <w:vAlign w:val="center"/>
            <w:shd w:fill="F1F5F8"/>
          </w:tcPr>
          <w:p>
            <w:pPr>
              <w:spacing w:after="20"/>
            </w:pPr>
            <w:r/>
            <w:r>
              <w:rPr>
                <w:rFonts w:ascii="Aptos" w:hAnsi="Aptos"/>
                <w:b w:val="0"/>
                <w:sz w:val="15"/>
              </w:rPr>
              <w:t>Accessibility</w:t>
            </w:r>
          </w:p>
        </w:tc>
        <w:tc>
          <w:tcPr>
            <w:tcW w:type="dxa" w:w="3331"/>
            <w:vAlign w:val="center"/>
            <w:shd w:fill="F1F5F8"/>
          </w:tcPr>
          <w:p>
            <w:pPr>
              <w:spacing w:after="20"/>
            </w:pPr>
            <w:r/>
            <w:r>
              <w:rPr>
                <w:rFonts w:ascii="Aptos" w:hAnsi="Aptos"/>
                <w:b w:val="0"/>
                <w:sz w:val="15"/>
              </w:rPr>
              <w:t>WCAG 2.2 AA target for platform templates and critical flows.</w:t>
            </w:r>
          </w:p>
        </w:tc>
        <w:tc>
          <w:tcPr>
            <w:tcW w:type="dxa" w:w="3331"/>
            <w:vAlign w:val="center"/>
            <w:shd w:fill="F1F5F8"/>
          </w:tcPr>
          <w:p>
            <w:pPr>
              <w:spacing w:after="20"/>
            </w:pPr>
            <w:r/>
            <w:r>
              <w:rPr>
                <w:rFonts w:ascii="Aptos" w:hAnsi="Aptos"/>
                <w:b w:val="0"/>
                <w:sz w:val="15"/>
              </w:rPr>
              <w:t>Automated checks plus manual keyboard/screen-reader testing.</w:t>
            </w:r>
          </w:p>
        </w:tc>
      </w:tr>
      <w:tr>
        <w:tc>
          <w:tcPr>
            <w:tcW w:type="dxa" w:w="3331"/>
            <w:vAlign w:val="center"/>
          </w:tcPr>
          <w:p>
            <w:pPr>
              <w:spacing w:after="20"/>
            </w:pPr>
            <w:r/>
            <w:r>
              <w:rPr>
                <w:rFonts w:ascii="Aptos" w:hAnsi="Aptos"/>
                <w:b w:val="0"/>
                <w:sz w:val="15"/>
              </w:rPr>
              <w:t>Tenant isolation</w:t>
            </w:r>
          </w:p>
        </w:tc>
        <w:tc>
          <w:tcPr>
            <w:tcW w:type="dxa" w:w="3331"/>
            <w:vAlign w:val="center"/>
          </w:tcPr>
          <w:p>
            <w:pPr>
              <w:spacing w:after="20"/>
            </w:pPr>
            <w:r/>
            <w:r>
              <w:rPr>
                <w:rFonts w:ascii="Aptos" w:hAnsi="Aptos"/>
                <w:b w:val="0"/>
                <w:sz w:val="15"/>
              </w:rPr>
              <w:t>No cross-tenant reads or writes through UI, API, jobs, search, or storage.</w:t>
            </w:r>
          </w:p>
        </w:tc>
        <w:tc>
          <w:tcPr>
            <w:tcW w:type="dxa" w:w="3331"/>
            <w:vAlign w:val="center"/>
          </w:tcPr>
          <w:p>
            <w:pPr>
              <w:spacing w:after="20"/>
            </w:pPr>
            <w:r/>
            <w:r>
              <w:rPr>
                <w:rFonts w:ascii="Aptos" w:hAnsi="Aptos"/>
                <w:b w:val="0"/>
                <w:sz w:val="15"/>
              </w:rPr>
              <w:t>Automated negative tests and security review.</w:t>
            </w:r>
          </w:p>
        </w:tc>
      </w:tr>
      <w:tr>
        <w:tc>
          <w:tcPr>
            <w:tcW w:type="dxa" w:w="3331"/>
            <w:vAlign w:val="center"/>
            <w:shd w:fill="F1F5F8"/>
          </w:tcPr>
          <w:p>
            <w:pPr>
              <w:spacing w:after="20"/>
            </w:pPr>
            <w:r/>
            <w:r>
              <w:rPr>
                <w:rFonts w:ascii="Aptos" w:hAnsi="Aptos"/>
                <w:b w:val="0"/>
                <w:sz w:val="15"/>
              </w:rPr>
              <w:t>Admissions conversion</w:t>
            </w:r>
          </w:p>
        </w:tc>
        <w:tc>
          <w:tcPr>
            <w:tcW w:type="dxa" w:w="3331"/>
            <w:vAlign w:val="center"/>
            <w:shd w:fill="F1F5F8"/>
          </w:tcPr>
          <w:p>
            <w:pPr>
              <w:spacing w:after="20"/>
            </w:pPr>
            <w:r/>
            <w:r>
              <w:rPr>
                <w:rFonts w:ascii="Aptos" w:hAnsi="Aptos"/>
                <w:b w:val="0"/>
                <w:sz w:val="15"/>
              </w:rPr>
              <w:t>Track enquiry starts/submissions and, in later releases, application starts/submissions.</w:t>
            </w:r>
          </w:p>
        </w:tc>
        <w:tc>
          <w:tcPr>
            <w:tcW w:type="dxa" w:w="3331"/>
            <w:vAlign w:val="center"/>
            <w:shd w:fill="F1F5F8"/>
          </w:tcPr>
          <w:p>
            <w:pPr>
              <w:spacing w:after="20"/>
            </w:pPr>
            <w:r/>
            <w:r>
              <w:rPr>
                <w:rFonts w:ascii="Aptos" w:hAnsi="Aptos"/>
                <w:b w:val="0"/>
                <w:sz w:val="15"/>
              </w:rPr>
              <w:t>Privacy-aware event analytics and funnel reporting.</w:t>
            </w:r>
          </w:p>
        </w:tc>
      </w:tr>
    </w:tbl>
    <w:p>
      <w:pPr>
        <w:spacing w:after="0"/>
      </w:pPr>
    </w:p>
    <w:p>
      <w:pPr>
        <w:pStyle w:val="Heading1"/>
      </w:pPr>
      <w:r>
        <w:t>2. Background, Problems, Goals and Scope</w:t>
      </w:r>
    </w:p>
    <w:p>
      <w:pPr>
        <w:pStyle w:val="Heading2"/>
      </w:pPr>
      <w:r>
        <w:t>2.1 Problem statement</w:t>
      </w:r>
    </w:p>
    <w:p>
      <w:r>
        <w:t>Prospective families can struggle to understand what makes a school distinctive, which programmes fit a learner, what admission steps and deadlines apply, what costs or aid options exist, and how to contact the right office. Existing school sites may be difficult to use on mobile, inconsistent in structure, stale, or dependent on developers for routine updates.</w:t>
      </w:r>
    </w:p>
    <w:p>
      <w:r>
        <w:t>Institutions need a consistent place to manage pages, programmes, departments, staff, news, announcements, events, media, documents and admissions information. Administrators also need appropriate permissions, auditability and evidence of which content and enquiry journeys are effective.</w:t>
      </w:r>
    </w:p>
    <w:p>
      <w:pPr>
        <w:pStyle w:val="Heading2"/>
      </w:pPr>
      <w:r>
        <w:t>2.2 Goals</w:t>
      </w:r>
    </w:p>
    <w:p>
      <w:pPr>
        <w:pStyle w:val="ListBullet"/>
      </w:pPr>
      <w:r>
        <w:t>Provide a high-quality, configurable public website for each tenant.</w:t>
      </w:r>
    </w:p>
    <w:p>
      <w:pPr>
        <w:pStyle w:val="ListBullet"/>
      </w:pPr>
      <w:r>
        <w:t>Provide a CMS with structured content, reusable page sections, preview, publishing and archive workflows.</w:t>
      </w:r>
    </w:p>
    <w:p>
      <w:pPr>
        <w:pStyle w:val="ListBullet"/>
      </w:pPr>
      <w:r>
        <w:t>Support multiple institution types without imposing one fixed academic hierarchy.</w:t>
      </w:r>
    </w:p>
    <w:p>
      <w:pPr>
        <w:pStyle w:val="ListBullet"/>
      </w:pPr>
      <w:r>
        <w:t>Make search, admissions information, contact and enquiry actions discoverable.</w:t>
      </w:r>
    </w:p>
    <w:p>
      <w:pPr>
        <w:pStyle w:val="ListBullet"/>
      </w:pPr>
      <w:r>
        <w:t>Build a tenant-isolated, role-based foundation that can later support online applications.</w:t>
      </w:r>
    </w:p>
    <w:p>
      <w:pPr>
        <w:pStyle w:val="ListBullet"/>
      </w:pPr>
      <w:r>
        <w:t>Deliver an MVP that can be maintained by a small engineering team.</w:t>
      </w:r>
    </w:p>
    <w:p>
      <w:pPr>
        <w:pStyle w:val="Heading2"/>
      </w:pPr>
      <w:r>
        <w:t>2.3 In scope by release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6"/>
              </w:rPr>
              <w:t>Release</w:t>
            </w:r>
          </w:p>
        </w:tc>
        <w:tc>
          <w:tcPr>
            <w:tcW w:type="dxa" w:w="4997"/>
            <w:vAlign w:val="center"/>
            <w:shd w:fill="16324F"/>
          </w:tcPr>
          <w:p>
            <w:pPr>
              <w:spacing w:after="20"/>
            </w:pPr>
            <w:r/>
            <w:r>
              <w:rPr>
                <w:rFonts w:ascii="Aptos" w:hAnsi="Aptos"/>
                <w:b/>
                <w:color w:val="FFFFFF"/>
                <w:sz w:val="16"/>
              </w:rPr>
              <w:t>Scope summary</w:t>
            </w:r>
          </w:p>
        </w:tc>
      </w:tr>
      <w:tr>
        <w:tc>
          <w:tcPr>
            <w:tcW w:type="dxa" w:w="4997"/>
            <w:vAlign w:val="center"/>
          </w:tcPr>
          <w:p>
            <w:pPr>
              <w:spacing w:after="20"/>
            </w:pPr>
            <w:r/>
            <w:r>
              <w:rPr>
                <w:rFonts w:ascii="Aptos" w:hAnsi="Aptos"/>
                <w:b w:val="0"/>
                <w:sz w:val="16"/>
              </w:rPr>
              <w:t>MVP / Release 1</w:t>
            </w:r>
          </w:p>
        </w:tc>
        <w:tc>
          <w:tcPr>
            <w:tcW w:type="dxa" w:w="4997"/>
            <w:vAlign w:val="center"/>
          </w:tcPr>
          <w:p>
            <w:pPr>
              <w:spacing w:after="20"/>
            </w:pPr>
            <w:r/>
            <w:r>
              <w:rPr>
                <w:rFonts w:ascii="Aptos" w:hAnsi="Aptos"/>
                <w:b w:val="0"/>
                <w:sz w:val="16"/>
              </w:rPr>
              <w:t>Tenant foundation; authentication and RBAC; institution profile and branding; public website; CMS pages and homepage sections; programs/departments/staff; news, announcements, events, gallery, documents; media library; contact/enquiry forms; SEO; baseline analytics; admin dashboard; audit logging for sensitive administration.</w:t>
            </w:r>
          </w:p>
        </w:tc>
      </w:tr>
      <w:tr>
        <w:tc>
          <w:tcPr>
            <w:tcW w:type="dxa" w:w="4997"/>
            <w:vAlign w:val="center"/>
            <w:shd w:fill="F1F5F8"/>
          </w:tcPr>
          <w:p>
            <w:pPr>
              <w:spacing w:after="20"/>
            </w:pPr>
            <w:r/>
            <w:r>
              <w:rPr>
                <w:rFonts w:ascii="Aptos" w:hAnsi="Aptos"/>
                <w:b w:val="0"/>
                <w:sz w:val="16"/>
              </w:rPr>
              <w:t>Release 2</w:t>
            </w:r>
          </w:p>
        </w:tc>
        <w:tc>
          <w:tcPr>
            <w:tcW w:type="dxa" w:w="4997"/>
            <w:vAlign w:val="center"/>
            <w:shd w:fill="F1F5F8"/>
          </w:tcPr>
          <w:p>
            <w:pPr>
              <w:spacing w:after="20"/>
            </w:pPr>
            <w:r/>
            <w:r>
              <w:rPr>
                <w:rFonts w:ascii="Aptos" w:hAnsi="Aptos"/>
                <w:b w:val="0"/>
                <w:sz w:val="16"/>
              </w:rPr>
              <w:t>Applicant accounts; admission cycles; online application forms; draft saving; document uploads; application checklist/status tracking; admissions review queue; email notifications; admissions funnel reporting.</w:t>
            </w:r>
          </w:p>
        </w:tc>
      </w:tr>
      <w:tr>
        <w:tc>
          <w:tcPr>
            <w:tcW w:type="dxa" w:w="4997"/>
            <w:vAlign w:val="center"/>
          </w:tcPr>
          <w:p>
            <w:pPr>
              <w:spacing w:after="20"/>
            </w:pPr>
            <w:r/>
            <w:r>
              <w:rPr>
                <w:rFonts w:ascii="Aptos" w:hAnsi="Aptos"/>
                <w:b w:val="0"/>
                <w:sz w:val="16"/>
              </w:rPr>
              <w:t>Release 3 / Premium</w:t>
            </w:r>
          </w:p>
        </w:tc>
        <w:tc>
          <w:tcPr>
            <w:tcW w:type="dxa" w:w="4997"/>
            <w:vAlign w:val="center"/>
          </w:tcPr>
          <w:p>
            <w:pPr>
              <w:spacing w:after="20"/>
            </w:pPr>
            <w:r/>
            <w:r>
              <w:rPr>
                <w:rFonts w:ascii="Aptos" w:hAnsi="Aptos"/>
                <w:b w:val="0"/>
                <w:sz w:val="16"/>
              </w:rPr>
              <w:t>Parent/student/staff portals for selected information; advanced communications; payments where justified; multi-campus features; deeper reporting; external SIS/LMS integrations.</w:t>
            </w:r>
          </w:p>
        </w:tc>
      </w:tr>
      <w:tr>
        <w:tc>
          <w:tcPr>
            <w:tcW w:type="dxa" w:w="4997"/>
            <w:vAlign w:val="center"/>
            <w:shd w:fill="F1F5F8"/>
          </w:tcPr>
          <w:p>
            <w:pPr>
              <w:spacing w:after="20"/>
            </w:pPr>
            <w:r/>
            <w:r>
              <w:rPr>
                <w:rFonts w:ascii="Aptos" w:hAnsi="Aptos"/>
                <w:b w:val="0"/>
                <w:sz w:val="16"/>
              </w:rPr>
              <w:t>Future / not committed</w:t>
            </w:r>
          </w:p>
        </w:tc>
        <w:tc>
          <w:tcPr>
            <w:tcW w:type="dxa" w:w="4997"/>
            <w:vAlign w:val="center"/>
            <w:shd w:fill="F1F5F8"/>
          </w:tcPr>
          <w:p>
            <w:pPr>
              <w:spacing w:after="20"/>
            </w:pPr>
            <w:r/>
            <w:r>
              <w:rPr>
                <w:rFonts w:ascii="Aptos" w:hAnsi="Aptos"/>
                <w:b w:val="0"/>
                <w:sz w:val="16"/>
              </w:rPr>
              <w:t>Attendance, gradebook, assignments, timetables, examinations, transport, school finance, full LMS, native mobile app, comprehensive SIS.</w:t>
            </w:r>
          </w:p>
        </w:tc>
      </w:tr>
    </w:tbl>
    <w:p>
      <w:pPr>
        <w:spacing w:after="0"/>
      </w:pPr>
    </w:p>
    <w:p>
      <w:pPr>
        <w:pStyle w:val="Heading2"/>
      </w:pPr>
      <w:r>
        <w:t>2.4 Out of scope for MVP</w:t>
      </w:r>
    </w:p>
    <w:p>
      <w:pPr>
        <w:pStyle w:val="ListBullet"/>
      </w:pPr>
      <w:r>
        <w:t>Full student information system or learning management system.</w:t>
      </w:r>
    </w:p>
    <w:p>
      <w:pPr>
        <w:pStyle w:val="ListBullet"/>
      </w:pPr>
      <w:r>
        <w:t>Official academic records, grade calculation, attendance, examinations or payroll.</w:t>
      </w:r>
    </w:p>
    <w:p>
      <w:pPr>
        <w:pStyle w:val="ListBullet"/>
      </w:pPr>
      <w:r>
        <w:t>Native iOS/Android application.</w:t>
      </w:r>
    </w:p>
    <w:p>
      <w:pPr>
        <w:pStyle w:val="ListBullet"/>
      </w:pPr>
      <w:r>
        <w:t>Mandatory online payment processing.</w:t>
      </w:r>
    </w:p>
    <w:p>
      <w:pPr>
        <w:pStyle w:val="ListBullet"/>
      </w:pPr>
      <w:r>
        <w:t>Automated admissions decisions or ranking applicants.</w:t>
      </w:r>
    </w:p>
    <w:p>
      <w:pPr>
        <w:pStyle w:val="ListBullet"/>
      </w:pPr>
      <w:r>
        <w:t>A universal academic taxonomy that every institution must use.</w:t>
      </w:r>
    </w:p>
    <w:p>
      <w:pPr>
        <w:pStyle w:val="ListBullet"/>
      </w:pPr>
      <w:r>
        <w:t>Guaranteed legal compliance in every jurisdiction without local review.</w:t>
      </w:r>
    </w:p>
    <w:p>
      <w:pPr>
        <w:pStyle w:val="Heading1"/>
      </w:pPr>
      <w:r>
        <w:t>3. Research Method and Reference Findings</w:t>
      </w:r>
    </w:p>
    <w:p>
      <w:r>
        <w:t>Method: reviewed accessible public pages and official vendor documentation surfaced by targeted searches. This is a focused desk review of representative pages, not a full accessibility audit, device-lab study, source-code inspection, or usability test. Where a page or vendor capability was not independently confirmed from an accessible official source, it is not presented as a verified fact.</w:t>
      </w:r>
    </w:p>
    <w:p>
      <w:pPr>
        <w:pStyle w:val="Heading2"/>
      </w:pPr>
      <w:r>
        <w:t>3.1 School reference observations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Reference</w:t>
            </w:r>
          </w:p>
        </w:tc>
        <w:tc>
          <w:tcPr>
            <w:tcW w:type="dxa" w:w="2498"/>
            <w:vAlign w:val="center"/>
            <w:shd w:fill="16324F"/>
          </w:tcPr>
          <w:p>
            <w:pPr>
              <w:spacing w:after="20"/>
            </w:pPr>
            <w:r/>
            <w:r>
              <w:rPr>
                <w:rFonts w:ascii="Aptos" w:hAnsi="Aptos"/>
                <w:b/>
                <w:color w:val="FFFFFF"/>
                <w:sz w:val="14"/>
              </w:rPr>
              <w:t>Observed pattern [OBS]</w:t>
            </w:r>
          </w:p>
        </w:tc>
        <w:tc>
          <w:tcPr>
            <w:tcW w:type="dxa" w:w="2498"/>
            <w:vAlign w:val="center"/>
            <w:shd w:fill="16324F"/>
          </w:tcPr>
          <w:p>
            <w:pPr>
              <w:spacing w:after="20"/>
            </w:pPr>
            <w:r/>
            <w:r>
              <w:rPr>
                <w:rFonts w:ascii="Aptos" w:hAnsi="Aptos"/>
                <w:b/>
                <w:color w:val="FFFFFF"/>
                <w:sz w:val="14"/>
              </w:rPr>
              <w:t>Problem addressed</w:t>
            </w:r>
          </w:p>
        </w:tc>
        <w:tc>
          <w:tcPr>
            <w:tcW w:type="dxa" w:w="2498"/>
            <w:vAlign w:val="center"/>
            <w:shd w:fill="16324F"/>
          </w:tcPr>
          <w:p>
            <w:pPr>
              <w:spacing w:after="20"/>
            </w:pPr>
            <w:r/>
            <w:r>
              <w:rPr>
                <w:rFonts w:ascii="Aptos" w:hAnsi="Aptos"/>
                <w:b/>
                <w:color w:val="FFFFFF"/>
                <w:sz w:val="14"/>
              </w:rPr>
              <w:t>Adaptation [REC]</w:t>
            </w:r>
          </w:p>
        </w:tc>
      </w:tr>
      <w:tr>
        <w:tc>
          <w:tcPr>
            <w:tcW w:type="dxa" w:w="2498"/>
            <w:vAlign w:val="center"/>
          </w:tcPr>
          <w:p>
            <w:pPr>
              <w:spacing w:after="20"/>
            </w:pPr>
            <w:r/>
            <w:r>
              <w:rPr>
                <w:rFonts w:ascii="Aptos" w:hAnsi="Aptos"/>
                <w:b w:val="0"/>
                <w:sz w:val="14"/>
              </w:rPr>
              <w:t>Phillips Academy Andover</w:t>
            </w:r>
          </w:p>
        </w:tc>
        <w:tc>
          <w:tcPr>
            <w:tcW w:type="dxa" w:w="2498"/>
            <w:vAlign w:val="center"/>
          </w:tcPr>
          <w:p>
            <w:pPr>
              <w:spacing w:after="20"/>
            </w:pPr>
            <w:r/>
            <w:r>
              <w:rPr>
                <w:rFonts w:ascii="Aptos" w:hAnsi="Aptos"/>
                <w:b w:val="0"/>
                <w:sz w:val="14"/>
              </w:rPr>
              <w:t>Admissions pages guide users through a candidate profile, interview, application items, financial aid and visit options; event listings and family information are prominent.</w:t>
            </w:r>
          </w:p>
        </w:tc>
        <w:tc>
          <w:tcPr>
            <w:tcW w:type="dxa" w:w="2498"/>
            <w:vAlign w:val="center"/>
          </w:tcPr>
          <w:p>
            <w:pPr>
              <w:spacing w:after="20"/>
            </w:pPr>
            <w:r/>
            <w:r>
              <w:rPr>
                <w:rFonts w:ascii="Aptos" w:hAnsi="Aptos"/>
                <w:b w:val="0"/>
                <w:sz w:val="14"/>
              </w:rPr>
              <w:t>Families need a sequence of next steps, deadlines and human support.</w:t>
            </w:r>
          </w:p>
        </w:tc>
        <w:tc>
          <w:tcPr>
            <w:tcW w:type="dxa" w:w="2498"/>
            <w:vAlign w:val="center"/>
          </w:tcPr>
          <w:p>
            <w:pPr>
              <w:spacing w:after="20"/>
            </w:pPr>
            <w:r/>
            <w:r>
              <w:rPr>
                <w:rFonts w:ascii="Aptos" w:hAnsi="Aptos"/>
                <w:b w:val="0"/>
                <w:sz w:val="14"/>
              </w:rPr>
              <w:t>Model admissions as a guided journey with visible steps, deadlines, events and contact routes; keep school-specific requirements configurable.</w:t>
            </w:r>
          </w:p>
        </w:tc>
      </w:tr>
      <w:tr>
        <w:tc>
          <w:tcPr>
            <w:tcW w:type="dxa" w:w="2498"/>
            <w:vAlign w:val="center"/>
            <w:shd w:fill="F1F5F8"/>
          </w:tcPr>
          <w:p>
            <w:pPr>
              <w:spacing w:after="20"/>
            </w:pPr>
            <w:r/>
            <w:r>
              <w:rPr>
                <w:rFonts w:ascii="Aptos" w:hAnsi="Aptos"/>
                <w:b w:val="0"/>
                <w:sz w:val="14"/>
              </w:rPr>
              <w:t>Choate Rosemary Hall</w:t>
            </w:r>
          </w:p>
        </w:tc>
        <w:tc>
          <w:tcPr>
            <w:tcW w:type="dxa" w:w="2498"/>
            <w:vAlign w:val="center"/>
            <w:shd w:fill="F1F5F8"/>
          </w:tcPr>
          <w:p>
            <w:pPr>
              <w:spacing w:after="20"/>
            </w:pPr>
            <w:r/>
            <w:r>
              <w:rPr>
                <w:rFonts w:ascii="Aptos" w:hAnsi="Aptos"/>
                <w:b w:val="0"/>
                <w:sz w:val="14"/>
              </w:rPr>
              <w:t>Homepage and subject pages connect institutional identity with academics, signature programmes, student life, news and repeated inquiry/visit/apply actions.</w:t>
            </w:r>
          </w:p>
        </w:tc>
        <w:tc>
          <w:tcPr>
            <w:tcW w:type="dxa" w:w="2498"/>
            <w:vAlign w:val="center"/>
            <w:shd w:fill="F1F5F8"/>
          </w:tcPr>
          <w:p>
            <w:pPr>
              <w:spacing w:after="20"/>
            </w:pPr>
            <w:r/>
            <w:r>
              <w:rPr>
                <w:rFonts w:ascii="Aptos" w:hAnsi="Aptos"/>
                <w:b w:val="0"/>
                <w:sz w:val="14"/>
              </w:rPr>
              <w:t>A site that only lists departments fails to convey the lived student experience or give users a clear next action.</w:t>
            </w:r>
          </w:p>
        </w:tc>
        <w:tc>
          <w:tcPr>
            <w:tcW w:type="dxa" w:w="2498"/>
            <w:vAlign w:val="center"/>
            <w:shd w:fill="F1F5F8"/>
          </w:tcPr>
          <w:p>
            <w:pPr>
              <w:spacing w:after="20"/>
            </w:pPr>
            <w:r/>
            <w:r>
              <w:rPr>
                <w:rFonts w:ascii="Aptos" w:hAnsi="Aptos"/>
                <w:b w:val="0"/>
                <w:sz w:val="14"/>
              </w:rPr>
              <w:t>Allow editorial storytelling blocks, programme highlights and contextual CTAs; avoid copying exact layout, wording or branding.</w:t>
            </w:r>
          </w:p>
        </w:tc>
      </w:tr>
      <w:tr>
        <w:tc>
          <w:tcPr>
            <w:tcW w:type="dxa" w:w="2498"/>
            <w:vAlign w:val="center"/>
          </w:tcPr>
          <w:p>
            <w:pPr>
              <w:spacing w:after="20"/>
            </w:pPr>
            <w:r/>
            <w:r>
              <w:rPr>
                <w:rFonts w:ascii="Aptos" w:hAnsi="Aptos"/>
                <w:b w:val="0"/>
                <w:sz w:val="14"/>
              </w:rPr>
              <w:t>The Lawrenceville School</w:t>
            </w:r>
          </w:p>
        </w:tc>
        <w:tc>
          <w:tcPr>
            <w:tcW w:type="dxa" w:w="2498"/>
            <w:vAlign w:val="center"/>
          </w:tcPr>
          <w:p>
            <w:pPr>
              <w:spacing w:after="20"/>
            </w:pPr>
            <w:r/>
            <w:r>
              <w:rPr>
                <w:rFonts w:ascii="Aptos" w:hAnsi="Aptos"/>
                <w:b w:val="0"/>
                <w:sz w:val="14"/>
              </w:rPr>
              <w:t>Admissions content promotes inquiry and student-led campus visits and explains the experience of campus spaces.</w:t>
            </w:r>
          </w:p>
        </w:tc>
        <w:tc>
          <w:tcPr>
            <w:tcW w:type="dxa" w:w="2498"/>
            <w:vAlign w:val="center"/>
          </w:tcPr>
          <w:p>
            <w:pPr>
              <w:spacing w:after="20"/>
            </w:pPr>
            <w:r/>
            <w:r>
              <w:rPr>
                <w:rFonts w:ascii="Aptos" w:hAnsi="Aptos"/>
                <w:b w:val="0"/>
                <w:sz w:val="14"/>
              </w:rPr>
              <w:t>Families need to picture the learning environment and access a human-led visit.</w:t>
            </w:r>
          </w:p>
        </w:tc>
        <w:tc>
          <w:tcPr>
            <w:tcW w:type="dxa" w:w="2498"/>
            <w:vAlign w:val="center"/>
          </w:tcPr>
          <w:p>
            <w:pPr>
              <w:spacing w:after="20"/>
            </w:pPr>
            <w:r/>
            <w:r>
              <w:rPr>
                <w:rFonts w:ascii="Aptos" w:hAnsi="Aptos"/>
                <w:b w:val="0"/>
                <w:sz w:val="14"/>
              </w:rPr>
              <w:t>Support visit/open-day event content, campus/facility stories and enquiry forms; calendar integration can be added later.</w:t>
            </w:r>
          </w:p>
        </w:tc>
      </w:tr>
      <w:tr>
        <w:tc>
          <w:tcPr>
            <w:tcW w:type="dxa" w:w="2498"/>
            <w:vAlign w:val="center"/>
            <w:shd w:fill="F1F5F8"/>
          </w:tcPr>
          <w:p>
            <w:pPr>
              <w:spacing w:after="20"/>
            </w:pPr>
            <w:r/>
            <w:r>
              <w:rPr>
                <w:rFonts w:ascii="Aptos" w:hAnsi="Aptos"/>
                <w:b w:val="0"/>
                <w:sz w:val="14"/>
              </w:rPr>
              <w:t>Brighton College</w:t>
            </w:r>
          </w:p>
        </w:tc>
        <w:tc>
          <w:tcPr>
            <w:tcW w:type="dxa" w:w="2498"/>
            <w:vAlign w:val="center"/>
            <w:shd w:fill="F1F5F8"/>
          </w:tcPr>
          <w:p>
            <w:pPr>
              <w:spacing w:after="20"/>
            </w:pPr>
            <w:r/>
            <w:r>
              <w:rPr>
                <w:rFonts w:ascii="Aptos" w:hAnsi="Aptos"/>
                <w:b w:val="0"/>
                <w:sz w:val="14"/>
              </w:rPr>
              <w:t>Admissions content routes families toward entry-point-specific application guidance, visits/open mornings and an admissions portal.</w:t>
            </w:r>
          </w:p>
        </w:tc>
        <w:tc>
          <w:tcPr>
            <w:tcW w:type="dxa" w:w="2498"/>
            <w:vAlign w:val="center"/>
            <w:shd w:fill="F1F5F8"/>
          </w:tcPr>
          <w:p>
            <w:pPr>
              <w:spacing w:after="20"/>
            </w:pPr>
            <w:r/>
            <w:r>
              <w:rPr>
                <w:rFonts w:ascii="Aptos" w:hAnsi="Aptos"/>
                <w:b w:val="0"/>
                <w:sz w:val="14"/>
              </w:rPr>
              <w:t>Different applicant groups can need different instructions and entry routes.</w:t>
            </w:r>
          </w:p>
        </w:tc>
        <w:tc>
          <w:tcPr>
            <w:tcW w:type="dxa" w:w="2498"/>
            <w:vAlign w:val="center"/>
            <w:shd w:fill="F1F5F8"/>
          </w:tcPr>
          <w:p>
            <w:pPr>
              <w:spacing w:after="20"/>
            </w:pPr>
            <w:r/>
            <w:r>
              <w:rPr>
                <w:rFonts w:ascii="Aptos" w:hAnsi="Aptos"/>
                <w:b w:val="0"/>
                <w:sz w:val="14"/>
              </w:rPr>
              <w:t>Offer configurable applicant pathways by grade/programme, location or applicant category.</w:t>
            </w:r>
          </w:p>
        </w:tc>
      </w:tr>
      <w:tr>
        <w:tc>
          <w:tcPr>
            <w:tcW w:type="dxa" w:w="2498"/>
            <w:vAlign w:val="center"/>
          </w:tcPr>
          <w:p>
            <w:pPr>
              <w:spacing w:after="20"/>
            </w:pPr>
            <w:r/>
            <w:r>
              <w:rPr>
                <w:rFonts w:ascii="Aptos" w:hAnsi="Aptos"/>
                <w:b w:val="0"/>
                <w:sz w:val="14"/>
              </w:rPr>
              <w:t>UWC Changshu China</w:t>
            </w:r>
          </w:p>
        </w:tc>
        <w:tc>
          <w:tcPr>
            <w:tcW w:type="dxa" w:w="2498"/>
            <w:vAlign w:val="center"/>
          </w:tcPr>
          <w:p>
            <w:pPr>
              <w:spacing w:after="20"/>
            </w:pPr>
            <w:r/>
            <w:r>
              <w:rPr>
                <w:rFonts w:ascii="Aptos" w:hAnsi="Aptos"/>
                <w:b w:val="0"/>
                <w:sz w:val="14"/>
              </w:rPr>
              <w:t>Public admissions pages explain programme choices and staged application information; the site presents an international programme context.</w:t>
            </w:r>
          </w:p>
        </w:tc>
        <w:tc>
          <w:tcPr>
            <w:tcW w:type="dxa" w:w="2498"/>
            <w:vAlign w:val="center"/>
          </w:tcPr>
          <w:p>
            <w:pPr>
              <w:spacing w:after="20"/>
            </w:pPr>
            <w:r/>
            <w:r>
              <w:rPr>
                <w:rFonts w:ascii="Aptos" w:hAnsi="Aptos"/>
                <w:b w:val="0"/>
                <w:sz w:val="14"/>
              </w:rPr>
              <w:t>Institutions with distinct programme routes need clear programme selection and admissions-specific content.</w:t>
            </w:r>
          </w:p>
        </w:tc>
        <w:tc>
          <w:tcPr>
            <w:tcW w:type="dxa" w:w="2498"/>
            <w:vAlign w:val="center"/>
          </w:tcPr>
          <w:p>
            <w:pPr>
              <w:spacing w:after="20"/>
            </w:pPr>
            <w:r/>
            <w:r>
              <w:rPr>
                <w:rFonts w:ascii="Aptos" w:hAnsi="Aptos"/>
                <w:b w:val="0"/>
                <w:sz w:val="14"/>
              </w:rPr>
              <w:t>Support programme-specific requirements, international applicant guidance and translated content where enabled.</w:t>
            </w:r>
          </w:p>
        </w:tc>
      </w:tr>
    </w:tbl>
    <w:p>
      <w:pPr>
        <w:spacing w:after="0"/>
      </w:pPr>
    </w:p>
    <w:p>
      <w:pPr>
        <w:pStyle w:val="Heading2"/>
      </w:pPr>
      <w:r>
        <w:t>3.2 Education-platform vendor findings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Vendor reference</w:t>
            </w:r>
          </w:p>
        </w:tc>
        <w:tc>
          <w:tcPr>
            <w:tcW w:type="dxa" w:w="3331"/>
            <w:vAlign w:val="center"/>
            <w:shd w:fill="16324F"/>
          </w:tcPr>
          <w:p>
            <w:pPr>
              <w:spacing w:after="20"/>
            </w:pPr>
            <w:r/>
            <w:r>
              <w:rPr>
                <w:rFonts w:ascii="Aptos" w:hAnsi="Aptos"/>
                <w:b/>
                <w:color w:val="FFFFFF"/>
                <w:sz w:val="14"/>
              </w:rPr>
              <w:t>Observed capability/pattern [OBS]</w:t>
            </w:r>
          </w:p>
        </w:tc>
        <w:tc>
          <w:tcPr>
            <w:tcW w:type="dxa" w:w="3331"/>
            <w:vAlign w:val="center"/>
            <w:shd w:fill="16324F"/>
          </w:tcPr>
          <w:p>
            <w:pPr>
              <w:spacing w:after="20"/>
            </w:pPr>
            <w:r/>
            <w:r>
              <w:rPr>
                <w:rFonts w:ascii="Aptos" w:hAnsi="Aptos"/>
                <w:b/>
                <w:color w:val="FFFFFF"/>
                <w:sz w:val="14"/>
              </w:rPr>
              <w:t>Product implication [REC]</w:t>
            </w:r>
          </w:p>
        </w:tc>
      </w:tr>
      <w:tr>
        <w:tc>
          <w:tcPr>
            <w:tcW w:type="dxa" w:w="3331"/>
            <w:vAlign w:val="center"/>
          </w:tcPr>
          <w:p>
            <w:pPr>
              <w:spacing w:after="20"/>
            </w:pPr>
            <w:r/>
            <w:r>
              <w:rPr>
                <w:rFonts w:ascii="Aptos" w:hAnsi="Aptos"/>
                <w:b w:val="0"/>
                <w:sz w:val="14"/>
              </w:rPr>
              <w:t>Finalsite</w:t>
            </w:r>
          </w:p>
        </w:tc>
        <w:tc>
          <w:tcPr>
            <w:tcW w:type="dxa" w:w="3331"/>
            <w:vAlign w:val="center"/>
          </w:tcPr>
          <w:p>
            <w:pPr>
              <w:spacing w:after="20"/>
            </w:pPr>
            <w:r/>
            <w:r>
              <w:rPr>
                <w:rFonts w:ascii="Aptos" w:hAnsi="Aptos"/>
                <w:b w:val="0"/>
                <w:sz w:val="14"/>
              </w:rPr>
              <w:t>Official CMS material describes drag-and-drop page creation, reusable “create once, publish everywhere” content, accessibility checks, SEO fields and tiered admin access.</w:t>
            </w:r>
          </w:p>
        </w:tc>
        <w:tc>
          <w:tcPr>
            <w:tcW w:type="dxa" w:w="3331"/>
            <w:vAlign w:val="center"/>
          </w:tcPr>
          <w:p>
            <w:pPr>
              <w:spacing w:after="20"/>
            </w:pPr>
            <w:r/>
            <w:r>
              <w:rPr>
                <w:rFonts w:ascii="Aptos" w:hAnsi="Aptos"/>
                <w:b w:val="0"/>
                <w:sz w:val="14"/>
              </w:rPr>
              <w:t>Use reusable structured content, permissions, CMS-level SEO controls and accessible authoring guidance. Treat automated accessibility checking as assistance, not proof of conformance.</w:t>
            </w:r>
          </w:p>
        </w:tc>
      </w:tr>
      <w:tr>
        <w:tc>
          <w:tcPr>
            <w:tcW w:type="dxa" w:w="3331"/>
            <w:vAlign w:val="center"/>
            <w:shd w:fill="F1F5F8"/>
          </w:tcPr>
          <w:p>
            <w:pPr>
              <w:spacing w:after="20"/>
            </w:pPr>
            <w:r/>
            <w:r>
              <w:rPr>
                <w:rFonts w:ascii="Aptos" w:hAnsi="Aptos"/>
                <w:b w:val="0"/>
                <w:sz w:val="14"/>
              </w:rPr>
              <w:t>Blackbaud K–12</w:t>
            </w:r>
          </w:p>
        </w:tc>
        <w:tc>
          <w:tcPr>
            <w:tcW w:type="dxa" w:w="3331"/>
            <w:vAlign w:val="center"/>
            <w:shd w:fill="F1F5F8"/>
          </w:tcPr>
          <w:p>
            <w:pPr>
              <w:spacing w:after="20"/>
            </w:pPr>
            <w:r/>
            <w:r>
              <w:rPr>
                <w:rFonts w:ascii="Aptos" w:hAnsi="Aptos"/>
                <w:b w:val="0"/>
                <w:sz w:val="14"/>
              </w:rPr>
              <w:t>Official help documentation describes inquiry forms, application forms/checklists, candidate processing, visit/interview scheduling and admissions event registration.</w:t>
            </w:r>
          </w:p>
        </w:tc>
        <w:tc>
          <w:tcPr>
            <w:tcW w:type="dxa" w:w="3331"/>
            <w:vAlign w:val="center"/>
            <w:shd w:fill="F1F5F8"/>
          </w:tcPr>
          <w:p>
            <w:pPr>
              <w:spacing w:after="20"/>
            </w:pPr>
            <w:r/>
            <w:r>
              <w:rPr>
                <w:rFonts w:ascii="Aptos" w:hAnsi="Aptos"/>
                <w:b w:val="0"/>
                <w:sz w:val="14"/>
              </w:rPr>
              <w:t>Separate enquiry, application, checklist/document collection and visit scheduling as related but distinct workflows. Avoid duplicating the same event in multiple modules.</w:t>
            </w:r>
          </w:p>
        </w:tc>
      </w:tr>
      <w:tr>
        <w:tc>
          <w:tcPr>
            <w:tcW w:type="dxa" w:w="3331"/>
            <w:vAlign w:val="center"/>
          </w:tcPr>
          <w:p>
            <w:pPr>
              <w:spacing w:after="20"/>
            </w:pPr>
            <w:r/>
            <w:r>
              <w:rPr>
                <w:rFonts w:ascii="Aptos" w:hAnsi="Aptos"/>
                <w:b w:val="0"/>
                <w:sz w:val="14"/>
              </w:rPr>
              <w:t>Veracross</w:t>
            </w:r>
          </w:p>
        </w:tc>
        <w:tc>
          <w:tcPr>
            <w:tcW w:type="dxa" w:w="3331"/>
            <w:vAlign w:val="center"/>
          </w:tcPr>
          <w:p>
            <w:pPr>
              <w:spacing w:after="20"/>
            </w:pPr>
            <w:r/>
            <w:r>
              <w:rPr>
                <w:rFonts w:ascii="Aptos" w:hAnsi="Aptos"/>
                <w:b w:val="0"/>
                <w:sz w:val="14"/>
              </w:rPr>
              <w:t>The requested vendor is a benchmark, but this review did not establish a sufficiently specific current capability claim from an accessible official page.</w:t>
            </w:r>
          </w:p>
        </w:tc>
        <w:tc>
          <w:tcPr>
            <w:tcW w:type="dxa" w:w="3331"/>
            <w:vAlign w:val="center"/>
          </w:tcPr>
          <w:p>
            <w:pPr>
              <w:spacing w:after="20"/>
            </w:pPr>
            <w:r/>
            <w:r>
              <w:rPr>
                <w:rFonts w:ascii="Aptos" w:hAnsi="Aptos"/>
                <w:b w:val="0"/>
                <w:sz w:val="14"/>
              </w:rPr>
              <w:t>Validate exact integration and portal capabilities during vendor/product discovery before treating them as requirements. Do not infer feature parity.</w:t>
            </w:r>
          </w:p>
        </w:tc>
      </w:tr>
    </w:tbl>
    <w:p>
      <w:pPr>
        <w:spacing w:after="0"/>
      </w:pPr>
    </w:p>
    <w:p>
      <w:pPr>
        <w:pStyle w:val="Heading2"/>
      </w:pPr>
      <w:r>
        <w:t>3.3 Cross-reference conclusions</w:t>
      </w:r>
    </w:p>
    <w:p>
      <w:pPr>
        <w:pStyle w:val="ListBullet"/>
      </w:pPr>
      <w:r>
        <w:t>Storytelling and structured information should coexist: a school needs editorial pages and reusable factual records such as programmes, staff and events.</w:t>
      </w:r>
    </w:p>
    <w:p>
      <w:pPr>
        <w:pStyle w:val="ListBullet"/>
      </w:pPr>
      <w:r>
        <w:t>Admissions is a guided journey, not a single static page; the public site and application workflow should share programme, deadline and event data where appropriate.</w:t>
      </w:r>
    </w:p>
    <w:p>
      <w:pPr>
        <w:pStyle w:val="ListBullet"/>
      </w:pPr>
      <w:r>
        <w:t>Content should be created once and rendered in relevant contexts rather than copied manually into homepage, calendars and portal views.</w:t>
      </w:r>
    </w:p>
    <w:p>
      <w:pPr>
        <w:pStyle w:val="ListBullet"/>
      </w:pPr>
      <w:r>
        <w:t>School-specific configuration matters: programme hierarchy, entry routes, boarding/day options, tuition display, campus structure and application steps vary by institution.</w:t>
      </w:r>
    </w:p>
    <w:p>
      <w:pPr>
        <w:pStyle w:val="ListBullet"/>
      </w:pPr>
      <w:r>
        <w:t>Accessibility, SEO, mobile behaviour and role-based publishing must be designed into the platform rather than bolted on later.</w:t>
      </w:r>
    </w:p>
    <w:p>
      <w:pPr>
        <w:pStyle w:val="ListBullet"/>
      </w:pPr>
      <w:r>
        <w:t>Research is a source of patterns, not permission to clone a reference school's visual identity, copy or proprietary features.</w:t>
      </w:r>
    </w:p>
    <w:p>
      <w:pPr>
        <w:pStyle w:val="Heading1"/>
      </w:pPr>
      <w:r>
        <w:t>4. Stakeholders, Personas and Roles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Actor/persona</w:t>
            </w:r>
          </w:p>
        </w:tc>
        <w:tc>
          <w:tcPr>
            <w:tcW w:type="dxa" w:w="3331"/>
            <w:vAlign w:val="center"/>
            <w:shd w:fill="16324F"/>
          </w:tcPr>
          <w:p>
            <w:pPr>
              <w:spacing w:after="20"/>
            </w:pPr>
            <w:r/>
            <w:r>
              <w:rPr>
                <w:rFonts w:ascii="Aptos" w:hAnsi="Aptos"/>
                <w:b/>
                <w:color w:val="FFFFFF"/>
                <w:sz w:val="14"/>
              </w:rPr>
              <w:t>Goals and responsibilities</w:t>
            </w:r>
          </w:p>
        </w:tc>
        <w:tc>
          <w:tcPr>
            <w:tcW w:type="dxa" w:w="3331"/>
            <w:vAlign w:val="center"/>
            <w:shd w:fill="16324F"/>
          </w:tcPr>
          <w:p>
            <w:pPr>
              <w:spacing w:after="20"/>
            </w:pPr>
            <w:r/>
            <w:r>
              <w:rPr>
                <w:rFonts w:ascii="Aptos" w:hAnsi="Aptos"/>
                <w:b/>
                <w:color w:val="FFFFFF"/>
                <w:sz w:val="14"/>
              </w:rPr>
              <w:t>Access / key actions</w:t>
            </w:r>
          </w:p>
        </w:tc>
      </w:tr>
      <w:tr>
        <w:tc>
          <w:tcPr>
            <w:tcW w:type="dxa" w:w="3331"/>
            <w:vAlign w:val="center"/>
          </w:tcPr>
          <w:p>
            <w:pPr>
              <w:spacing w:after="20"/>
            </w:pPr>
            <w:r/>
            <w:r>
              <w:rPr>
                <w:rFonts w:ascii="Aptos" w:hAnsi="Aptos"/>
                <w:b w:val="0"/>
                <w:sz w:val="14"/>
              </w:rPr>
              <w:t>Public visitor</w:t>
            </w:r>
          </w:p>
        </w:tc>
        <w:tc>
          <w:tcPr>
            <w:tcW w:type="dxa" w:w="3331"/>
            <w:vAlign w:val="center"/>
          </w:tcPr>
          <w:p>
            <w:pPr>
              <w:spacing w:after="20"/>
            </w:pPr>
            <w:r/>
            <w:r>
              <w:rPr>
                <w:rFonts w:ascii="Aptos" w:hAnsi="Aptos"/>
                <w:b w:val="0"/>
                <w:sz w:val="14"/>
              </w:rPr>
              <w:t>Understand institution identity, academics, student experience, facilities and contact options.</w:t>
            </w:r>
          </w:p>
        </w:tc>
        <w:tc>
          <w:tcPr>
            <w:tcW w:type="dxa" w:w="3331"/>
            <w:vAlign w:val="center"/>
          </w:tcPr>
          <w:p>
            <w:pPr>
              <w:spacing w:after="20"/>
            </w:pPr>
            <w:r/>
            <w:r>
              <w:rPr>
                <w:rFonts w:ascii="Aptos" w:hAnsi="Aptos"/>
                <w:b w:val="0"/>
                <w:sz w:val="14"/>
              </w:rPr>
              <w:t>Read published public content; search; view events/programmes; submit permitted forms.</w:t>
            </w:r>
          </w:p>
        </w:tc>
      </w:tr>
      <w:tr>
        <w:tc>
          <w:tcPr>
            <w:tcW w:type="dxa" w:w="3331"/>
            <w:vAlign w:val="center"/>
            <w:shd w:fill="F1F5F8"/>
          </w:tcPr>
          <w:p>
            <w:pPr>
              <w:spacing w:after="20"/>
            </w:pPr>
            <w:r/>
            <w:r>
              <w:rPr>
                <w:rFonts w:ascii="Aptos" w:hAnsi="Aptos"/>
                <w:b w:val="0"/>
                <w:sz w:val="14"/>
              </w:rPr>
              <w:t>Prospective parent/guardian</w:t>
            </w:r>
          </w:p>
        </w:tc>
        <w:tc>
          <w:tcPr>
            <w:tcW w:type="dxa" w:w="3331"/>
            <w:vAlign w:val="center"/>
            <w:shd w:fill="F1F5F8"/>
          </w:tcPr>
          <w:p>
            <w:pPr>
              <w:spacing w:after="20"/>
            </w:pPr>
            <w:r/>
            <w:r>
              <w:rPr>
                <w:rFonts w:ascii="Aptos" w:hAnsi="Aptos"/>
                <w:b w:val="0"/>
                <w:sz w:val="14"/>
              </w:rPr>
              <w:t>Assess fit, understand costs/requirements/dates, enquire, visit or apply.</w:t>
            </w:r>
          </w:p>
        </w:tc>
        <w:tc>
          <w:tcPr>
            <w:tcW w:type="dxa" w:w="3331"/>
            <w:vAlign w:val="center"/>
            <w:shd w:fill="F1F5F8"/>
          </w:tcPr>
          <w:p>
            <w:pPr>
              <w:spacing w:after="20"/>
            </w:pPr>
            <w:r/>
            <w:r>
              <w:rPr>
                <w:rFonts w:ascii="Aptos" w:hAnsi="Aptos"/>
                <w:b w:val="0"/>
                <w:sz w:val="14"/>
              </w:rPr>
              <w:t>Admissions content, enquiry forms, visit registration where enabled; applicant account in Release 2.</w:t>
            </w:r>
          </w:p>
        </w:tc>
      </w:tr>
      <w:tr>
        <w:tc>
          <w:tcPr>
            <w:tcW w:type="dxa" w:w="3331"/>
            <w:vAlign w:val="center"/>
          </w:tcPr>
          <w:p>
            <w:pPr>
              <w:spacing w:after="20"/>
            </w:pPr>
            <w:r/>
            <w:r>
              <w:rPr>
                <w:rFonts w:ascii="Aptos" w:hAnsi="Aptos"/>
                <w:b w:val="0"/>
                <w:sz w:val="14"/>
              </w:rPr>
              <w:t>Prospective student</w:t>
            </w:r>
          </w:p>
        </w:tc>
        <w:tc>
          <w:tcPr>
            <w:tcW w:type="dxa" w:w="3331"/>
            <w:vAlign w:val="center"/>
          </w:tcPr>
          <w:p>
            <w:pPr>
              <w:spacing w:after="20"/>
            </w:pPr>
            <w:r/>
            <w:r>
              <w:rPr>
                <w:rFonts w:ascii="Aptos" w:hAnsi="Aptos"/>
                <w:b w:val="0"/>
                <w:sz w:val="14"/>
              </w:rPr>
              <w:t>Explore programmes and student life; understand application steps.</w:t>
            </w:r>
          </w:p>
        </w:tc>
        <w:tc>
          <w:tcPr>
            <w:tcW w:type="dxa" w:w="3331"/>
            <w:vAlign w:val="center"/>
          </w:tcPr>
          <w:p>
            <w:pPr>
              <w:spacing w:after="20"/>
            </w:pPr>
            <w:r/>
            <w:r>
              <w:rPr>
                <w:rFonts w:ascii="Aptos" w:hAnsi="Aptos"/>
                <w:b w:val="0"/>
                <w:sz w:val="14"/>
              </w:rPr>
              <w:t>Public content; own application and messages when authenticated in Release 2.</w:t>
            </w:r>
          </w:p>
        </w:tc>
      </w:tr>
      <w:tr>
        <w:tc>
          <w:tcPr>
            <w:tcW w:type="dxa" w:w="3331"/>
            <w:vAlign w:val="center"/>
            <w:shd w:fill="F1F5F8"/>
          </w:tcPr>
          <w:p>
            <w:pPr>
              <w:spacing w:after="20"/>
            </w:pPr>
            <w:r/>
            <w:r>
              <w:rPr>
                <w:rFonts w:ascii="Aptos" w:hAnsi="Aptos"/>
                <w:b w:val="0"/>
                <w:sz w:val="14"/>
              </w:rPr>
              <w:t>Applicant</w:t>
            </w:r>
          </w:p>
        </w:tc>
        <w:tc>
          <w:tcPr>
            <w:tcW w:type="dxa" w:w="3331"/>
            <w:vAlign w:val="center"/>
            <w:shd w:fill="F1F5F8"/>
          </w:tcPr>
          <w:p>
            <w:pPr>
              <w:spacing w:after="20"/>
            </w:pPr>
            <w:r/>
            <w:r>
              <w:rPr>
                <w:rFonts w:ascii="Aptos" w:hAnsi="Aptos"/>
                <w:b w:val="0"/>
                <w:sz w:val="14"/>
              </w:rPr>
              <w:t>Complete and track their own application, upload documents and respond to requests.</w:t>
            </w:r>
          </w:p>
        </w:tc>
        <w:tc>
          <w:tcPr>
            <w:tcW w:type="dxa" w:w="3331"/>
            <w:vAlign w:val="center"/>
            <w:shd w:fill="F1F5F8"/>
          </w:tcPr>
          <w:p>
            <w:pPr>
              <w:spacing w:after="20"/>
            </w:pPr>
            <w:r/>
            <w:r>
              <w:rPr>
                <w:rFonts w:ascii="Aptos" w:hAnsi="Aptos"/>
                <w:b w:val="0"/>
                <w:sz w:val="14"/>
              </w:rPr>
              <w:t>Only own application, own documents, status and permitted messages.</w:t>
            </w:r>
          </w:p>
        </w:tc>
      </w:tr>
      <w:tr>
        <w:tc>
          <w:tcPr>
            <w:tcW w:type="dxa" w:w="3331"/>
            <w:vAlign w:val="center"/>
          </w:tcPr>
          <w:p>
            <w:pPr>
              <w:spacing w:after="20"/>
            </w:pPr>
            <w:r/>
            <w:r>
              <w:rPr>
                <w:rFonts w:ascii="Aptos" w:hAnsi="Aptos"/>
                <w:b w:val="0"/>
                <w:sz w:val="14"/>
              </w:rPr>
              <w:t>Current parent/student</w:t>
            </w:r>
          </w:p>
        </w:tc>
        <w:tc>
          <w:tcPr>
            <w:tcW w:type="dxa" w:w="3331"/>
            <w:vAlign w:val="center"/>
          </w:tcPr>
          <w:p>
            <w:pPr>
              <w:spacing w:after="20"/>
            </w:pPr>
            <w:r/>
            <w:r>
              <w:rPr>
                <w:rFonts w:ascii="Aptos" w:hAnsi="Aptos"/>
                <w:b w:val="0"/>
                <w:sz w:val="14"/>
              </w:rPr>
              <w:t>Access selected announcements, events, documents and messages if portal module enabled.</w:t>
            </w:r>
          </w:p>
        </w:tc>
        <w:tc>
          <w:tcPr>
            <w:tcW w:type="dxa" w:w="3331"/>
            <w:vAlign w:val="center"/>
          </w:tcPr>
          <w:p>
            <w:pPr>
              <w:spacing w:after="20"/>
            </w:pPr>
            <w:r/>
            <w:r>
              <w:rPr>
                <w:rFonts w:ascii="Aptos" w:hAnsi="Aptos"/>
                <w:b w:val="0"/>
                <w:sz w:val="14"/>
              </w:rPr>
              <w:t>Only assigned household/student records and enabled portal features.</w:t>
            </w:r>
          </w:p>
        </w:tc>
      </w:tr>
      <w:tr>
        <w:tc>
          <w:tcPr>
            <w:tcW w:type="dxa" w:w="3331"/>
            <w:vAlign w:val="center"/>
            <w:shd w:fill="F1F5F8"/>
          </w:tcPr>
          <w:p>
            <w:pPr>
              <w:spacing w:after="20"/>
            </w:pPr>
            <w:r/>
            <w:r>
              <w:rPr>
                <w:rFonts w:ascii="Aptos" w:hAnsi="Aptos"/>
                <w:b w:val="0"/>
                <w:sz w:val="14"/>
              </w:rPr>
              <w:t>Platform Super Administrator</w:t>
            </w:r>
          </w:p>
        </w:tc>
        <w:tc>
          <w:tcPr>
            <w:tcW w:type="dxa" w:w="3331"/>
            <w:vAlign w:val="center"/>
            <w:shd w:fill="F1F5F8"/>
          </w:tcPr>
          <w:p>
            <w:pPr>
              <w:spacing w:after="20"/>
            </w:pPr>
            <w:r/>
            <w:r>
              <w:rPr>
                <w:rFonts w:ascii="Aptos" w:hAnsi="Aptos"/>
                <w:b w:val="0"/>
                <w:sz w:val="14"/>
              </w:rPr>
              <w:t>Operate platform configuration, tenant lifecycle, global roles and service health.</w:t>
            </w:r>
          </w:p>
        </w:tc>
        <w:tc>
          <w:tcPr>
            <w:tcW w:type="dxa" w:w="3331"/>
            <w:vAlign w:val="center"/>
            <w:shd w:fill="F1F5F8"/>
          </w:tcPr>
          <w:p>
            <w:pPr>
              <w:spacing w:after="20"/>
            </w:pPr>
            <w:r/>
            <w:r>
              <w:rPr>
                <w:rFonts w:ascii="Aptos" w:hAnsi="Aptos"/>
                <w:b w:val="0"/>
                <w:sz w:val="14"/>
              </w:rPr>
              <w:t>Cross-tenant operational scope only where necessary; audited support access.</w:t>
            </w:r>
          </w:p>
        </w:tc>
      </w:tr>
      <w:tr>
        <w:tc>
          <w:tcPr>
            <w:tcW w:type="dxa" w:w="3331"/>
            <w:vAlign w:val="center"/>
          </w:tcPr>
          <w:p>
            <w:pPr>
              <w:spacing w:after="20"/>
            </w:pPr>
            <w:r/>
            <w:r>
              <w:rPr>
                <w:rFonts w:ascii="Aptos" w:hAnsi="Aptos"/>
                <w:b w:val="0"/>
                <w:sz w:val="14"/>
              </w:rPr>
              <w:t>School Owner/Director</w:t>
            </w:r>
          </w:p>
        </w:tc>
        <w:tc>
          <w:tcPr>
            <w:tcW w:type="dxa" w:w="3331"/>
            <w:vAlign w:val="center"/>
          </w:tcPr>
          <w:p>
            <w:pPr>
              <w:spacing w:after="20"/>
            </w:pPr>
            <w:r/>
            <w:r>
              <w:rPr>
                <w:rFonts w:ascii="Aptos" w:hAnsi="Aptos"/>
                <w:b w:val="0"/>
                <w:sz w:val="14"/>
              </w:rPr>
              <w:t>Manage school profile, branding, users and enabled modules.</w:t>
            </w:r>
          </w:p>
        </w:tc>
        <w:tc>
          <w:tcPr>
            <w:tcW w:type="dxa" w:w="3331"/>
            <w:vAlign w:val="center"/>
          </w:tcPr>
          <w:p>
            <w:pPr>
              <w:spacing w:after="20"/>
            </w:pPr>
            <w:r/>
            <w:r>
              <w:rPr>
                <w:rFonts w:ascii="Aptos" w:hAnsi="Aptos"/>
                <w:b w:val="0"/>
                <w:sz w:val="14"/>
              </w:rPr>
              <w:t>Tenant-scoped administration; cannot access other tenants.</w:t>
            </w:r>
          </w:p>
        </w:tc>
      </w:tr>
      <w:tr>
        <w:tc>
          <w:tcPr>
            <w:tcW w:type="dxa" w:w="3331"/>
            <w:vAlign w:val="center"/>
            <w:shd w:fill="F1F5F8"/>
          </w:tcPr>
          <w:p>
            <w:pPr>
              <w:spacing w:after="20"/>
            </w:pPr>
            <w:r/>
            <w:r>
              <w:rPr>
                <w:rFonts w:ascii="Aptos" w:hAnsi="Aptos"/>
                <w:b w:val="0"/>
                <w:sz w:val="14"/>
              </w:rPr>
              <w:t>Principal/School leadership</w:t>
            </w:r>
          </w:p>
        </w:tc>
        <w:tc>
          <w:tcPr>
            <w:tcW w:type="dxa" w:w="3331"/>
            <w:vAlign w:val="center"/>
            <w:shd w:fill="F1F5F8"/>
          </w:tcPr>
          <w:p>
            <w:pPr>
              <w:spacing w:after="20"/>
            </w:pPr>
            <w:r/>
            <w:r>
              <w:rPr>
                <w:rFonts w:ascii="Aptos" w:hAnsi="Aptos"/>
                <w:b w:val="0"/>
                <w:sz w:val="14"/>
              </w:rPr>
              <w:t>Oversee public information, approvals and high-level reporting.</w:t>
            </w:r>
          </w:p>
        </w:tc>
        <w:tc>
          <w:tcPr>
            <w:tcW w:type="dxa" w:w="3331"/>
            <w:vAlign w:val="center"/>
            <w:shd w:fill="F1F5F8"/>
          </w:tcPr>
          <w:p>
            <w:pPr>
              <w:spacing w:after="20"/>
            </w:pPr>
            <w:r/>
            <w:r>
              <w:rPr>
                <w:rFonts w:ascii="Aptos" w:hAnsi="Aptos"/>
                <w:b w:val="0"/>
                <w:sz w:val="14"/>
              </w:rPr>
              <w:t>Tenant content, approved reports and assigned approval workflows.</w:t>
            </w:r>
          </w:p>
        </w:tc>
      </w:tr>
      <w:tr>
        <w:tc>
          <w:tcPr>
            <w:tcW w:type="dxa" w:w="3331"/>
            <w:vAlign w:val="center"/>
          </w:tcPr>
          <w:p>
            <w:pPr>
              <w:spacing w:after="20"/>
            </w:pPr>
            <w:r/>
            <w:r>
              <w:rPr>
                <w:rFonts w:ascii="Aptos" w:hAnsi="Aptos"/>
                <w:b w:val="0"/>
                <w:sz w:val="14"/>
              </w:rPr>
              <w:t>Admissions Officer</w:t>
            </w:r>
          </w:p>
        </w:tc>
        <w:tc>
          <w:tcPr>
            <w:tcW w:type="dxa" w:w="3331"/>
            <w:vAlign w:val="center"/>
          </w:tcPr>
          <w:p>
            <w:pPr>
              <w:spacing w:after="20"/>
            </w:pPr>
            <w:r/>
            <w:r>
              <w:rPr>
                <w:rFonts w:ascii="Aptos" w:hAnsi="Aptos"/>
                <w:b w:val="0"/>
                <w:sz w:val="14"/>
              </w:rPr>
              <w:t>Manage enquiries, admission cycles and applications when module enabled.</w:t>
            </w:r>
          </w:p>
        </w:tc>
        <w:tc>
          <w:tcPr>
            <w:tcW w:type="dxa" w:w="3331"/>
            <w:vAlign w:val="center"/>
          </w:tcPr>
          <w:p>
            <w:pPr>
              <w:spacing w:after="20"/>
            </w:pPr>
            <w:r/>
            <w:r>
              <w:rPr>
                <w:rFonts w:ascii="Aptos" w:hAnsi="Aptos"/>
                <w:b w:val="0"/>
                <w:sz w:val="14"/>
              </w:rPr>
              <w:t>Admissions records for assigned tenant; sensitive documents only as authorized.</w:t>
            </w:r>
          </w:p>
        </w:tc>
      </w:tr>
      <w:tr>
        <w:tc>
          <w:tcPr>
            <w:tcW w:type="dxa" w:w="3331"/>
            <w:vAlign w:val="center"/>
            <w:shd w:fill="F1F5F8"/>
          </w:tcPr>
          <w:p>
            <w:pPr>
              <w:spacing w:after="20"/>
            </w:pPr>
            <w:r/>
            <w:r>
              <w:rPr>
                <w:rFonts w:ascii="Aptos" w:hAnsi="Aptos"/>
                <w:b w:val="0"/>
                <w:sz w:val="14"/>
              </w:rPr>
              <w:t>Content Editor</w:t>
            </w:r>
          </w:p>
        </w:tc>
        <w:tc>
          <w:tcPr>
            <w:tcW w:type="dxa" w:w="3331"/>
            <w:vAlign w:val="center"/>
            <w:shd w:fill="F1F5F8"/>
          </w:tcPr>
          <w:p>
            <w:pPr>
              <w:spacing w:after="20"/>
            </w:pPr>
            <w:r/>
            <w:r>
              <w:rPr>
                <w:rFonts w:ascii="Aptos" w:hAnsi="Aptos"/>
                <w:b w:val="0"/>
                <w:sz w:val="14"/>
              </w:rPr>
              <w:t>Create and edit pages and structured content.</w:t>
            </w:r>
          </w:p>
        </w:tc>
        <w:tc>
          <w:tcPr>
            <w:tcW w:type="dxa" w:w="3331"/>
            <w:vAlign w:val="center"/>
            <w:shd w:fill="F1F5F8"/>
          </w:tcPr>
          <w:p>
            <w:pPr>
              <w:spacing w:after="20"/>
            </w:pPr>
            <w:r/>
            <w:r>
              <w:rPr>
                <w:rFonts w:ascii="Aptos" w:hAnsi="Aptos"/>
                <w:b w:val="0"/>
                <w:sz w:val="14"/>
              </w:rPr>
              <w:t>Assigned content types; publish rights only if granted.</w:t>
            </w:r>
          </w:p>
        </w:tc>
      </w:tr>
      <w:tr>
        <w:tc>
          <w:tcPr>
            <w:tcW w:type="dxa" w:w="3331"/>
            <w:vAlign w:val="center"/>
          </w:tcPr>
          <w:p>
            <w:pPr>
              <w:spacing w:after="20"/>
            </w:pPr>
            <w:r/>
            <w:r>
              <w:rPr>
                <w:rFonts w:ascii="Aptos" w:hAnsi="Aptos"/>
                <w:b w:val="0"/>
                <w:sz w:val="14"/>
              </w:rPr>
              <w:t>Communications Officer</w:t>
            </w:r>
          </w:p>
        </w:tc>
        <w:tc>
          <w:tcPr>
            <w:tcW w:type="dxa" w:w="3331"/>
            <w:vAlign w:val="center"/>
          </w:tcPr>
          <w:p>
            <w:pPr>
              <w:spacing w:after="20"/>
            </w:pPr>
            <w:r/>
            <w:r>
              <w:rPr>
                <w:rFonts w:ascii="Aptos" w:hAnsi="Aptos"/>
                <w:b w:val="0"/>
                <w:sz w:val="14"/>
              </w:rPr>
              <w:t>Manage announcements, news, events and communications.</w:t>
            </w:r>
          </w:p>
        </w:tc>
        <w:tc>
          <w:tcPr>
            <w:tcW w:type="dxa" w:w="3331"/>
            <w:vAlign w:val="center"/>
          </w:tcPr>
          <w:p>
            <w:pPr>
              <w:spacing w:after="20"/>
            </w:pPr>
            <w:r/>
            <w:r>
              <w:rPr>
                <w:rFonts w:ascii="Aptos" w:hAnsi="Aptos"/>
                <w:b w:val="0"/>
                <w:sz w:val="14"/>
              </w:rPr>
              <w:t>Relevant content types, scheduling and communication tools.</w:t>
            </w:r>
          </w:p>
        </w:tc>
      </w:tr>
      <w:tr>
        <w:tc>
          <w:tcPr>
            <w:tcW w:type="dxa" w:w="3331"/>
            <w:vAlign w:val="center"/>
            <w:shd w:fill="F1F5F8"/>
          </w:tcPr>
          <w:p>
            <w:pPr>
              <w:spacing w:after="20"/>
            </w:pPr>
            <w:r/>
            <w:r>
              <w:rPr>
                <w:rFonts w:ascii="Aptos" w:hAnsi="Aptos"/>
                <w:b w:val="0"/>
                <w:sz w:val="14"/>
              </w:rPr>
              <w:t>Teacher/Staff</w:t>
            </w:r>
          </w:p>
        </w:tc>
        <w:tc>
          <w:tcPr>
            <w:tcW w:type="dxa" w:w="3331"/>
            <w:vAlign w:val="center"/>
            <w:shd w:fill="F1F5F8"/>
          </w:tcPr>
          <w:p>
            <w:pPr>
              <w:spacing w:after="20"/>
            </w:pPr>
            <w:r/>
            <w:r>
              <w:rPr>
                <w:rFonts w:ascii="Aptos" w:hAnsi="Aptos"/>
                <w:b w:val="0"/>
                <w:sz w:val="14"/>
              </w:rPr>
              <w:t>Maintain assigned profile or contribute selected content.</w:t>
            </w:r>
          </w:p>
        </w:tc>
        <w:tc>
          <w:tcPr>
            <w:tcW w:type="dxa" w:w="3331"/>
            <w:vAlign w:val="center"/>
            <w:shd w:fill="F1F5F8"/>
          </w:tcPr>
          <w:p>
            <w:pPr>
              <w:spacing w:after="20"/>
            </w:pPr>
            <w:r/>
            <w:r>
              <w:rPr>
                <w:rFonts w:ascii="Aptos" w:hAnsi="Aptos"/>
                <w:b w:val="0"/>
                <w:sz w:val="14"/>
              </w:rPr>
              <w:t>Limited self/profile or assigned-content scope; no default access to admissions records.</w:t>
            </w:r>
          </w:p>
        </w:tc>
      </w:tr>
      <w:tr>
        <w:tc>
          <w:tcPr>
            <w:tcW w:type="dxa" w:w="3331"/>
            <w:vAlign w:val="center"/>
          </w:tcPr>
          <w:p>
            <w:pPr>
              <w:spacing w:after="20"/>
            </w:pPr>
            <w:r/>
            <w:r>
              <w:rPr>
                <w:rFonts w:ascii="Aptos" w:hAnsi="Aptos"/>
                <w:b w:val="0"/>
                <w:sz w:val="14"/>
              </w:rPr>
              <w:t>External services</w:t>
            </w:r>
          </w:p>
        </w:tc>
        <w:tc>
          <w:tcPr>
            <w:tcW w:type="dxa" w:w="3331"/>
            <w:vAlign w:val="center"/>
          </w:tcPr>
          <w:p>
            <w:pPr>
              <w:spacing w:after="20"/>
            </w:pPr>
            <w:r/>
            <w:r>
              <w:rPr>
                <w:rFonts w:ascii="Aptos" w:hAnsi="Aptos"/>
                <w:b w:val="0"/>
                <w:sz w:val="14"/>
              </w:rPr>
              <w:t>Authentication, email, storage, analytics, optional calendar/payment/SIS/LMS.</w:t>
            </w:r>
          </w:p>
        </w:tc>
        <w:tc>
          <w:tcPr>
            <w:tcW w:type="dxa" w:w="3331"/>
            <w:vAlign w:val="center"/>
          </w:tcPr>
          <w:p>
            <w:pPr>
              <w:spacing w:after="20"/>
            </w:pPr>
            <w:r/>
            <w:r>
              <w:rPr>
                <w:rFonts w:ascii="Aptos" w:hAnsi="Aptos"/>
                <w:b w:val="0"/>
                <w:sz w:val="14"/>
              </w:rPr>
              <w:t>Service credentials and minimum required data only; integration access must be scoped and logged.</w:t>
            </w:r>
          </w:p>
        </w:tc>
      </w:tr>
    </w:tbl>
    <w:p>
      <w:pPr>
        <w:spacing w:after="0"/>
      </w:pPr>
    </w:p>
    <w:p>
      <w:pPr>
        <w:pStyle w:val="Heading2"/>
      </w:pPr>
      <w:r>
        <w:t>4.1 Authorization model</w:t>
      </w:r>
    </w:p>
    <w:p>
      <w:r>
        <w:t>Use role-based access control (RBAC) with tenant scope and, where needed, record-level or field-level constraints. Roles are bundles of permissions; the backend must authorize every protected request. A user may hold multiple roles, but conflicting permissions must be resolved explicitly. The UI hiding a button is not an authorization control.</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6"/>
              </w:rPr>
              <w:t>Permission family</w:t>
            </w:r>
          </w:p>
        </w:tc>
        <w:tc>
          <w:tcPr>
            <w:tcW w:type="dxa" w:w="4997"/>
            <w:vAlign w:val="center"/>
            <w:shd w:fill="16324F"/>
          </w:tcPr>
          <w:p>
            <w:pPr>
              <w:spacing w:after="20"/>
            </w:pPr>
            <w:r/>
            <w:r>
              <w:rPr>
                <w:rFonts w:ascii="Aptos" w:hAnsi="Aptos"/>
                <w:b/>
                <w:color w:val="FFFFFF"/>
                <w:sz w:val="16"/>
              </w:rPr>
              <w:t>Examples</w:t>
            </w:r>
          </w:p>
        </w:tc>
      </w:tr>
      <w:tr>
        <w:tc>
          <w:tcPr>
            <w:tcW w:type="dxa" w:w="4997"/>
            <w:vAlign w:val="center"/>
          </w:tcPr>
          <w:p>
            <w:pPr>
              <w:spacing w:after="20"/>
            </w:pPr>
            <w:r/>
            <w:r>
              <w:rPr>
                <w:rFonts w:ascii="Aptos" w:hAnsi="Aptos"/>
                <w:b w:val="0"/>
                <w:sz w:val="16"/>
              </w:rPr>
              <w:t>Platform operations</w:t>
            </w:r>
          </w:p>
        </w:tc>
        <w:tc>
          <w:tcPr>
            <w:tcW w:type="dxa" w:w="4997"/>
            <w:vAlign w:val="center"/>
          </w:tcPr>
          <w:p>
            <w:pPr>
              <w:spacing w:after="20"/>
            </w:pPr>
            <w:r/>
            <w:r>
              <w:rPr>
                <w:rFonts w:ascii="Aptos" w:hAnsi="Aptos"/>
                <w:b w:val="0"/>
                <w:sz w:val="16"/>
              </w:rPr>
              <w:t>Create/suspend tenant; platform configuration; service-level support access.</w:t>
            </w:r>
          </w:p>
        </w:tc>
      </w:tr>
      <w:tr>
        <w:tc>
          <w:tcPr>
            <w:tcW w:type="dxa" w:w="4997"/>
            <w:vAlign w:val="center"/>
            <w:shd w:fill="F1F5F8"/>
          </w:tcPr>
          <w:p>
            <w:pPr>
              <w:spacing w:after="20"/>
            </w:pPr>
            <w:r/>
            <w:r>
              <w:rPr>
                <w:rFonts w:ascii="Aptos" w:hAnsi="Aptos"/>
                <w:b w:val="0"/>
                <w:sz w:val="16"/>
              </w:rPr>
              <w:t>Tenant settings</w:t>
            </w:r>
          </w:p>
        </w:tc>
        <w:tc>
          <w:tcPr>
            <w:tcW w:type="dxa" w:w="4997"/>
            <w:vAlign w:val="center"/>
            <w:shd w:fill="F1F5F8"/>
          </w:tcPr>
          <w:p>
            <w:pPr>
              <w:spacing w:after="20"/>
            </w:pPr>
            <w:r/>
            <w:r>
              <w:rPr>
                <w:rFonts w:ascii="Aptos" w:hAnsi="Aptos"/>
                <w:b w:val="0"/>
                <w:sz w:val="16"/>
              </w:rPr>
              <w:t>Edit profile, branding, domain configuration, modules, admissions settings.</w:t>
            </w:r>
          </w:p>
        </w:tc>
      </w:tr>
      <w:tr>
        <w:tc>
          <w:tcPr>
            <w:tcW w:type="dxa" w:w="4997"/>
            <w:vAlign w:val="center"/>
          </w:tcPr>
          <w:p>
            <w:pPr>
              <w:spacing w:after="20"/>
            </w:pPr>
            <w:r/>
            <w:r>
              <w:rPr>
                <w:rFonts w:ascii="Aptos" w:hAnsi="Aptos"/>
                <w:b w:val="0"/>
                <w:sz w:val="16"/>
              </w:rPr>
              <w:t>Content</w:t>
            </w:r>
          </w:p>
        </w:tc>
        <w:tc>
          <w:tcPr>
            <w:tcW w:type="dxa" w:w="4997"/>
            <w:vAlign w:val="center"/>
          </w:tcPr>
          <w:p>
            <w:pPr>
              <w:spacing w:after="20"/>
            </w:pPr>
            <w:r/>
            <w:r>
              <w:rPr>
                <w:rFonts w:ascii="Aptos" w:hAnsi="Aptos"/>
                <w:b w:val="0"/>
                <w:sz w:val="16"/>
              </w:rPr>
              <w:t>Create/edit/review/publish/archive specified content types; manage media.</w:t>
            </w:r>
          </w:p>
        </w:tc>
      </w:tr>
      <w:tr>
        <w:tc>
          <w:tcPr>
            <w:tcW w:type="dxa" w:w="4997"/>
            <w:vAlign w:val="center"/>
            <w:shd w:fill="F1F5F8"/>
          </w:tcPr>
          <w:p>
            <w:pPr>
              <w:spacing w:after="20"/>
            </w:pPr>
            <w:r/>
            <w:r>
              <w:rPr>
                <w:rFonts w:ascii="Aptos" w:hAnsi="Aptos"/>
                <w:b w:val="0"/>
                <w:sz w:val="16"/>
              </w:rPr>
              <w:t>Admissions</w:t>
            </w:r>
          </w:p>
        </w:tc>
        <w:tc>
          <w:tcPr>
            <w:tcW w:type="dxa" w:w="4997"/>
            <w:vAlign w:val="center"/>
            <w:shd w:fill="F1F5F8"/>
          </w:tcPr>
          <w:p>
            <w:pPr>
              <w:spacing w:after="20"/>
            </w:pPr>
            <w:r/>
            <w:r>
              <w:rPr>
                <w:rFonts w:ascii="Aptos" w:hAnsi="Aptos"/>
                <w:b w:val="0"/>
                <w:sz w:val="16"/>
              </w:rPr>
              <w:t>View enquiry; review application; request document; change status; record decision.</w:t>
            </w:r>
          </w:p>
        </w:tc>
      </w:tr>
      <w:tr>
        <w:tc>
          <w:tcPr>
            <w:tcW w:type="dxa" w:w="4997"/>
            <w:vAlign w:val="center"/>
          </w:tcPr>
          <w:p>
            <w:pPr>
              <w:spacing w:after="20"/>
            </w:pPr>
            <w:r/>
            <w:r>
              <w:rPr>
                <w:rFonts w:ascii="Aptos" w:hAnsi="Aptos"/>
                <w:b w:val="0"/>
                <w:sz w:val="16"/>
              </w:rPr>
              <w:t>Users and access</w:t>
            </w:r>
          </w:p>
        </w:tc>
        <w:tc>
          <w:tcPr>
            <w:tcW w:type="dxa" w:w="4997"/>
            <w:vAlign w:val="center"/>
          </w:tcPr>
          <w:p>
            <w:pPr>
              <w:spacing w:after="20"/>
            </w:pPr>
            <w:r/>
            <w:r>
              <w:rPr>
                <w:rFonts w:ascii="Aptos" w:hAnsi="Aptos"/>
                <w:b w:val="0"/>
                <w:sz w:val="16"/>
              </w:rPr>
              <w:t>Invite/deactivate users; assign roles; manage permissions within allowed scope.</w:t>
            </w:r>
          </w:p>
        </w:tc>
      </w:tr>
      <w:tr>
        <w:tc>
          <w:tcPr>
            <w:tcW w:type="dxa" w:w="4997"/>
            <w:vAlign w:val="center"/>
            <w:shd w:fill="F1F5F8"/>
          </w:tcPr>
          <w:p>
            <w:pPr>
              <w:spacing w:after="20"/>
            </w:pPr>
            <w:r/>
            <w:r>
              <w:rPr>
                <w:rFonts w:ascii="Aptos" w:hAnsi="Aptos"/>
                <w:b w:val="0"/>
                <w:sz w:val="16"/>
              </w:rPr>
              <w:t>Analytics</w:t>
            </w:r>
          </w:p>
        </w:tc>
        <w:tc>
          <w:tcPr>
            <w:tcW w:type="dxa" w:w="4997"/>
            <w:vAlign w:val="center"/>
            <w:shd w:fill="F1F5F8"/>
          </w:tcPr>
          <w:p>
            <w:pPr>
              <w:spacing w:after="20"/>
            </w:pPr>
            <w:r/>
            <w:r>
              <w:rPr>
                <w:rFonts w:ascii="Aptos" w:hAnsi="Aptos"/>
                <w:b w:val="0"/>
                <w:sz w:val="16"/>
              </w:rPr>
              <w:t>View aggregate public metrics; admissions reports restricted to authorized roles.</w:t>
            </w:r>
          </w:p>
        </w:tc>
      </w:tr>
      <w:tr>
        <w:tc>
          <w:tcPr>
            <w:tcW w:type="dxa" w:w="4997"/>
            <w:vAlign w:val="center"/>
          </w:tcPr>
          <w:p>
            <w:pPr>
              <w:spacing w:after="20"/>
            </w:pPr>
            <w:r/>
            <w:r>
              <w:rPr>
                <w:rFonts w:ascii="Aptos" w:hAnsi="Aptos"/>
                <w:b w:val="0"/>
                <w:sz w:val="16"/>
              </w:rPr>
              <w:t>Audit</w:t>
            </w:r>
          </w:p>
        </w:tc>
        <w:tc>
          <w:tcPr>
            <w:tcW w:type="dxa" w:w="4997"/>
            <w:vAlign w:val="center"/>
          </w:tcPr>
          <w:p>
            <w:pPr>
              <w:spacing w:after="20"/>
            </w:pPr>
            <w:r/>
            <w:r>
              <w:rPr>
                <w:rFonts w:ascii="Aptos" w:hAnsi="Aptos"/>
                <w:b w:val="0"/>
                <w:sz w:val="16"/>
              </w:rPr>
              <w:t>Read audit history; no ordinary role may alter or erase audit events.</w:t>
            </w:r>
          </w:p>
        </w:tc>
      </w:tr>
    </w:tbl>
    <w:p>
      <w:pPr>
        <w:spacing w:after="0"/>
      </w:pPr>
    </w:p>
    <w:p>
      <w:pPr>
        <w:pStyle w:val="Heading1"/>
      </w:pPr>
      <w:r>
        <w:t>5. Product Structure and Information Architecture</w:t>
      </w:r>
    </w:p>
    <w:p>
      <w:pPr>
        <w:pStyle w:val="Heading2"/>
      </w:pPr>
      <w:r>
        <w:t>5.1 Public website baseline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Area</w:t>
            </w:r>
          </w:p>
        </w:tc>
        <w:tc>
          <w:tcPr>
            <w:tcW w:type="dxa" w:w="3331"/>
            <w:vAlign w:val="center"/>
            <w:shd w:fill="16324F"/>
          </w:tcPr>
          <w:p>
            <w:pPr>
              <w:spacing w:after="20"/>
            </w:pPr>
            <w:r/>
            <w:r>
              <w:rPr>
                <w:rFonts w:ascii="Aptos" w:hAnsi="Aptos"/>
                <w:b/>
                <w:color w:val="FFFFFF"/>
                <w:sz w:val="15"/>
              </w:rPr>
              <w:t>Suggested routes/content</w:t>
            </w:r>
          </w:p>
        </w:tc>
        <w:tc>
          <w:tcPr>
            <w:tcW w:type="dxa" w:w="3331"/>
            <w:vAlign w:val="center"/>
            <w:shd w:fill="16324F"/>
          </w:tcPr>
          <w:p>
            <w:pPr>
              <w:spacing w:after="20"/>
            </w:pPr>
            <w:r/>
            <w:r>
              <w:rPr>
                <w:rFonts w:ascii="Aptos" w:hAnsi="Aptos"/>
                <w:b/>
                <w:color w:val="FFFFFF"/>
                <w:sz w:val="15"/>
              </w:rPr>
              <w:t>Primary visitor purpose</w:t>
            </w:r>
          </w:p>
        </w:tc>
      </w:tr>
      <w:tr>
        <w:tc>
          <w:tcPr>
            <w:tcW w:type="dxa" w:w="3331"/>
            <w:vAlign w:val="center"/>
          </w:tcPr>
          <w:p>
            <w:pPr>
              <w:spacing w:after="20"/>
            </w:pPr>
            <w:r/>
            <w:r>
              <w:rPr>
                <w:rFonts w:ascii="Aptos" w:hAnsi="Aptos"/>
                <w:b w:val="0"/>
                <w:sz w:val="15"/>
              </w:rPr>
              <w:t>Home</w:t>
            </w:r>
          </w:p>
        </w:tc>
        <w:tc>
          <w:tcPr>
            <w:tcW w:type="dxa" w:w="3331"/>
            <w:vAlign w:val="center"/>
          </w:tcPr>
          <w:p>
            <w:pPr>
              <w:spacing w:after="20"/>
            </w:pPr>
            <w:r/>
            <w:r>
              <w:rPr>
                <w:rFonts w:ascii="Aptos" w:hAnsi="Aptos"/>
                <w:b w:val="0"/>
                <w:sz w:val="15"/>
              </w:rPr>
              <w:t>Configurable homepage sections</w:t>
            </w:r>
          </w:p>
        </w:tc>
        <w:tc>
          <w:tcPr>
            <w:tcW w:type="dxa" w:w="3331"/>
            <w:vAlign w:val="center"/>
          </w:tcPr>
          <w:p>
            <w:pPr>
              <w:spacing w:after="20"/>
            </w:pPr>
            <w:r/>
            <w:r>
              <w:rPr>
                <w:rFonts w:ascii="Aptos" w:hAnsi="Aptos"/>
                <w:b w:val="0"/>
                <w:sz w:val="15"/>
              </w:rPr>
              <w:t>Understand identity quickly and select a next action.</w:t>
            </w:r>
          </w:p>
        </w:tc>
      </w:tr>
      <w:tr>
        <w:tc>
          <w:tcPr>
            <w:tcW w:type="dxa" w:w="3331"/>
            <w:vAlign w:val="center"/>
            <w:shd w:fill="F1F5F8"/>
          </w:tcPr>
          <w:p>
            <w:pPr>
              <w:spacing w:after="20"/>
            </w:pPr>
            <w:r/>
            <w:r>
              <w:rPr>
                <w:rFonts w:ascii="Aptos" w:hAnsi="Aptos"/>
                <w:b w:val="0"/>
                <w:sz w:val="15"/>
              </w:rPr>
              <w:t>About</w:t>
            </w:r>
          </w:p>
        </w:tc>
        <w:tc>
          <w:tcPr>
            <w:tcW w:type="dxa" w:w="3331"/>
            <w:vAlign w:val="center"/>
            <w:shd w:fill="F1F5F8"/>
          </w:tcPr>
          <w:p>
            <w:pPr>
              <w:spacing w:after="20"/>
            </w:pPr>
            <w:r/>
            <w:r>
              <w:rPr>
                <w:rFonts w:ascii="Aptos" w:hAnsi="Aptos"/>
                <w:b w:val="0"/>
                <w:sz w:val="15"/>
              </w:rPr>
              <w:t>Overview, history, mission, values, leadership, accreditation, partnerships</w:t>
            </w:r>
          </w:p>
        </w:tc>
        <w:tc>
          <w:tcPr>
            <w:tcW w:type="dxa" w:w="3331"/>
            <w:vAlign w:val="center"/>
            <w:shd w:fill="F1F5F8"/>
          </w:tcPr>
          <w:p>
            <w:pPr>
              <w:spacing w:after="20"/>
            </w:pPr>
            <w:r/>
            <w:r>
              <w:rPr>
                <w:rFonts w:ascii="Aptos" w:hAnsi="Aptos"/>
                <w:b w:val="0"/>
                <w:sz w:val="15"/>
              </w:rPr>
              <w:t>Assess institutional credibility and philosophy.</w:t>
            </w:r>
          </w:p>
        </w:tc>
      </w:tr>
      <w:tr>
        <w:tc>
          <w:tcPr>
            <w:tcW w:type="dxa" w:w="3331"/>
            <w:vAlign w:val="center"/>
          </w:tcPr>
          <w:p>
            <w:pPr>
              <w:spacing w:after="20"/>
            </w:pPr>
            <w:r/>
            <w:r>
              <w:rPr>
                <w:rFonts w:ascii="Aptos" w:hAnsi="Aptos"/>
                <w:b w:val="0"/>
                <w:sz w:val="15"/>
              </w:rPr>
              <w:t>Academics</w:t>
            </w:r>
          </w:p>
        </w:tc>
        <w:tc>
          <w:tcPr>
            <w:tcW w:type="dxa" w:w="3331"/>
            <w:vAlign w:val="center"/>
          </w:tcPr>
          <w:p>
            <w:pPr>
              <w:spacing w:after="20"/>
            </w:pPr>
            <w:r/>
            <w:r>
              <w:rPr>
                <w:rFonts w:ascii="Aptos" w:hAnsi="Aptos"/>
                <w:b w:val="0"/>
                <w:sz w:val="15"/>
              </w:rPr>
              <w:t>Academic approach, grades/levels, programmes, departments, courses, support</w:t>
            </w:r>
          </w:p>
        </w:tc>
        <w:tc>
          <w:tcPr>
            <w:tcW w:type="dxa" w:w="3331"/>
            <w:vAlign w:val="center"/>
          </w:tcPr>
          <w:p>
            <w:pPr>
              <w:spacing w:after="20"/>
            </w:pPr>
            <w:r/>
            <w:r>
              <w:rPr>
                <w:rFonts w:ascii="Aptos" w:hAnsi="Aptos"/>
                <w:b w:val="0"/>
                <w:sz w:val="15"/>
              </w:rPr>
              <w:t>Understand what and how learners study.</w:t>
            </w:r>
          </w:p>
        </w:tc>
      </w:tr>
      <w:tr>
        <w:tc>
          <w:tcPr>
            <w:tcW w:type="dxa" w:w="3331"/>
            <w:vAlign w:val="center"/>
            <w:shd w:fill="F1F5F8"/>
          </w:tcPr>
          <w:p>
            <w:pPr>
              <w:spacing w:after="20"/>
            </w:pPr>
            <w:r/>
            <w:r>
              <w:rPr>
                <w:rFonts w:ascii="Aptos" w:hAnsi="Aptos"/>
                <w:b w:val="0"/>
                <w:sz w:val="15"/>
              </w:rPr>
              <w:t>People</w:t>
            </w:r>
          </w:p>
        </w:tc>
        <w:tc>
          <w:tcPr>
            <w:tcW w:type="dxa" w:w="3331"/>
            <w:vAlign w:val="center"/>
            <w:shd w:fill="F1F5F8"/>
          </w:tcPr>
          <w:p>
            <w:pPr>
              <w:spacing w:after="20"/>
            </w:pPr>
            <w:r/>
            <w:r>
              <w:rPr>
                <w:rFonts w:ascii="Aptos" w:hAnsi="Aptos"/>
                <w:b w:val="0"/>
                <w:sz w:val="15"/>
              </w:rPr>
              <w:t>Leadership, faculty/staff directory, departments</w:t>
            </w:r>
          </w:p>
        </w:tc>
        <w:tc>
          <w:tcPr>
            <w:tcW w:type="dxa" w:w="3331"/>
            <w:vAlign w:val="center"/>
            <w:shd w:fill="F1F5F8"/>
          </w:tcPr>
          <w:p>
            <w:pPr>
              <w:spacing w:after="20"/>
            </w:pPr>
            <w:r/>
            <w:r>
              <w:rPr>
                <w:rFonts w:ascii="Aptos" w:hAnsi="Aptos"/>
                <w:b w:val="0"/>
                <w:sz w:val="15"/>
              </w:rPr>
              <w:t>Find people and understand expertise/support.</w:t>
            </w:r>
          </w:p>
        </w:tc>
      </w:tr>
      <w:tr>
        <w:tc>
          <w:tcPr>
            <w:tcW w:type="dxa" w:w="3331"/>
            <w:vAlign w:val="center"/>
          </w:tcPr>
          <w:p>
            <w:pPr>
              <w:spacing w:after="20"/>
            </w:pPr>
            <w:r/>
            <w:r>
              <w:rPr>
                <w:rFonts w:ascii="Aptos" w:hAnsi="Aptos"/>
                <w:b w:val="0"/>
                <w:sz w:val="15"/>
              </w:rPr>
              <w:t>Student life</w:t>
            </w:r>
          </w:p>
        </w:tc>
        <w:tc>
          <w:tcPr>
            <w:tcW w:type="dxa" w:w="3331"/>
            <w:vAlign w:val="center"/>
          </w:tcPr>
          <w:p>
            <w:pPr>
              <w:spacing w:after="20"/>
            </w:pPr>
            <w:r/>
            <w:r>
              <w:rPr>
                <w:rFonts w:ascii="Aptos" w:hAnsi="Aptos"/>
                <w:b w:val="0"/>
                <w:sz w:val="15"/>
              </w:rPr>
              <w:t>Clubs, sports, arts, wellbeing, residential life, community service</w:t>
            </w:r>
          </w:p>
        </w:tc>
        <w:tc>
          <w:tcPr>
            <w:tcW w:type="dxa" w:w="3331"/>
            <w:vAlign w:val="center"/>
          </w:tcPr>
          <w:p>
            <w:pPr>
              <w:spacing w:after="20"/>
            </w:pPr>
            <w:r/>
            <w:r>
              <w:rPr>
                <w:rFonts w:ascii="Aptos" w:hAnsi="Aptos"/>
                <w:b w:val="0"/>
                <w:sz w:val="15"/>
              </w:rPr>
              <w:t>Picture the student experience and sense of belonging.</w:t>
            </w:r>
          </w:p>
        </w:tc>
      </w:tr>
      <w:tr>
        <w:tc>
          <w:tcPr>
            <w:tcW w:type="dxa" w:w="3331"/>
            <w:vAlign w:val="center"/>
            <w:shd w:fill="F1F5F8"/>
          </w:tcPr>
          <w:p>
            <w:pPr>
              <w:spacing w:after="20"/>
            </w:pPr>
            <w:r/>
            <w:r>
              <w:rPr>
                <w:rFonts w:ascii="Aptos" w:hAnsi="Aptos"/>
                <w:b w:val="0"/>
                <w:sz w:val="15"/>
              </w:rPr>
              <w:t>Campus</w:t>
            </w:r>
          </w:p>
        </w:tc>
        <w:tc>
          <w:tcPr>
            <w:tcW w:type="dxa" w:w="3331"/>
            <w:vAlign w:val="center"/>
            <w:shd w:fill="F1F5F8"/>
          </w:tcPr>
          <w:p>
            <w:pPr>
              <w:spacing w:after="20"/>
            </w:pPr>
            <w:r/>
            <w:r>
              <w:rPr>
                <w:rFonts w:ascii="Aptos" w:hAnsi="Aptos"/>
                <w:b w:val="0"/>
                <w:sz w:val="15"/>
              </w:rPr>
              <w:t>Facilities, library, laboratories, dining, dormitories, safety, optional map</w:t>
            </w:r>
          </w:p>
        </w:tc>
        <w:tc>
          <w:tcPr>
            <w:tcW w:type="dxa" w:w="3331"/>
            <w:vAlign w:val="center"/>
            <w:shd w:fill="F1F5F8"/>
          </w:tcPr>
          <w:p>
            <w:pPr>
              <w:spacing w:after="20"/>
            </w:pPr>
            <w:r/>
            <w:r>
              <w:rPr>
                <w:rFonts w:ascii="Aptos" w:hAnsi="Aptos"/>
                <w:b w:val="0"/>
                <w:sz w:val="15"/>
              </w:rPr>
              <w:t>Understand learning environment and facilities.</w:t>
            </w:r>
          </w:p>
        </w:tc>
      </w:tr>
      <w:tr>
        <w:tc>
          <w:tcPr>
            <w:tcW w:type="dxa" w:w="3331"/>
            <w:vAlign w:val="center"/>
          </w:tcPr>
          <w:p>
            <w:pPr>
              <w:spacing w:after="20"/>
            </w:pPr>
            <w:r/>
            <w:r>
              <w:rPr>
                <w:rFonts w:ascii="Aptos" w:hAnsi="Aptos"/>
                <w:b w:val="0"/>
                <w:sz w:val="15"/>
              </w:rPr>
              <w:t>Admissions</w:t>
            </w:r>
          </w:p>
        </w:tc>
        <w:tc>
          <w:tcPr>
            <w:tcW w:type="dxa" w:w="3331"/>
            <w:vAlign w:val="center"/>
          </w:tcPr>
          <w:p>
            <w:pPr>
              <w:spacing w:after="20"/>
            </w:pPr>
            <w:r/>
            <w:r>
              <w:rPr>
                <w:rFonts w:ascii="Aptos" w:hAnsi="Aptos"/>
                <w:b w:val="0"/>
                <w:sz w:val="15"/>
              </w:rPr>
              <w:t>Steps, requirements, dates, tuition, aid, FAQs, visits, enquiry, apply</w:t>
            </w:r>
          </w:p>
        </w:tc>
        <w:tc>
          <w:tcPr>
            <w:tcW w:type="dxa" w:w="3331"/>
            <w:vAlign w:val="center"/>
          </w:tcPr>
          <w:p>
            <w:pPr>
              <w:spacing w:after="20"/>
            </w:pPr>
            <w:r/>
            <w:r>
              <w:rPr>
                <w:rFonts w:ascii="Aptos" w:hAnsi="Aptos"/>
                <w:b w:val="0"/>
                <w:sz w:val="15"/>
              </w:rPr>
              <w:t>Complete a guided admissions journey.</w:t>
            </w:r>
          </w:p>
        </w:tc>
      </w:tr>
      <w:tr>
        <w:tc>
          <w:tcPr>
            <w:tcW w:type="dxa" w:w="3331"/>
            <w:vAlign w:val="center"/>
            <w:shd w:fill="F1F5F8"/>
          </w:tcPr>
          <w:p>
            <w:pPr>
              <w:spacing w:after="20"/>
            </w:pPr>
            <w:r/>
            <w:r>
              <w:rPr>
                <w:rFonts w:ascii="Aptos" w:hAnsi="Aptos"/>
                <w:b w:val="0"/>
                <w:sz w:val="15"/>
              </w:rPr>
              <w:t>News and announcements</w:t>
            </w:r>
          </w:p>
        </w:tc>
        <w:tc>
          <w:tcPr>
            <w:tcW w:type="dxa" w:w="3331"/>
            <w:vAlign w:val="center"/>
            <w:shd w:fill="F1F5F8"/>
          </w:tcPr>
          <w:p>
            <w:pPr>
              <w:spacing w:after="20"/>
            </w:pPr>
            <w:r/>
            <w:r>
              <w:rPr>
                <w:rFonts w:ascii="Aptos" w:hAnsi="Aptos"/>
                <w:b w:val="0"/>
                <w:sz w:val="15"/>
              </w:rPr>
              <w:t>Stories separated from operational notices</w:t>
            </w:r>
          </w:p>
        </w:tc>
        <w:tc>
          <w:tcPr>
            <w:tcW w:type="dxa" w:w="3331"/>
            <w:vAlign w:val="center"/>
            <w:shd w:fill="F1F5F8"/>
          </w:tcPr>
          <w:p>
            <w:pPr>
              <w:spacing w:after="20"/>
            </w:pPr>
            <w:r/>
            <w:r>
              <w:rPr>
                <w:rFonts w:ascii="Aptos" w:hAnsi="Aptos"/>
                <w:b w:val="0"/>
                <w:sz w:val="15"/>
              </w:rPr>
              <w:t>Read achievements and find current operational information.</w:t>
            </w:r>
          </w:p>
        </w:tc>
      </w:tr>
      <w:tr>
        <w:tc>
          <w:tcPr>
            <w:tcW w:type="dxa" w:w="3331"/>
            <w:vAlign w:val="center"/>
          </w:tcPr>
          <w:p>
            <w:pPr>
              <w:spacing w:after="20"/>
            </w:pPr>
            <w:r/>
            <w:r>
              <w:rPr>
                <w:rFonts w:ascii="Aptos" w:hAnsi="Aptos"/>
                <w:b w:val="0"/>
                <w:sz w:val="15"/>
              </w:rPr>
              <w:t>Events</w:t>
            </w:r>
          </w:p>
        </w:tc>
        <w:tc>
          <w:tcPr>
            <w:tcW w:type="dxa" w:w="3331"/>
            <w:vAlign w:val="center"/>
          </w:tcPr>
          <w:p>
            <w:pPr>
              <w:spacing w:after="20"/>
            </w:pPr>
            <w:r/>
            <w:r>
              <w:rPr>
                <w:rFonts w:ascii="Aptos" w:hAnsi="Aptos"/>
                <w:b w:val="0"/>
                <w:sz w:val="15"/>
              </w:rPr>
              <w:t>Calendar/list, event details, registration if enabled</w:t>
            </w:r>
          </w:p>
        </w:tc>
        <w:tc>
          <w:tcPr>
            <w:tcW w:type="dxa" w:w="3331"/>
            <w:vAlign w:val="center"/>
          </w:tcPr>
          <w:p>
            <w:pPr>
              <w:spacing w:after="20"/>
            </w:pPr>
            <w:r/>
            <w:r>
              <w:rPr>
                <w:rFonts w:ascii="Aptos" w:hAnsi="Aptos"/>
                <w:b w:val="0"/>
                <w:sz w:val="15"/>
              </w:rPr>
              <w:t>Find dates, register or plan attendance.</w:t>
            </w:r>
          </w:p>
        </w:tc>
      </w:tr>
      <w:tr>
        <w:tc>
          <w:tcPr>
            <w:tcW w:type="dxa" w:w="3331"/>
            <w:vAlign w:val="center"/>
            <w:shd w:fill="F1F5F8"/>
          </w:tcPr>
          <w:p>
            <w:pPr>
              <w:spacing w:after="20"/>
            </w:pPr>
            <w:r/>
            <w:r>
              <w:rPr>
                <w:rFonts w:ascii="Aptos" w:hAnsi="Aptos"/>
                <w:b w:val="0"/>
                <w:sz w:val="15"/>
              </w:rPr>
              <w:t>Resources</w:t>
            </w:r>
          </w:p>
        </w:tc>
        <w:tc>
          <w:tcPr>
            <w:tcW w:type="dxa" w:w="3331"/>
            <w:vAlign w:val="center"/>
            <w:shd w:fill="F1F5F8"/>
          </w:tcPr>
          <w:p>
            <w:pPr>
              <w:spacing w:after="20"/>
            </w:pPr>
            <w:r/>
            <w:r>
              <w:rPr>
                <w:rFonts w:ascii="Aptos" w:hAnsi="Aptos"/>
                <w:b w:val="0"/>
                <w:sz w:val="15"/>
              </w:rPr>
              <w:t>Documents, prospectus, policies, FAQs</w:t>
            </w:r>
          </w:p>
        </w:tc>
        <w:tc>
          <w:tcPr>
            <w:tcW w:type="dxa" w:w="3331"/>
            <w:vAlign w:val="center"/>
            <w:shd w:fill="F1F5F8"/>
          </w:tcPr>
          <w:p>
            <w:pPr>
              <w:spacing w:after="20"/>
            </w:pPr>
            <w:r/>
            <w:r>
              <w:rPr>
                <w:rFonts w:ascii="Aptos" w:hAnsi="Aptos"/>
                <w:b w:val="0"/>
                <w:sz w:val="15"/>
              </w:rPr>
              <w:t>Find official information and downloadable resources.</w:t>
            </w:r>
          </w:p>
        </w:tc>
      </w:tr>
      <w:tr>
        <w:tc>
          <w:tcPr>
            <w:tcW w:type="dxa" w:w="3331"/>
            <w:vAlign w:val="center"/>
          </w:tcPr>
          <w:p>
            <w:pPr>
              <w:spacing w:after="20"/>
            </w:pPr>
            <w:r/>
            <w:r>
              <w:rPr>
                <w:rFonts w:ascii="Aptos" w:hAnsi="Aptos"/>
                <w:b w:val="0"/>
                <w:sz w:val="15"/>
              </w:rPr>
              <w:t>Contact</w:t>
            </w:r>
          </w:p>
        </w:tc>
        <w:tc>
          <w:tcPr>
            <w:tcW w:type="dxa" w:w="3331"/>
            <w:vAlign w:val="center"/>
          </w:tcPr>
          <w:p>
            <w:pPr>
              <w:spacing w:after="20"/>
            </w:pPr>
            <w:r/>
            <w:r>
              <w:rPr>
                <w:rFonts w:ascii="Aptos" w:hAnsi="Aptos"/>
                <w:b w:val="0"/>
                <w:sz w:val="15"/>
              </w:rPr>
              <w:t>General and department-specific contact, map/address, enquiry form</w:t>
            </w:r>
          </w:p>
        </w:tc>
        <w:tc>
          <w:tcPr>
            <w:tcW w:type="dxa" w:w="3331"/>
            <w:vAlign w:val="center"/>
          </w:tcPr>
          <w:p>
            <w:pPr>
              <w:spacing w:after="20"/>
            </w:pPr>
            <w:r/>
            <w:r>
              <w:rPr>
                <w:rFonts w:ascii="Aptos" w:hAnsi="Aptos"/>
                <w:b w:val="0"/>
                <w:sz w:val="15"/>
              </w:rPr>
              <w:t>Reach the correct office.</w:t>
            </w:r>
          </w:p>
        </w:tc>
      </w:tr>
      <w:tr>
        <w:tc>
          <w:tcPr>
            <w:tcW w:type="dxa" w:w="3331"/>
            <w:vAlign w:val="center"/>
            <w:shd w:fill="F1F5F8"/>
          </w:tcPr>
          <w:p>
            <w:pPr>
              <w:spacing w:after="20"/>
            </w:pPr>
            <w:r/>
            <w:r>
              <w:rPr>
                <w:rFonts w:ascii="Aptos" w:hAnsi="Aptos"/>
                <w:b w:val="0"/>
                <w:sz w:val="15"/>
              </w:rPr>
              <w:t>Portal entry</w:t>
            </w:r>
          </w:p>
        </w:tc>
        <w:tc>
          <w:tcPr>
            <w:tcW w:type="dxa" w:w="3331"/>
            <w:vAlign w:val="center"/>
            <w:shd w:fill="F1F5F8"/>
          </w:tcPr>
          <w:p>
            <w:pPr>
              <w:spacing w:after="20"/>
            </w:pPr>
            <w:r/>
            <w:r>
              <w:rPr>
                <w:rFonts w:ascii="Aptos" w:hAnsi="Aptos"/>
                <w:b w:val="0"/>
                <w:sz w:val="15"/>
              </w:rPr>
              <w:t>Sign-in links only where the portal module is enabled</w:t>
            </w:r>
          </w:p>
        </w:tc>
        <w:tc>
          <w:tcPr>
            <w:tcW w:type="dxa" w:w="3331"/>
            <w:vAlign w:val="center"/>
            <w:shd w:fill="F1F5F8"/>
          </w:tcPr>
          <w:p>
            <w:pPr>
              <w:spacing w:after="20"/>
            </w:pPr>
            <w:r/>
            <w:r>
              <w:rPr>
                <w:rFonts w:ascii="Aptos" w:hAnsi="Aptos"/>
                <w:b w:val="0"/>
                <w:sz w:val="15"/>
              </w:rPr>
              <w:t>Access authenticated family/applicant tools.</w:t>
            </w:r>
          </w:p>
        </w:tc>
      </w:tr>
    </w:tbl>
    <w:p>
      <w:pPr>
        <w:spacing w:after="0"/>
      </w:pPr>
    </w:p>
    <w:p>
      <w:pPr>
        <w:pStyle w:val="Heading2"/>
      </w:pPr>
      <w:r>
        <w:t>5.2 Homepage composition</w:t>
      </w:r>
    </w:p>
    <w:p>
      <w:r>
        <w:t>The homepage is configurable, not hard-coded. Recommended default sequence: emergency/announcement strip when active; global navigation; hero with concise value proposition and primary CTA; key differentiators; programme/academic highlights; student experience; facilities/campus; stories/news; upcoming events; outcomes/testimonials where approved; admissions CTA; contact/location; footer. Editors can reorder, enable/disable and configure supported sections without breaking semantic structure.</w:t>
      </w:r>
    </w:p>
    <w:p>
      <w:pPr>
        <w:pStyle w:val="Heading2"/>
      </w:pPr>
      <w:r>
        <w:t>5.3 Guided journeys</w:t>
      </w:r>
    </w:p>
    <w:p>
      <w:pPr>
        <w:pStyle w:val="ListNumber"/>
      </w:pPr>
      <w:r>
        <w:t>Visitor journey: Home → Explore academics/student life → Programme detail → Admissions requirements and dates → Enquiry/visit/application.</w:t>
      </w:r>
    </w:p>
    <w:p>
      <w:pPr>
        <w:pStyle w:val="ListNumber"/>
      </w:pPr>
      <w:r>
        <w:t>Parent journey: Choose learner level/programme → Review requirements and tuition/aid → See key dates → Ask a question or start application.</w:t>
      </w:r>
    </w:p>
    <w:p>
      <w:pPr>
        <w:pStyle w:val="ListNumber"/>
      </w:pPr>
      <w:r>
        <w:t>Applicant journey: Register → Start draft → Complete sections → Upload required documents → Review → Submit → Track status and requests.</w:t>
      </w:r>
    </w:p>
    <w:p>
      <w:pPr>
        <w:pStyle w:val="ListNumber"/>
      </w:pPr>
      <w:r>
        <w:t>Editor journey: Draft content → Preview → Review/approval if configured → Publish/schedule → Monitor and update/archive.</w:t>
      </w:r>
    </w:p>
    <w:p>
      <w:pPr>
        <w:pStyle w:val="Heading1"/>
      </w:pPr>
      <w:r>
        <w:t>6. Functional Requirements</w:t>
      </w:r>
    </w:p>
    <w:p>
      <w:r>
        <w:t>The following requirements are baseline product requirements. Tenant-specific configuration may disable optional modules, but must not weaken security or expose unsupported routes.</w:t>
      </w:r>
    </w:p>
    <w:p>
      <w:pPr>
        <w:pStyle w:val="Heading2"/>
      </w:pPr>
      <w:r>
        <w:t>6.1 Identity, authentication and access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FR-AUTH-001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authenticate authorized institutional users before exposing protected administration functions.</w:t>
            </w:r>
          </w:p>
        </w:tc>
        <w:tc>
          <w:tcPr>
            <w:tcW w:type="dxa" w:w="2498"/>
            <w:vAlign w:val="center"/>
          </w:tcPr>
          <w:p>
            <w:pPr>
              <w:spacing w:after="20"/>
            </w:pPr>
            <w:r/>
            <w:r>
              <w:rPr>
                <w:rFonts w:ascii="Aptos" w:hAnsi="Aptos"/>
                <w:b w:val="0"/>
                <w:sz w:val="14"/>
              </w:rPr>
              <w:t>Unauthenticated requests to protected routes are rejected; sign-in and sign-out are testable.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FR-AUTH-002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support secure password reset and email verification where email login is used.</w:t>
            </w:r>
          </w:p>
        </w:tc>
        <w:tc>
          <w:tcPr>
            <w:tcW w:type="dxa" w:w="2498"/>
            <w:vAlign w:val="center"/>
          </w:tcPr>
          <w:p>
            <w:pPr>
              <w:spacing w:after="20"/>
            </w:pPr>
            <w:r/>
            <w:r>
              <w:rPr>
                <w:rFonts w:ascii="Aptos" w:hAnsi="Aptos"/>
                <w:b w:val="0"/>
                <w:sz w:val="14"/>
              </w:rPr>
              <w:t>Reset tokens expire, are single-use and do not disclose whether an account exists.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FR-AUTH-003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enforce tenant-scoped RBAC on every protected API operation.</w:t>
            </w:r>
          </w:p>
        </w:tc>
        <w:tc>
          <w:tcPr>
            <w:tcW w:type="dxa" w:w="2498"/>
            <w:vAlign w:val="center"/>
          </w:tcPr>
          <w:p>
            <w:pPr>
              <w:spacing w:after="20"/>
            </w:pPr>
            <w:r/>
            <w:r>
              <w:rPr>
                <w:rFonts w:ascii="Aptos" w:hAnsi="Aptos"/>
                <w:b w:val="0"/>
                <w:sz w:val="14"/>
              </w:rPr>
              <w:t>Negative tests confirm a user cannot read or modify another tenant’s records.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FR-AUTH-004</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support user invitation, role assignment, deactivation and session invalidation.</w:t>
            </w:r>
          </w:p>
        </w:tc>
        <w:tc>
          <w:tcPr>
            <w:tcW w:type="dxa" w:w="2498"/>
            <w:vAlign w:val="center"/>
          </w:tcPr>
          <w:p>
            <w:pPr>
              <w:spacing w:after="20"/>
            </w:pPr>
            <w:r/>
            <w:r>
              <w:rPr>
                <w:rFonts w:ascii="Aptos" w:hAnsi="Aptos"/>
                <w:b w:val="0"/>
                <w:sz w:val="14"/>
              </w:rPr>
              <w:t>Deactivated users cannot start new sessions; existing sessions are invalidated within the documented policy.</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FR-AUTH-005</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The system should support MFA for platform administrators and privileged tenant roles.</w:t>
            </w:r>
          </w:p>
        </w:tc>
        <w:tc>
          <w:tcPr>
            <w:tcW w:type="dxa" w:w="2498"/>
            <w:vAlign w:val="center"/>
          </w:tcPr>
          <w:p>
            <w:pPr>
              <w:spacing w:after="20"/>
            </w:pPr>
            <w:r/>
            <w:r>
              <w:rPr>
                <w:rFonts w:ascii="Aptos" w:hAnsi="Aptos"/>
                <w:b w:val="0"/>
                <w:sz w:val="14"/>
              </w:rPr>
              <w:t>MFA can be enabled and recovery procedures are documented.</w:t>
            </w:r>
          </w:p>
        </w:tc>
      </w:tr>
    </w:tbl>
    <w:p>
      <w:pPr>
        <w:spacing w:after="0"/>
      </w:pPr>
    </w:p>
    <w:p>
      <w:pPr>
        <w:pStyle w:val="Heading2"/>
      </w:pPr>
      <w:r>
        <w:t>6.2 Tenant profile and branding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FR-TEN-001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Each tenant shall have a profile containing institution name, institution type, contact details, address, timezone, default language and operational status.</w:t>
            </w:r>
          </w:p>
        </w:tc>
        <w:tc>
          <w:tcPr>
            <w:tcW w:type="dxa" w:w="2498"/>
            <w:vAlign w:val="center"/>
          </w:tcPr>
          <w:p>
            <w:pPr>
              <w:spacing w:after="20"/>
            </w:pPr>
            <w:r/>
            <w:r>
              <w:rPr>
                <w:rFonts w:ascii="Aptos" w:hAnsi="Aptos"/>
                <w:b w:val="0"/>
                <w:sz w:val="14"/>
              </w:rPr>
              <w:t>Tenant profile data is editable by authorized tenant roles and is not shared across tenants.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FR-TEN-002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Each tenant shall configure logo, favicon, accent colours, typography tokens, social links, navigation and homepage sections within supported design constraints.</w:t>
            </w:r>
          </w:p>
        </w:tc>
        <w:tc>
          <w:tcPr>
            <w:tcW w:type="dxa" w:w="2498"/>
            <w:vAlign w:val="center"/>
          </w:tcPr>
          <w:p>
            <w:pPr>
              <w:spacing w:after="20"/>
            </w:pPr>
            <w:r/>
            <w:r>
              <w:rPr>
                <w:rFonts w:ascii="Aptos" w:hAnsi="Aptos"/>
                <w:b w:val="0"/>
                <w:sz w:val="14"/>
              </w:rPr>
              <w:t>A configuration change affects only the selected tenant and does not break responsive or accessibility requirements.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FR-TEN-003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resolve a request to the correct tenant using an approved domain/subdomain mapping.</w:t>
            </w:r>
          </w:p>
        </w:tc>
        <w:tc>
          <w:tcPr>
            <w:tcW w:type="dxa" w:w="2498"/>
            <w:vAlign w:val="center"/>
          </w:tcPr>
          <w:p>
            <w:pPr>
              <w:spacing w:after="20"/>
            </w:pPr>
            <w:r/>
            <w:r>
              <w:rPr>
                <w:rFonts w:ascii="Aptos" w:hAnsi="Aptos"/>
                <w:b w:val="0"/>
                <w:sz w:val="14"/>
              </w:rPr>
              <w:t>Unknown domains do not reveal tenant data; domain conflicts are rejected.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FR-TEN-004</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Tenant administrators should be able to enable or disable optional modules from an approved list.</w:t>
            </w:r>
          </w:p>
        </w:tc>
        <w:tc>
          <w:tcPr>
            <w:tcW w:type="dxa" w:w="2498"/>
            <w:vAlign w:val="center"/>
          </w:tcPr>
          <w:p>
            <w:pPr>
              <w:spacing w:after="20"/>
            </w:pPr>
            <w:r/>
            <w:r>
              <w:rPr>
                <w:rFonts w:ascii="Aptos" w:hAnsi="Aptos"/>
                <w:b w:val="0"/>
                <w:sz w:val="14"/>
              </w:rPr>
              <w:t>Disabled modules are absent from navigation and their APIs enforce disabled-state policy.</w:t>
            </w:r>
          </w:p>
        </w:tc>
      </w:tr>
    </w:tbl>
    <w:p>
      <w:pPr>
        <w:spacing w:after="0"/>
      </w:pPr>
    </w:p>
    <w:p>
      <w:pPr>
        <w:pStyle w:val="Heading2"/>
      </w:pPr>
      <w:r>
        <w:t>6.3 Public content and CMS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Authorized editors shall create, edit, preview, publish, schedule and archive pages using supported reusable sections.</w:t>
            </w:r>
          </w:p>
        </w:tc>
        <w:tc>
          <w:tcPr>
            <w:tcW w:type="dxa" w:w="2498"/>
            <w:vAlign w:val="center"/>
          </w:tcPr>
          <w:p>
            <w:pPr>
              <w:spacing w:after="20"/>
            </w:pPr>
            <w:r/>
            <w:r>
              <w:rPr>
                <w:rFonts w:ascii="Aptos" w:hAnsi="Aptos"/>
                <w:b w:val="0"/>
                <w:sz w:val="14"/>
              </w:rPr>
              <w:t>A page can be previewed before publication; published output reflects saved content and metadata.</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CMS shall support structured content for programmes, departments, courses/subjects, grade levels, staff, news, announcements, events, galleries, FAQs and documents.</w:t>
            </w:r>
          </w:p>
        </w:tc>
        <w:tc>
          <w:tcPr>
            <w:tcW w:type="dxa" w:w="2498"/>
            <w:vAlign w:val="center"/>
          </w:tcPr>
          <w:p>
            <w:pPr>
              <w:spacing w:after="20"/>
            </w:pPr>
            <w:r/>
            <w:r>
              <w:rPr>
                <w:rFonts w:ascii="Aptos" w:hAnsi="Aptos"/>
                <w:b w:val="0"/>
                <w:sz w:val="14"/>
              </w:rPr>
              <w:t>Each content type has validated fields, status, tenant ownership and public rendering rules.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CMS shall provide drafts and a published state; approval stages shall be configurable by content type or tenant.</w:t>
            </w:r>
          </w:p>
        </w:tc>
        <w:tc>
          <w:tcPr>
            <w:tcW w:type="dxa" w:w="2498"/>
            <w:vAlign w:val="center"/>
          </w:tcPr>
          <w:p>
            <w:pPr>
              <w:spacing w:after="20"/>
            </w:pPr>
            <w:r/>
            <w:r>
              <w:rPr>
                <w:rFonts w:ascii="Aptos" w:hAnsi="Aptos"/>
                <w:b w:val="0"/>
                <w:sz w:val="14"/>
              </w:rPr>
              <w:t>Only authorized users can publish; draft/unapproved content is not publicly indexed or served.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FR-CMS-004</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support reusable records and references so the same event, staff profile or programme can appear in multiple website locations without duplicate records.</w:t>
            </w:r>
          </w:p>
        </w:tc>
        <w:tc>
          <w:tcPr>
            <w:tcW w:type="dxa" w:w="2498"/>
            <w:vAlign w:val="center"/>
          </w:tcPr>
          <w:p>
            <w:pPr>
              <w:spacing w:after="20"/>
            </w:pPr>
            <w:r/>
            <w:r>
              <w:rPr>
                <w:rFonts w:ascii="Aptos" w:hAnsi="Aptos"/>
                <w:b w:val="0"/>
                <w:sz w:val="14"/>
              </w:rPr>
              <w:t>Editing a shared record updates all placements that reference it.</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FR-CMS-005</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The CMS should maintain revision history for important content and allow authorized restoration.</w:t>
            </w:r>
          </w:p>
        </w:tc>
        <w:tc>
          <w:tcPr>
            <w:tcW w:type="dxa" w:w="2498"/>
            <w:vAlign w:val="center"/>
          </w:tcPr>
          <w:p>
            <w:pPr>
              <w:spacing w:after="20"/>
            </w:pPr>
            <w:r/>
            <w:r>
              <w:rPr>
                <w:rFonts w:ascii="Aptos" w:hAnsi="Aptos"/>
                <w:b w:val="0"/>
                <w:sz w:val="14"/>
              </w:rPr>
              <w:t>A previous revision can be inspected and restored with an audit event.</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FR-CMS-006</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Published content shall support a stable URL slug, publication status, publish date and optional expiry/archive date.</w:t>
            </w:r>
          </w:p>
        </w:tc>
        <w:tc>
          <w:tcPr>
            <w:tcW w:type="dxa" w:w="2498"/>
            <w:vAlign w:val="center"/>
          </w:tcPr>
          <w:p>
            <w:pPr>
              <w:spacing w:after="20"/>
            </w:pPr>
            <w:r/>
            <w:r>
              <w:rPr>
                <w:rFonts w:ascii="Aptos" w:hAnsi="Aptos"/>
                <w:b w:val="0"/>
                <w:sz w:val="14"/>
              </w:rPr>
              <w:t>Archived/expired content follows tenant search and routing policy; unpublished pages are not public.</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FR-CMS-007</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distinguish editorial news from operational announcements.</w:t>
            </w:r>
          </w:p>
        </w:tc>
        <w:tc>
          <w:tcPr>
            <w:tcW w:type="dxa" w:w="2498"/>
            <w:vAlign w:val="center"/>
          </w:tcPr>
          <w:p>
            <w:pPr>
              <w:spacing w:after="20"/>
            </w:pPr>
            <w:r/>
            <w:r>
              <w:rPr>
                <w:rFonts w:ascii="Aptos" w:hAnsi="Aptos"/>
                <w:b w:val="0"/>
                <w:sz w:val="14"/>
              </w:rPr>
              <w:t>Content forms, display labels and default expiry/priority behaviour differ by type.</w:t>
            </w:r>
          </w:p>
        </w:tc>
      </w:tr>
    </w:tbl>
    <w:p>
      <w:pPr>
        <w:spacing w:after="0"/>
      </w:pPr>
    </w:p>
    <w:p>
      <w:pPr>
        <w:pStyle w:val="Heading2"/>
      </w:pPr>
      <w:r>
        <w:t>6.4 Academic structure and people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FR-ACAD-001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support institution-specific academic structures without requiring every tenant to use grades, faculties, departments or courses in the same hierarchy.</w:t>
            </w:r>
          </w:p>
        </w:tc>
        <w:tc>
          <w:tcPr>
            <w:tcW w:type="dxa" w:w="2498"/>
            <w:vAlign w:val="center"/>
          </w:tcPr>
          <w:p>
            <w:pPr>
              <w:spacing w:after="20"/>
            </w:pPr>
            <w:r/>
            <w:r>
              <w:rPr>
                <w:rFonts w:ascii="Aptos" w:hAnsi="Aptos"/>
                <w:b w:val="0"/>
                <w:sz w:val="14"/>
              </w:rPr>
              <w:t>A kindergarten tenant can publish levels/activities without creating college faculties; a college can publish faculties/programmes.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FR-ACAD-002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Programme records shall support title, summary, description, level, duration, entry requirements, related department, tuition display where approved, media, status and SEO metadata.</w:t>
            </w:r>
          </w:p>
        </w:tc>
        <w:tc>
          <w:tcPr>
            <w:tcW w:type="dxa" w:w="2498"/>
            <w:vAlign w:val="center"/>
          </w:tcPr>
          <w:p>
            <w:pPr>
              <w:spacing w:after="20"/>
            </w:pPr>
            <w:r/>
            <w:r>
              <w:rPr>
                <w:rFonts w:ascii="Aptos" w:hAnsi="Aptos"/>
                <w:b w:val="0"/>
                <w:sz w:val="14"/>
              </w:rPr>
              <w:t>Required fields are validated; only published active programmes appear in public listings.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FR-ACAD-003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Staff profiles shall support name, role, biography, department, image/alt text and approved public contact details.</w:t>
            </w:r>
          </w:p>
        </w:tc>
        <w:tc>
          <w:tcPr>
            <w:tcW w:type="dxa" w:w="2498"/>
            <w:vAlign w:val="center"/>
          </w:tcPr>
          <w:p>
            <w:pPr>
              <w:spacing w:after="20"/>
            </w:pPr>
            <w:r/>
            <w:r>
              <w:rPr>
                <w:rFonts w:ascii="Aptos" w:hAnsi="Aptos"/>
                <w:b w:val="0"/>
                <w:sz w:val="14"/>
              </w:rPr>
              <w:t>Search/filter works on enabled fields and private contact details are not exposed.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FR-ACAD-004</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The public directory should support search and filtering by department, role or subject where applicable.</w:t>
            </w:r>
          </w:p>
        </w:tc>
        <w:tc>
          <w:tcPr>
            <w:tcW w:type="dxa" w:w="2498"/>
            <w:vAlign w:val="center"/>
          </w:tcPr>
          <w:p>
            <w:pPr>
              <w:spacing w:after="20"/>
            </w:pPr>
            <w:r/>
            <w:r>
              <w:rPr>
                <w:rFonts w:ascii="Aptos" w:hAnsi="Aptos"/>
                <w:b w:val="0"/>
                <w:sz w:val="14"/>
              </w:rPr>
              <w:t>Filters return tenant-scoped published records and provide an accessible empty state.</w:t>
            </w:r>
          </w:p>
        </w:tc>
      </w:tr>
    </w:tbl>
    <w:p>
      <w:pPr>
        <w:spacing w:after="0"/>
      </w:pPr>
    </w:p>
    <w:p>
      <w:pPr>
        <w:pStyle w:val="Heading2"/>
      </w:pPr>
      <w:r>
        <w:t>6.5 Media and documents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FR-MEDIA-001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Authorized users shall upload supported images, videos, PDFs and documents to a tenant-aware media library.</w:t>
            </w:r>
          </w:p>
        </w:tc>
        <w:tc>
          <w:tcPr>
            <w:tcW w:type="dxa" w:w="2498"/>
            <w:vAlign w:val="center"/>
          </w:tcPr>
          <w:p>
            <w:pPr>
              <w:spacing w:after="20"/>
            </w:pPr>
            <w:r/>
            <w:r>
              <w:rPr>
                <w:rFonts w:ascii="Aptos" w:hAnsi="Aptos"/>
                <w:b w:val="0"/>
                <w:sz w:val="14"/>
              </w:rPr>
              <w:t>Type, size and content validation run server-side; invalid files are rejected with actionable errors.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FR-MEDIA-002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Media records shall support title, alternative text where relevant, caption, category, file type, size and ownership/tenant metadata.</w:t>
            </w:r>
          </w:p>
        </w:tc>
        <w:tc>
          <w:tcPr>
            <w:tcW w:type="dxa" w:w="2498"/>
            <w:vAlign w:val="center"/>
          </w:tcPr>
          <w:p>
            <w:pPr>
              <w:spacing w:after="20"/>
            </w:pPr>
            <w:r/>
            <w:r>
              <w:rPr>
                <w:rFonts w:ascii="Aptos" w:hAnsi="Aptos"/>
                <w:b w:val="0"/>
                <w:sz w:val="14"/>
              </w:rPr>
              <w:t>Required accessibility metadata is prompted for meaningful images; decorative-image handling is available.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FR-MEDIA-003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Private application documents shall use access-controlled storage and must not be exposed through public URLs.</w:t>
            </w:r>
          </w:p>
        </w:tc>
        <w:tc>
          <w:tcPr>
            <w:tcW w:type="dxa" w:w="2498"/>
            <w:vAlign w:val="center"/>
          </w:tcPr>
          <w:p>
            <w:pPr>
              <w:spacing w:after="20"/>
            </w:pPr>
            <w:r/>
            <w:r>
              <w:rPr>
                <w:rFonts w:ascii="Aptos" w:hAnsi="Aptos"/>
                <w:b w:val="0"/>
                <w:sz w:val="14"/>
              </w:rPr>
              <w:t>Anonymous and cross-tenant requests cannot retrieve private files; access is authorized server-side.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FR-MEDIA-004</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The system should generate optimized responsive image variants and lazy-load non-critical media.</w:t>
            </w:r>
          </w:p>
        </w:tc>
        <w:tc>
          <w:tcPr>
            <w:tcW w:type="dxa" w:w="2498"/>
            <w:vAlign w:val="center"/>
          </w:tcPr>
          <w:p>
            <w:pPr>
              <w:spacing w:after="20"/>
            </w:pPr>
            <w:r/>
            <w:r>
              <w:rPr>
                <w:rFonts w:ascii="Aptos" w:hAnsi="Aptos"/>
                <w:b w:val="0"/>
                <w:sz w:val="14"/>
              </w:rPr>
              <w:t>Representative pages deliver appropriate image sizes without layout shifts.</w:t>
            </w:r>
          </w:p>
        </w:tc>
      </w:tr>
    </w:tbl>
    <w:p>
      <w:pPr>
        <w:spacing w:after="0"/>
      </w:pPr>
    </w:p>
    <w:p>
      <w:pPr>
        <w:pStyle w:val="Heading2"/>
      </w:pPr>
      <w:r>
        <w:t>6.6 News, announcements, events, search and contact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FR-COM-001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News shall support long-form story fields, author/source attribution where needed, publication date, feature image, tags and related content.</w:t>
            </w:r>
          </w:p>
        </w:tc>
        <w:tc>
          <w:tcPr>
            <w:tcW w:type="dxa" w:w="2498"/>
            <w:vAlign w:val="center"/>
          </w:tcPr>
          <w:p>
            <w:pPr>
              <w:spacing w:after="20"/>
            </w:pPr>
            <w:r/>
            <w:r>
              <w:rPr>
                <w:rFonts w:ascii="Aptos" w:hAnsi="Aptos"/>
                <w:b w:val="0"/>
                <w:sz w:val="14"/>
              </w:rPr>
              <w:t>News pages provide readable article layout, metadata and archive navigation.</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FR-COM-002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Announcements shall support priority, start/end display window, audience label where applicable and optional pinned/emergency presentation.</w:t>
            </w:r>
          </w:p>
        </w:tc>
        <w:tc>
          <w:tcPr>
            <w:tcW w:type="dxa" w:w="2498"/>
            <w:vAlign w:val="center"/>
          </w:tcPr>
          <w:p>
            <w:pPr>
              <w:spacing w:after="20"/>
            </w:pPr>
            <w:r/>
            <w:r>
              <w:rPr>
                <w:rFonts w:ascii="Aptos" w:hAnsi="Aptos"/>
                <w:b w:val="0"/>
                <w:sz w:val="14"/>
              </w:rPr>
              <w:t>Expired notices stop appearing in active announcement placements according to configuration.</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FR-EVT-001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Events shall support title, description, start/end date-time, timezone, location, category, image, contact and optional registration/capacity.</w:t>
            </w:r>
          </w:p>
        </w:tc>
        <w:tc>
          <w:tcPr>
            <w:tcW w:type="dxa" w:w="2498"/>
            <w:vAlign w:val="center"/>
          </w:tcPr>
          <w:p>
            <w:pPr>
              <w:spacing w:after="20"/>
            </w:pPr>
            <w:r/>
            <w:r>
              <w:rPr>
                <w:rFonts w:ascii="Aptos" w:hAnsi="Aptos"/>
                <w:b w:val="0"/>
                <w:sz w:val="14"/>
              </w:rPr>
              <w:t>Event date/time is shown in the intended timezone; past and upcoming events are distinguishable.</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FR-SRCH-001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Public search shall index eligible published pages, programmes, staff, news, events, documents and admissions content.</w:t>
            </w:r>
          </w:p>
        </w:tc>
        <w:tc>
          <w:tcPr>
            <w:tcW w:type="dxa" w:w="2498"/>
            <w:vAlign w:val="center"/>
          </w:tcPr>
          <w:p>
            <w:pPr>
              <w:spacing w:after="20"/>
            </w:pPr>
            <w:r/>
            <w:r>
              <w:rPr>
                <w:rFonts w:ascii="Aptos" w:hAnsi="Aptos"/>
                <w:b w:val="0"/>
                <w:sz w:val="14"/>
              </w:rPr>
              <w:t>Results exclude drafts, private records and other tenants; empty and no-match states are clear.</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FR-CON-001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provide validated general and admissions enquiry forms with configurable recipient routing.</w:t>
            </w:r>
          </w:p>
        </w:tc>
        <w:tc>
          <w:tcPr>
            <w:tcW w:type="dxa" w:w="2498"/>
            <w:vAlign w:val="center"/>
          </w:tcPr>
          <w:p>
            <w:pPr>
              <w:spacing w:after="20"/>
            </w:pPr>
            <w:r/>
            <w:r>
              <w:rPr>
                <w:rFonts w:ascii="Aptos" w:hAnsi="Aptos"/>
                <w:b w:val="0"/>
                <w:sz w:val="14"/>
              </w:rPr>
              <w:t>Successful submission creates a record and confirmation; validation and spam protection are tested.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FR-CON-002</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The system should support department-specific contact information and enquiry categories.</w:t>
            </w:r>
          </w:p>
        </w:tc>
        <w:tc>
          <w:tcPr>
            <w:tcW w:type="dxa" w:w="2498"/>
            <w:vAlign w:val="center"/>
          </w:tcPr>
          <w:p>
            <w:pPr>
              <w:spacing w:after="20"/>
            </w:pPr>
            <w:r/>
            <w:r>
              <w:rPr>
                <w:rFonts w:ascii="Aptos" w:hAnsi="Aptos"/>
                <w:b w:val="0"/>
                <w:sz w:val="14"/>
              </w:rPr>
              <w:t>A submitted enquiry is routed to the configured destination and retains a tenant-scoped record.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FR-EVT-002</w:t>
            </w:r>
          </w:p>
        </w:tc>
        <w:tc>
          <w:tcPr>
            <w:tcW w:type="dxa" w:w="2498"/>
            <w:vAlign w:val="center"/>
          </w:tcPr>
          <w:p>
            <w:pPr>
              <w:spacing w:after="20"/>
            </w:pPr>
            <w:r/>
            <w:r>
              <w:rPr>
                <w:rFonts w:ascii="Aptos" w:hAnsi="Aptos"/>
                <w:b w:val="0"/>
                <w:sz w:val="14"/>
              </w:rPr>
              <w:t>COULD</w:t>
            </w:r>
          </w:p>
        </w:tc>
        <w:tc>
          <w:tcPr>
            <w:tcW w:type="dxa" w:w="2498"/>
            <w:vAlign w:val="center"/>
          </w:tcPr>
          <w:p>
            <w:pPr>
              <w:spacing w:after="20"/>
            </w:pPr>
            <w:r/>
            <w:r>
              <w:rPr>
                <w:rFonts w:ascii="Aptos" w:hAnsi="Aptos"/>
                <w:b w:val="0"/>
                <w:sz w:val="14"/>
              </w:rPr>
              <w:t>The system could support calendar export/integration and event registration in a later iteration.</w:t>
            </w:r>
          </w:p>
        </w:tc>
        <w:tc>
          <w:tcPr>
            <w:tcW w:type="dxa" w:w="2498"/>
            <w:vAlign w:val="center"/>
          </w:tcPr>
          <w:p>
            <w:pPr>
              <w:spacing w:after="20"/>
            </w:pPr>
            <w:r/>
            <w:r>
              <w:rPr>
                <w:rFonts w:ascii="Aptos" w:hAnsi="Aptos"/>
                <w:b w:val="0"/>
                <w:sz w:val="14"/>
              </w:rPr>
              <w:t>Integration is optional and failures do not corrupt the underlying event record.</w:t>
            </w:r>
          </w:p>
        </w:tc>
      </w:tr>
    </w:tbl>
    <w:p>
      <w:pPr>
        <w:spacing w:after="0"/>
      </w:pPr>
    </w:p>
    <w:p>
      <w:pPr>
        <w:pStyle w:val="Heading2"/>
      </w:pPr>
      <w:r>
        <w:t>6.7 SEO and analytics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FR-SEO-001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Editors shall configure title, meta description, slug, canonical URL and social preview image for eligible public pages.</w:t>
            </w:r>
          </w:p>
        </w:tc>
        <w:tc>
          <w:tcPr>
            <w:tcW w:type="dxa" w:w="2498"/>
            <w:vAlign w:val="center"/>
          </w:tcPr>
          <w:p>
            <w:pPr>
              <w:spacing w:after="20"/>
            </w:pPr>
            <w:r/>
            <w:r>
              <w:rPr>
                <w:rFonts w:ascii="Aptos" w:hAnsi="Aptos"/>
                <w:b w:val="0"/>
                <w:sz w:val="14"/>
              </w:rPr>
              <w:t>Metadata is rendered consistently and invalid/duplicate slugs are rejected or resolved safely.</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FR-SEO-002</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public site shall generate tenant-appropriate sitemap and robots directives and provide indexability controls.</w:t>
            </w:r>
          </w:p>
        </w:tc>
        <w:tc>
          <w:tcPr>
            <w:tcW w:type="dxa" w:w="2498"/>
            <w:vAlign w:val="center"/>
          </w:tcPr>
          <w:p>
            <w:pPr>
              <w:spacing w:after="20"/>
            </w:pPr>
            <w:r/>
            <w:r>
              <w:rPr>
                <w:rFonts w:ascii="Aptos" w:hAnsi="Aptos"/>
                <w:b w:val="0"/>
                <w:sz w:val="14"/>
              </w:rPr>
              <w:t>Only intended public URLs are listed; private portal and draft routes are excluded.</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FR-ANL-001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The system shall record baseline privacy-aware events for page views, search use and enquiry submission/start where legally permitted.</w:t>
            </w:r>
          </w:p>
        </w:tc>
        <w:tc>
          <w:tcPr>
            <w:tcW w:type="dxa" w:w="2498"/>
            <w:vAlign w:val="center"/>
          </w:tcPr>
          <w:p>
            <w:pPr>
              <w:spacing w:after="20"/>
            </w:pPr>
            <w:r/>
            <w:r>
              <w:rPr>
                <w:rFonts w:ascii="Aptos" w:hAnsi="Aptos"/>
                <w:b w:val="0"/>
                <w:sz w:val="14"/>
              </w:rPr>
              <w:t>Reports show tenant-filtered counts and do not expose individual sensitive applicant data to general content editors.</w:t>
            </w:r>
          </w:p>
        </w:tc>
      </w:tr>
    </w:tbl>
    <w:p>
      <w:pPr>
        <w:spacing w:after="0"/>
      </w:pP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FR-ANL-002</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Admissions releases should measure application starts, submissions, missing-document requests and status transitions.</w:t>
            </w:r>
          </w:p>
        </w:tc>
        <w:tc>
          <w:tcPr>
            <w:tcW w:type="dxa" w:w="2498"/>
            <w:vAlign w:val="center"/>
          </w:tcPr>
          <w:p>
            <w:pPr>
              <w:spacing w:after="20"/>
            </w:pPr>
            <w:r/>
            <w:r>
              <w:rPr>
                <w:rFonts w:ascii="Aptos" w:hAnsi="Aptos"/>
                <w:b w:val="0"/>
                <w:sz w:val="14"/>
              </w:rPr>
              <w:t>Authorized admissions roles can inspect aggregate funnel counts with documented definitions.</w:t>
            </w:r>
          </w:p>
        </w:tc>
      </w:tr>
    </w:tbl>
    <w:p>
      <w:pPr>
        <w:spacing w:after="0"/>
      </w:pPr>
    </w:p>
    <w:p>
      <w:pPr>
        <w:pStyle w:val="Heading1"/>
      </w:pPr>
      <w:r>
        <w:t>7. Admissions and Application Lifecycle</w:t>
      </w:r>
    </w:p>
    <w:p>
      <w:pPr>
        <w:pStyle w:val="Heading2"/>
      </w:pPr>
      <w:r>
        <w:t>7.1 Design principle</w:t>
      </w:r>
    </w:p>
    <w:p>
      <w:r>
        <w:t>Admissions is introduced in Release 2. MVP includes public admissions content and enquiry capture; it does not require a full applicant portal. Each tenant must configure the workflow, required fields, documents, programme/grade options, deadlines and review stages relevant to its institution.</w:t>
      </w:r>
    </w:p>
    <w:p>
      <w:pPr>
        <w:pStyle w:val="Heading2"/>
      </w:pPr>
      <w:r>
        <w:t>7.2 Lifecycle</w:t>
      </w:r>
    </w:p>
    <w:p>
      <w:r>
        <w:t>Recommended baseline lifecycle: DRAFT → SUBMITTED → UNDER_REVIEW → (DOCUMENTS_REQUIRED / INTERVIEW / WAITLISTED / ACCEPTED / REJECTED) → ENROLLED or WITHDRAWN. Transitions are permission-controlled and should be tenant-configurable only within a supported state model. The system must preserve a history of status changes; status is not overwritten without an audit trail.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Requirement 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Acceptance criteria</w:t>
            </w:r>
          </w:p>
        </w:tc>
      </w:tr>
      <w:tr>
        <w:tc>
          <w:tcPr>
            <w:tcW w:type="dxa" w:w="2498"/>
            <w:vAlign w:val="center"/>
          </w:tcPr>
          <w:p>
            <w:pPr>
              <w:spacing w:after="20"/>
            </w:pPr>
            <w:r/>
            <w:r>
              <w:rPr>
                <w:rFonts w:ascii="Aptos" w:hAnsi="Aptos"/>
                <w:b w:val="0"/>
                <w:sz w:val="14"/>
              </w:rPr>
              <w:t>FR-APP-001</w:t>
            </w:r>
          </w:p>
        </w:tc>
        <w:tc>
          <w:tcPr>
            <w:tcW w:type="dxa" w:w="2498"/>
            <w:vAlign w:val="center"/>
          </w:tcPr>
          <w:p>
            <w:pPr>
              <w:spacing w:after="20"/>
            </w:pPr>
            <w:r/>
            <w:r>
              <w:rPr>
                <w:rFonts w:ascii="Aptos" w:hAnsi="Aptos"/>
                <w:b w:val="0"/>
                <w:sz w:val="14"/>
              </w:rPr>
              <w:t>MUST (R2)</w:t>
            </w:r>
          </w:p>
        </w:tc>
        <w:tc>
          <w:tcPr>
            <w:tcW w:type="dxa" w:w="2498"/>
            <w:vAlign w:val="center"/>
          </w:tcPr>
          <w:p>
            <w:pPr>
              <w:spacing w:after="20"/>
            </w:pPr>
            <w:r/>
            <w:r>
              <w:rPr>
                <w:rFonts w:ascii="Aptos" w:hAnsi="Aptos"/>
                <w:b w:val="0"/>
                <w:sz w:val="14"/>
              </w:rPr>
              <w:t>Applicant can register/sign in and access only their own application records.</w:t>
            </w:r>
          </w:p>
        </w:tc>
        <w:tc>
          <w:tcPr>
            <w:tcW w:type="dxa" w:w="2498"/>
            <w:vAlign w:val="center"/>
          </w:tcPr>
          <w:p>
            <w:pPr>
              <w:spacing w:after="20"/>
            </w:pPr>
            <w:r/>
            <w:r>
              <w:rPr>
                <w:rFonts w:ascii="Aptos" w:hAnsi="Aptos"/>
                <w:b w:val="0"/>
                <w:sz w:val="14"/>
              </w:rPr>
              <w:t>Cross-account and anonymous access tests fail closed.</w:t>
            </w:r>
          </w:p>
        </w:tc>
      </w:tr>
      <w:tr>
        <w:tc>
          <w:tcPr>
            <w:tcW w:type="dxa" w:w="2498"/>
            <w:vAlign w:val="center"/>
            <w:shd w:fill="F1F5F8"/>
          </w:tcPr>
          <w:p>
            <w:pPr>
              <w:spacing w:after="20"/>
            </w:pPr>
            <w:r/>
            <w:r>
              <w:rPr>
                <w:rFonts w:ascii="Aptos" w:hAnsi="Aptos"/>
                <w:b w:val="0"/>
                <w:sz w:val="14"/>
              </w:rPr>
              <w:t>FR-APP-002</w:t>
            </w:r>
          </w:p>
        </w:tc>
        <w:tc>
          <w:tcPr>
            <w:tcW w:type="dxa" w:w="2498"/>
            <w:vAlign w:val="center"/>
            <w:shd w:fill="F1F5F8"/>
          </w:tcPr>
          <w:p>
            <w:pPr>
              <w:spacing w:after="20"/>
            </w:pPr>
            <w:r/>
            <w:r>
              <w:rPr>
                <w:rFonts w:ascii="Aptos" w:hAnsi="Aptos"/>
                <w:b w:val="0"/>
                <w:sz w:val="14"/>
              </w:rPr>
              <w:t>MUST (R2)</w:t>
            </w:r>
          </w:p>
        </w:tc>
        <w:tc>
          <w:tcPr>
            <w:tcW w:type="dxa" w:w="2498"/>
            <w:vAlign w:val="center"/>
            <w:shd w:fill="F1F5F8"/>
          </w:tcPr>
          <w:p>
            <w:pPr>
              <w:spacing w:after="20"/>
            </w:pPr>
            <w:r/>
            <w:r>
              <w:rPr>
                <w:rFonts w:ascii="Aptos" w:hAnsi="Aptos"/>
                <w:b w:val="0"/>
                <w:sz w:val="14"/>
              </w:rPr>
              <w:t>Applicant can save an incomplete application as a draft and resume it later.</w:t>
            </w:r>
          </w:p>
        </w:tc>
        <w:tc>
          <w:tcPr>
            <w:tcW w:type="dxa" w:w="2498"/>
            <w:vAlign w:val="center"/>
            <w:shd w:fill="F1F5F8"/>
          </w:tcPr>
          <w:p>
            <w:pPr>
              <w:spacing w:after="20"/>
            </w:pPr>
            <w:r/>
            <w:r>
              <w:rPr>
                <w:rFonts w:ascii="Aptos" w:hAnsi="Aptos"/>
                <w:b w:val="0"/>
                <w:sz w:val="14"/>
              </w:rPr>
              <w:t>Saved fields persist across sessions; draft is not treated as submitted.</w:t>
            </w:r>
          </w:p>
        </w:tc>
      </w:tr>
      <w:tr>
        <w:tc>
          <w:tcPr>
            <w:tcW w:type="dxa" w:w="2498"/>
            <w:vAlign w:val="center"/>
          </w:tcPr>
          <w:p>
            <w:pPr>
              <w:spacing w:after="20"/>
            </w:pPr>
            <w:r/>
            <w:r>
              <w:rPr>
                <w:rFonts w:ascii="Aptos" w:hAnsi="Aptos"/>
                <w:b w:val="0"/>
                <w:sz w:val="14"/>
              </w:rPr>
              <w:t>FR-APP-003</w:t>
            </w:r>
          </w:p>
        </w:tc>
        <w:tc>
          <w:tcPr>
            <w:tcW w:type="dxa" w:w="2498"/>
            <w:vAlign w:val="center"/>
          </w:tcPr>
          <w:p>
            <w:pPr>
              <w:spacing w:after="20"/>
            </w:pPr>
            <w:r/>
            <w:r>
              <w:rPr>
                <w:rFonts w:ascii="Aptos" w:hAnsi="Aptos"/>
                <w:b w:val="0"/>
                <w:sz w:val="14"/>
              </w:rPr>
              <w:t>MUST (R2)</w:t>
            </w:r>
          </w:p>
        </w:tc>
        <w:tc>
          <w:tcPr>
            <w:tcW w:type="dxa" w:w="2498"/>
            <w:vAlign w:val="center"/>
          </w:tcPr>
          <w:p>
            <w:pPr>
              <w:spacing w:after="20"/>
            </w:pPr>
            <w:r/>
            <w:r>
              <w:rPr>
                <w:rFonts w:ascii="Aptos" w:hAnsi="Aptos"/>
                <w:b w:val="0"/>
                <w:sz w:val="14"/>
              </w:rPr>
              <w:t>Application forms shall validate required fields and tenant-configured programme/grade requirements.</w:t>
            </w:r>
          </w:p>
        </w:tc>
        <w:tc>
          <w:tcPr>
            <w:tcW w:type="dxa" w:w="2498"/>
            <w:vAlign w:val="center"/>
          </w:tcPr>
          <w:p>
            <w:pPr>
              <w:spacing w:after="20"/>
            </w:pPr>
            <w:r/>
            <w:r>
              <w:rPr>
                <w:rFonts w:ascii="Aptos" w:hAnsi="Aptos"/>
                <w:b w:val="0"/>
                <w:sz w:val="14"/>
              </w:rPr>
              <w:t>Submission is blocked when mandatory fields or required documents are missing.</w:t>
            </w:r>
          </w:p>
        </w:tc>
      </w:tr>
      <w:tr>
        <w:tc>
          <w:tcPr>
            <w:tcW w:type="dxa" w:w="2498"/>
            <w:vAlign w:val="center"/>
            <w:shd w:fill="F1F5F8"/>
          </w:tcPr>
          <w:p>
            <w:pPr>
              <w:spacing w:after="20"/>
            </w:pPr>
            <w:r/>
            <w:r>
              <w:rPr>
                <w:rFonts w:ascii="Aptos" w:hAnsi="Aptos"/>
                <w:b w:val="0"/>
                <w:sz w:val="14"/>
              </w:rPr>
              <w:t>FR-APP-004</w:t>
            </w:r>
          </w:p>
        </w:tc>
        <w:tc>
          <w:tcPr>
            <w:tcW w:type="dxa" w:w="2498"/>
            <w:vAlign w:val="center"/>
            <w:shd w:fill="F1F5F8"/>
          </w:tcPr>
          <w:p>
            <w:pPr>
              <w:spacing w:after="20"/>
            </w:pPr>
            <w:r/>
            <w:r>
              <w:rPr>
                <w:rFonts w:ascii="Aptos" w:hAnsi="Aptos"/>
                <w:b w:val="0"/>
                <w:sz w:val="14"/>
              </w:rPr>
              <w:t>MUST (R2)</w:t>
            </w:r>
          </w:p>
        </w:tc>
        <w:tc>
          <w:tcPr>
            <w:tcW w:type="dxa" w:w="2498"/>
            <w:vAlign w:val="center"/>
            <w:shd w:fill="F1F5F8"/>
          </w:tcPr>
          <w:p>
            <w:pPr>
              <w:spacing w:after="20"/>
            </w:pPr>
            <w:r/>
            <w:r>
              <w:rPr>
                <w:rFonts w:ascii="Aptos" w:hAnsi="Aptos"/>
                <w:b w:val="0"/>
                <w:sz w:val="14"/>
              </w:rPr>
              <w:t>Applicant can upload required documents through controlled upload workflows.</w:t>
            </w:r>
          </w:p>
        </w:tc>
        <w:tc>
          <w:tcPr>
            <w:tcW w:type="dxa" w:w="2498"/>
            <w:vAlign w:val="center"/>
            <w:shd w:fill="F1F5F8"/>
          </w:tcPr>
          <w:p>
            <w:pPr>
              <w:spacing w:after="20"/>
            </w:pPr>
            <w:r/>
            <w:r>
              <w:rPr>
                <w:rFonts w:ascii="Aptos" w:hAnsi="Aptos"/>
                <w:b w:val="0"/>
                <w:sz w:val="14"/>
              </w:rPr>
              <w:t>File type/size validation runs; private files are stored and served securely.</w:t>
            </w:r>
          </w:p>
        </w:tc>
      </w:tr>
      <w:tr>
        <w:tc>
          <w:tcPr>
            <w:tcW w:type="dxa" w:w="2498"/>
            <w:vAlign w:val="center"/>
          </w:tcPr>
          <w:p>
            <w:pPr>
              <w:spacing w:after="20"/>
            </w:pPr>
            <w:r/>
            <w:r>
              <w:rPr>
                <w:rFonts w:ascii="Aptos" w:hAnsi="Aptos"/>
                <w:b w:val="0"/>
                <w:sz w:val="14"/>
              </w:rPr>
              <w:t>FR-APP-005</w:t>
            </w:r>
          </w:p>
        </w:tc>
        <w:tc>
          <w:tcPr>
            <w:tcW w:type="dxa" w:w="2498"/>
            <w:vAlign w:val="center"/>
          </w:tcPr>
          <w:p>
            <w:pPr>
              <w:spacing w:after="20"/>
            </w:pPr>
            <w:r/>
            <w:r>
              <w:rPr>
                <w:rFonts w:ascii="Aptos" w:hAnsi="Aptos"/>
                <w:b w:val="0"/>
                <w:sz w:val="14"/>
              </w:rPr>
              <w:t>MUST (R2)</w:t>
            </w:r>
          </w:p>
        </w:tc>
        <w:tc>
          <w:tcPr>
            <w:tcW w:type="dxa" w:w="2498"/>
            <w:vAlign w:val="center"/>
          </w:tcPr>
          <w:p>
            <w:pPr>
              <w:spacing w:after="20"/>
            </w:pPr>
            <w:r/>
            <w:r>
              <w:rPr>
                <w:rFonts w:ascii="Aptos" w:hAnsi="Aptos"/>
                <w:b w:val="0"/>
                <w:sz w:val="14"/>
              </w:rPr>
              <w:t>Applicant can review application data and explicitly confirm submission.</w:t>
            </w:r>
          </w:p>
        </w:tc>
        <w:tc>
          <w:tcPr>
            <w:tcW w:type="dxa" w:w="2498"/>
            <w:vAlign w:val="center"/>
          </w:tcPr>
          <w:p>
            <w:pPr>
              <w:spacing w:after="20"/>
            </w:pPr>
            <w:r/>
            <w:r>
              <w:rPr>
                <w:rFonts w:ascii="Aptos" w:hAnsi="Aptos"/>
                <w:b w:val="0"/>
                <w:sz w:val="14"/>
              </w:rPr>
              <w:t>A successful submission creates a timestamped immutable submission event and confirmation.</w:t>
            </w:r>
          </w:p>
        </w:tc>
      </w:tr>
      <w:tr>
        <w:tc>
          <w:tcPr>
            <w:tcW w:type="dxa" w:w="2498"/>
            <w:vAlign w:val="center"/>
            <w:shd w:fill="F1F5F8"/>
          </w:tcPr>
          <w:p>
            <w:pPr>
              <w:spacing w:after="20"/>
            </w:pPr>
            <w:r/>
            <w:r>
              <w:rPr>
                <w:rFonts w:ascii="Aptos" w:hAnsi="Aptos"/>
                <w:b w:val="0"/>
                <w:sz w:val="14"/>
              </w:rPr>
              <w:t>FR-APP-006</w:t>
            </w:r>
          </w:p>
        </w:tc>
        <w:tc>
          <w:tcPr>
            <w:tcW w:type="dxa" w:w="2498"/>
            <w:vAlign w:val="center"/>
            <w:shd w:fill="F1F5F8"/>
          </w:tcPr>
          <w:p>
            <w:pPr>
              <w:spacing w:after="20"/>
            </w:pPr>
            <w:r/>
            <w:r>
              <w:rPr>
                <w:rFonts w:ascii="Aptos" w:hAnsi="Aptos"/>
                <w:b w:val="0"/>
                <w:sz w:val="14"/>
              </w:rPr>
              <w:t>MUST (R2)</w:t>
            </w:r>
          </w:p>
        </w:tc>
        <w:tc>
          <w:tcPr>
            <w:tcW w:type="dxa" w:w="2498"/>
            <w:vAlign w:val="center"/>
            <w:shd w:fill="F1F5F8"/>
          </w:tcPr>
          <w:p>
            <w:pPr>
              <w:spacing w:after="20"/>
            </w:pPr>
            <w:r/>
            <w:r>
              <w:rPr>
                <w:rFonts w:ascii="Aptos" w:hAnsi="Aptos"/>
                <w:b w:val="0"/>
                <w:sz w:val="14"/>
              </w:rPr>
              <w:t>Applicant can see application ID, status, outstanding items, relevant dates, messages and next steps.</w:t>
            </w:r>
          </w:p>
        </w:tc>
        <w:tc>
          <w:tcPr>
            <w:tcW w:type="dxa" w:w="2498"/>
            <w:vAlign w:val="center"/>
            <w:shd w:fill="F1F5F8"/>
          </w:tcPr>
          <w:p>
            <w:pPr>
              <w:spacing w:after="20"/>
            </w:pPr>
            <w:r/>
            <w:r>
              <w:rPr>
                <w:rFonts w:ascii="Aptos" w:hAnsi="Aptos"/>
                <w:b w:val="0"/>
                <w:sz w:val="14"/>
              </w:rPr>
              <w:t>Status and checklist shown to applicant match the authoritative record and permissions.</w:t>
            </w:r>
          </w:p>
        </w:tc>
      </w:tr>
      <w:tr>
        <w:tc>
          <w:tcPr>
            <w:tcW w:type="dxa" w:w="2498"/>
            <w:vAlign w:val="center"/>
          </w:tcPr>
          <w:p>
            <w:pPr>
              <w:spacing w:after="20"/>
            </w:pPr>
            <w:r/>
            <w:r>
              <w:rPr>
                <w:rFonts w:ascii="Aptos" w:hAnsi="Aptos"/>
                <w:b w:val="0"/>
                <w:sz w:val="14"/>
              </w:rPr>
              <w:t>FR-APP-007</w:t>
            </w:r>
          </w:p>
        </w:tc>
        <w:tc>
          <w:tcPr>
            <w:tcW w:type="dxa" w:w="2498"/>
            <w:vAlign w:val="center"/>
          </w:tcPr>
          <w:p>
            <w:pPr>
              <w:spacing w:after="20"/>
            </w:pPr>
            <w:r/>
            <w:r>
              <w:rPr>
                <w:rFonts w:ascii="Aptos" w:hAnsi="Aptos"/>
                <w:b w:val="0"/>
                <w:sz w:val="14"/>
              </w:rPr>
              <w:t>MUST (R2)</w:t>
            </w:r>
          </w:p>
        </w:tc>
        <w:tc>
          <w:tcPr>
            <w:tcW w:type="dxa" w:w="2498"/>
            <w:vAlign w:val="center"/>
          </w:tcPr>
          <w:p>
            <w:pPr>
              <w:spacing w:after="20"/>
            </w:pPr>
            <w:r/>
            <w:r>
              <w:rPr>
                <w:rFonts w:ascii="Aptos" w:hAnsi="Aptos"/>
                <w:b w:val="0"/>
                <w:sz w:val="14"/>
              </w:rPr>
              <w:t>Authorized admissions staff can search/filter applications, review records and request additional information.</w:t>
            </w:r>
          </w:p>
        </w:tc>
        <w:tc>
          <w:tcPr>
            <w:tcW w:type="dxa" w:w="2498"/>
            <w:vAlign w:val="center"/>
          </w:tcPr>
          <w:p>
            <w:pPr>
              <w:spacing w:after="20"/>
            </w:pPr>
            <w:r/>
            <w:r>
              <w:rPr>
                <w:rFonts w:ascii="Aptos" w:hAnsi="Aptos"/>
                <w:b w:val="0"/>
                <w:sz w:val="14"/>
              </w:rPr>
              <w:t>Every action is tenant-scoped and logged; applicants see only messages intended for them.</w:t>
            </w:r>
          </w:p>
        </w:tc>
      </w:tr>
      <w:tr>
        <w:tc>
          <w:tcPr>
            <w:tcW w:type="dxa" w:w="2498"/>
            <w:vAlign w:val="center"/>
            <w:shd w:fill="F1F5F8"/>
          </w:tcPr>
          <w:p>
            <w:pPr>
              <w:spacing w:after="20"/>
            </w:pPr>
            <w:r/>
            <w:r>
              <w:rPr>
                <w:rFonts w:ascii="Aptos" w:hAnsi="Aptos"/>
                <w:b w:val="0"/>
                <w:sz w:val="14"/>
              </w:rPr>
              <w:t>FR-APP-008</w:t>
            </w:r>
          </w:p>
        </w:tc>
        <w:tc>
          <w:tcPr>
            <w:tcW w:type="dxa" w:w="2498"/>
            <w:vAlign w:val="center"/>
            <w:shd w:fill="F1F5F8"/>
          </w:tcPr>
          <w:p>
            <w:pPr>
              <w:spacing w:after="20"/>
            </w:pPr>
            <w:r/>
            <w:r>
              <w:rPr>
                <w:rFonts w:ascii="Aptos" w:hAnsi="Aptos"/>
                <w:b w:val="0"/>
                <w:sz w:val="14"/>
              </w:rPr>
              <w:t>MUST (R2)</w:t>
            </w:r>
          </w:p>
        </w:tc>
        <w:tc>
          <w:tcPr>
            <w:tcW w:type="dxa" w:w="2498"/>
            <w:vAlign w:val="center"/>
            <w:shd w:fill="F1F5F8"/>
          </w:tcPr>
          <w:p>
            <w:pPr>
              <w:spacing w:after="20"/>
            </w:pPr>
            <w:r/>
            <w:r>
              <w:rPr>
                <w:rFonts w:ascii="Aptos" w:hAnsi="Aptos"/>
                <w:b w:val="0"/>
                <w:sz w:val="14"/>
              </w:rPr>
              <w:t>Only authorized roles can change an application decision/status.</w:t>
            </w:r>
          </w:p>
        </w:tc>
        <w:tc>
          <w:tcPr>
            <w:tcW w:type="dxa" w:w="2498"/>
            <w:vAlign w:val="center"/>
            <w:shd w:fill="F1F5F8"/>
          </w:tcPr>
          <w:p>
            <w:pPr>
              <w:spacing w:after="20"/>
            </w:pPr>
            <w:r/>
            <w:r>
              <w:rPr>
                <w:rFonts w:ascii="Aptos" w:hAnsi="Aptos"/>
                <w:b w:val="0"/>
                <w:sz w:val="14"/>
              </w:rPr>
              <w:t>Unauthorized status updates are rejected and audited where appropriate.</w:t>
            </w:r>
          </w:p>
        </w:tc>
      </w:tr>
      <w:tr>
        <w:tc>
          <w:tcPr>
            <w:tcW w:type="dxa" w:w="2498"/>
            <w:vAlign w:val="center"/>
          </w:tcPr>
          <w:p>
            <w:pPr>
              <w:spacing w:after="20"/>
            </w:pPr>
            <w:r/>
            <w:r>
              <w:rPr>
                <w:rFonts w:ascii="Aptos" w:hAnsi="Aptos"/>
                <w:b w:val="0"/>
                <w:sz w:val="14"/>
              </w:rPr>
              <w:t>FR-APP-009</w:t>
            </w:r>
          </w:p>
        </w:tc>
        <w:tc>
          <w:tcPr>
            <w:tcW w:type="dxa" w:w="2498"/>
            <w:vAlign w:val="center"/>
          </w:tcPr>
          <w:p>
            <w:pPr>
              <w:spacing w:after="20"/>
            </w:pPr>
            <w:r/>
            <w:r>
              <w:rPr>
                <w:rFonts w:ascii="Aptos" w:hAnsi="Aptos"/>
                <w:b w:val="0"/>
                <w:sz w:val="14"/>
              </w:rPr>
              <w:t>SHOULD (R2)</w:t>
            </w:r>
          </w:p>
        </w:tc>
        <w:tc>
          <w:tcPr>
            <w:tcW w:type="dxa" w:w="2498"/>
            <w:vAlign w:val="center"/>
          </w:tcPr>
          <w:p>
            <w:pPr>
              <w:spacing w:after="20"/>
            </w:pPr>
            <w:r/>
            <w:r>
              <w:rPr>
                <w:rFonts w:ascii="Aptos" w:hAnsi="Aptos"/>
                <w:b w:val="0"/>
                <w:sz w:val="14"/>
              </w:rPr>
              <w:t>System sends email notifications for submission, status change, missing document and interview/decision events.</w:t>
            </w:r>
          </w:p>
        </w:tc>
        <w:tc>
          <w:tcPr>
            <w:tcW w:type="dxa" w:w="2498"/>
            <w:vAlign w:val="center"/>
          </w:tcPr>
          <w:p>
            <w:pPr>
              <w:spacing w:after="20"/>
            </w:pPr>
            <w:r/>
            <w:r>
              <w:rPr>
                <w:rFonts w:ascii="Aptos" w:hAnsi="Aptos"/>
                <w:b w:val="0"/>
                <w:sz w:val="14"/>
              </w:rPr>
              <w:t>Failures are retried or surfaced to administrators; state changes remain valid if email fails.</w:t>
            </w:r>
          </w:p>
        </w:tc>
      </w:tr>
      <w:tr>
        <w:tc>
          <w:tcPr>
            <w:tcW w:type="dxa" w:w="2498"/>
            <w:vAlign w:val="center"/>
            <w:shd w:fill="F1F5F8"/>
          </w:tcPr>
          <w:p>
            <w:pPr>
              <w:spacing w:after="20"/>
            </w:pPr>
            <w:r/>
            <w:r>
              <w:rPr>
                <w:rFonts w:ascii="Aptos" w:hAnsi="Aptos"/>
                <w:b w:val="0"/>
                <w:sz w:val="14"/>
              </w:rPr>
              <w:t>FR-APP-010</w:t>
            </w:r>
          </w:p>
        </w:tc>
        <w:tc>
          <w:tcPr>
            <w:tcW w:type="dxa" w:w="2498"/>
            <w:vAlign w:val="center"/>
            <w:shd w:fill="F1F5F8"/>
          </w:tcPr>
          <w:p>
            <w:pPr>
              <w:spacing w:after="20"/>
            </w:pPr>
            <w:r/>
            <w:r>
              <w:rPr>
                <w:rFonts w:ascii="Aptos" w:hAnsi="Aptos"/>
                <w:b w:val="0"/>
                <w:sz w:val="14"/>
              </w:rPr>
              <w:t>SHOULD (R2)</w:t>
            </w:r>
          </w:p>
        </w:tc>
        <w:tc>
          <w:tcPr>
            <w:tcW w:type="dxa" w:w="2498"/>
            <w:vAlign w:val="center"/>
            <w:shd w:fill="F1F5F8"/>
          </w:tcPr>
          <w:p>
            <w:pPr>
              <w:spacing w:after="20"/>
            </w:pPr>
            <w:r/>
            <w:r>
              <w:rPr>
                <w:rFonts w:ascii="Aptos" w:hAnsi="Aptos"/>
                <w:b w:val="0"/>
                <w:sz w:val="14"/>
              </w:rPr>
              <w:t>Admissions staff can record visit/interview appointment details or use an approved calendar integration.</w:t>
            </w:r>
          </w:p>
        </w:tc>
        <w:tc>
          <w:tcPr>
            <w:tcW w:type="dxa" w:w="2498"/>
            <w:vAlign w:val="center"/>
            <w:shd w:fill="F1F5F8"/>
          </w:tcPr>
          <w:p>
            <w:pPr>
              <w:spacing w:after="20"/>
            </w:pPr>
            <w:r/>
            <w:r>
              <w:rPr>
                <w:rFonts w:ascii="Aptos" w:hAnsi="Aptos"/>
                <w:b w:val="0"/>
                <w:sz w:val="14"/>
              </w:rPr>
              <w:t>Time, timezone, location/meeting link and cancellation status are visible to authorized parties.</w:t>
            </w:r>
          </w:p>
        </w:tc>
      </w:tr>
    </w:tbl>
    <w:p>
      <w:pPr>
        <w:spacing w:after="0"/>
      </w:pPr>
    </w:p>
    <w:p>
      <w:pPr>
        <w:pStyle w:val="Heading2"/>
      </w:pPr>
      <w:r>
        <w:t>7.3 Application data minimization</w:t>
      </w:r>
    </w:p>
    <w:p>
      <w:r>
        <w:t>Collect only data needed for the configured admissions process. Sensitive information, family data and documents must not be requested by default without a clear institutional purpose. The institution must define retention, deletion/archival and access rules before enabling applications. Decisions remain human-controlled unless a separately reviewed and explicitly approved process is defined.</w:t>
      </w:r>
    </w:p>
    <w:p>
      <w:pPr>
        <w:pStyle w:val="Heading2"/>
      </w:pPr>
      <w:r>
        <w:t>7.4 Parent/student portal (Release 3)</w:t>
      </w:r>
    </w:p>
    <w:p>
      <w:r>
        <w:t>Optional portal features may include announcements, calendar/events, approved documents, school contacts, messages, and application status where relevant. Portal access must be based on verified relationships and explicit tenant configuration. The initial portal must not imply that grades, attendance, timetable, fees or academic records are supported unless those modules are separately implemented and validated.</w:t>
      </w:r>
    </w:p>
    <w:p>
      <w:pPr>
        <w:pStyle w:val="Heading1"/>
      </w:pPr>
      <w:r>
        <w:t>8. CMS, Content Model and Publishing Workflow</w:t>
      </w:r>
    </w:p>
    <w:p>
      <w:pPr>
        <w:pStyle w:val="Heading2"/>
      </w:pPr>
      <w:r>
        <w:t>8.1 Core content types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Entity</w:t>
            </w:r>
          </w:p>
        </w:tc>
        <w:tc>
          <w:tcPr>
            <w:tcW w:type="dxa" w:w="3331"/>
            <w:vAlign w:val="center"/>
            <w:shd w:fill="16324F"/>
          </w:tcPr>
          <w:p>
            <w:pPr>
              <w:spacing w:after="20"/>
            </w:pPr>
            <w:r/>
            <w:r>
              <w:rPr>
                <w:rFonts w:ascii="Aptos" w:hAnsi="Aptos"/>
                <w:b/>
                <w:color w:val="FFFFFF"/>
                <w:sz w:val="14"/>
              </w:rPr>
              <w:t>Core fields (illustrative)</w:t>
            </w:r>
          </w:p>
        </w:tc>
        <w:tc>
          <w:tcPr>
            <w:tcW w:type="dxa" w:w="3331"/>
            <w:vAlign w:val="center"/>
            <w:shd w:fill="16324F"/>
          </w:tcPr>
          <w:p>
            <w:pPr>
              <w:spacing w:after="20"/>
            </w:pPr>
            <w:r/>
            <w:r>
              <w:rPr>
                <w:rFonts w:ascii="Aptos" w:hAnsi="Aptos"/>
                <w:b/>
                <w:color w:val="FFFFFF"/>
                <w:sz w:val="14"/>
              </w:rPr>
              <w:t>Notes</w:t>
            </w:r>
          </w:p>
        </w:tc>
      </w:tr>
      <w:tr>
        <w:tc>
          <w:tcPr>
            <w:tcW w:type="dxa" w:w="3331"/>
            <w:vAlign w:val="center"/>
          </w:tcPr>
          <w:p>
            <w:pPr>
              <w:spacing w:after="20"/>
            </w:pPr>
            <w:r/>
            <w:r>
              <w:rPr>
                <w:rFonts w:ascii="Aptos" w:hAnsi="Aptos"/>
                <w:b w:val="0"/>
                <w:sz w:val="14"/>
              </w:rPr>
              <w:t>Page</w:t>
            </w:r>
          </w:p>
        </w:tc>
        <w:tc>
          <w:tcPr>
            <w:tcW w:type="dxa" w:w="3331"/>
            <w:vAlign w:val="center"/>
          </w:tcPr>
          <w:p>
            <w:pPr>
              <w:spacing w:after="20"/>
            </w:pPr>
            <w:r/>
            <w:r>
              <w:rPr>
                <w:rFonts w:ascii="Aptos" w:hAnsi="Aptos"/>
                <w:b w:val="0"/>
                <w:sz w:val="14"/>
              </w:rPr>
              <w:t>title, slug, summary, sections, status, SEO metadata, author, timestamps</w:t>
            </w:r>
          </w:p>
        </w:tc>
        <w:tc>
          <w:tcPr>
            <w:tcW w:type="dxa" w:w="3331"/>
            <w:vAlign w:val="center"/>
          </w:tcPr>
          <w:p>
            <w:pPr>
              <w:spacing w:after="20"/>
            </w:pPr>
            <w:r/>
            <w:r>
              <w:rPr>
                <w:rFonts w:ascii="Aptos" w:hAnsi="Aptos"/>
                <w:b w:val="0"/>
                <w:sz w:val="14"/>
              </w:rPr>
              <w:t>Composed from approved section types; content must remain semantically structured.</w:t>
            </w:r>
          </w:p>
        </w:tc>
      </w:tr>
      <w:tr>
        <w:tc>
          <w:tcPr>
            <w:tcW w:type="dxa" w:w="3331"/>
            <w:vAlign w:val="center"/>
            <w:shd w:fill="F1F5F8"/>
          </w:tcPr>
          <w:p>
            <w:pPr>
              <w:spacing w:after="20"/>
            </w:pPr>
            <w:r/>
            <w:r>
              <w:rPr>
                <w:rFonts w:ascii="Aptos" w:hAnsi="Aptos"/>
                <w:b w:val="0"/>
                <w:sz w:val="14"/>
              </w:rPr>
              <w:t>PageSection</w:t>
            </w:r>
          </w:p>
        </w:tc>
        <w:tc>
          <w:tcPr>
            <w:tcW w:type="dxa" w:w="3331"/>
            <w:vAlign w:val="center"/>
            <w:shd w:fill="F1F5F8"/>
          </w:tcPr>
          <w:p>
            <w:pPr>
              <w:spacing w:after="20"/>
            </w:pPr>
            <w:r/>
            <w:r>
              <w:rPr>
                <w:rFonts w:ascii="Aptos" w:hAnsi="Aptos"/>
                <w:b w:val="0"/>
                <w:sz w:val="14"/>
              </w:rPr>
              <w:t>type, order, settings, content references, visibility rules</w:t>
            </w:r>
          </w:p>
        </w:tc>
        <w:tc>
          <w:tcPr>
            <w:tcW w:type="dxa" w:w="3331"/>
            <w:vAlign w:val="center"/>
            <w:shd w:fill="F1F5F8"/>
          </w:tcPr>
          <w:p>
            <w:pPr>
              <w:spacing w:after="20"/>
            </w:pPr>
            <w:r/>
            <w:r>
              <w:rPr>
                <w:rFonts w:ascii="Aptos" w:hAnsi="Aptos"/>
                <w:b w:val="0"/>
                <w:sz w:val="14"/>
              </w:rPr>
              <w:t>Allowlist section types; validate configuration and prevent arbitrary unsafe markup.</w:t>
            </w:r>
          </w:p>
        </w:tc>
      </w:tr>
      <w:tr>
        <w:tc>
          <w:tcPr>
            <w:tcW w:type="dxa" w:w="3331"/>
            <w:vAlign w:val="center"/>
          </w:tcPr>
          <w:p>
            <w:pPr>
              <w:spacing w:after="20"/>
            </w:pPr>
            <w:r/>
            <w:r>
              <w:rPr>
                <w:rFonts w:ascii="Aptos" w:hAnsi="Aptos"/>
                <w:b w:val="0"/>
                <w:sz w:val="14"/>
              </w:rPr>
              <w:t>Programme</w:t>
            </w:r>
          </w:p>
        </w:tc>
        <w:tc>
          <w:tcPr>
            <w:tcW w:type="dxa" w:w="3331"/>
            <w:vAlign w:val="center"/>
          </w:tcPr>
          <w:p>
            <w:pPr>
              <w:spacing w:after="20"/>
            </w:pPr>
            <w:r/>
            <w:r>
              <w:rPr>
                <w:rFonts w:ascii="Aptos" w:hAnsi="Aptos"/>
                <w:b w:val="0"/>
                <w:sz w:val="14"/>
              </w:rPr>
              <w:t>title, description, level, duration, requirements, department, media, status</w:t>
            </w:r>
          </w:p>
        </w:tc>
        <w:tc>
          <w:tcPr>
            <w:tcW w:type="dxa" w:w="3331"/>
            <w:vAlign w:val="center"/>
          </w:tcPr>
          <w:p>
            <w:pPr>
              <w:spacing w:after="20"/>
            </w:pPr>
            <w:r/>
            <w:r>
              <w:rPr>
                <w:rFonts w:ascii="Aptos" w:hAnsi="Aptos"/>
                <w:b w:val="0"/>
                <w:sz w:val="14"/>
              </w:rPr>
              <w:t>Programme hierarchy differs by tenant.</w:t>
            </w:r>
          </w:p>
        </w:tc>
      </w:tr>
      <w:tr>
        <w:tc>
          <w:tcPr>
            <w:tcW w:type="dxa" w:w="3331"/>
            <w:vAlign w:val="center"/>
            <w:shd w:fill="F1F5F8"/>
          </w:tcPr>
          <w:p>
            <w:pPr>
              <w:spacing w:after="20"/>
            </w:pPr>
            <w:r/>
            <w:r>
              <w:rPr>
                <w:rFonts w:ascii="Aptos" w:hAnsi="Aptos"/>
                <w:b w:val="0"/>
                <w:sz w:val="14"/>
              </w:rPr>
              <w:t>Department / Faculty</w:t>
            </w:r>
          </w:p>
        </w:tc>
        <w:tc>
          <w:tcPr>
            <w:tcW w:type="dxa" w:w="3331"/>
            <w:vAlign w:val="center"/>
            <w:shd w:fill="F1F5F8"/>
          </w:tcPr>
          <w:p>
            <w:pPr>
              <w:spacing w:after="20"/>
            </w:pPr>
            <w:r/>
            <w:r>
              <w:rPr>
                <w:rFonts w:ascii="Aptos" w:hAnsi="Aptos"/>
                <w:b w:val="0"/>
                <w:sz w:val="14"/>
              </w:rPr>
              <w:t>name, description, parent reference, staff/programme relations</w:t>
            </w:r>
          </w:p>
        </w:tc>
        <w:tc>
          <w:tcPr>
            <w:tcW w:type="dxa" w:w="3331"/>
            <w:vAlign w:val="center"/>
            <w:shd w:fill="F1F5F8"/>
          </w:tcPr>
          <w:p>
            <w:pPr>
              <w:spacing w:after="20"/>
            </w:pPr>
            <w:r/>
            <w:r>
              <w:rPr>
                <w:rFonts w:ascii="Aptos" w:hAnsi="Aptos"/>
                <w:b w:val="0"/>
                <w:sz w:val="14"/>
              </w:rPr>
              <w:t>Hierarchy is optional and configurable.</w:t>
            </w:r>
          </w:p>
        </w:tc>
      </w:tr>
      <w:tr>
        <w:tc>
          <w:tcPr>
            <w:tcW w:type="dxa" w:w="3331"/>
            <w:vAlign w:val="center"/>
          </w:tcPr>
          <w:p>
            <w:pPr>
              <w:spacing w:after="20"/>
            </w:pPr>
            <w:r/>
            <w:r>
              <w:rPr>
                <w:rFonts w:ascii="Aptos" w:hAnsi="Aptos"/>
                <w:b w:val="0"/>
                <w:sz w:val="14"/>
              </w:rPr>
              <w:t>StaffProfile</w:t>
            </w:r>
          </w:p>
        </w:tc>
        <w:tc>
          <w:tcPr>
            <w:tcW w:type="dxa" w:w="3331"/>
            <w:vAlign w:val="center"/>
          </w:tcPr>
          <w:p>
            <w:pPr>
              <w:spacing w:after="20"/>
            </w:pPr>
            <w:r/>
            <w:r>
              <w:rPr>
                <w:rFonts w:ascii="Aptos" w:hAnsi="Aptos"/>
                <w:b w:val="0"/>
                <w:sz w:val="14"/>
              </w:rPr>
              <w:t>name, role, bio, department, subjects, public contacts, photo</w:t>
            </w:r>
          </w:p>
        </w:tc>
        <w:tc>
          <w:tcPr>
            <w:tcW w:type="dxa" w:w="3331"/>
            <w:vAlign w:val="center"/>
          </w:tcPr>
          <w:p>
            <w:pPr>
              <w:spacing w:after="20"/>
            </w:pPr>
            <w:r/>
            <w:r>
              <w:rPr>
                <w:rFonts w:ascii="Aptos" w:hAnsi="Aptos"/>
                <w:b w:val="0"/>
                <w:sz w:val="14"/>
              </w:rPr>
              <w:t>Public fields explicitly separated from private account fields.</w:t>
            </w:r>
          </w:p>
        </w:tc>
      </w:tr>
      <w:tr>
        <w:tc>
          <w:tcPr>
            <w:tcW w:type="dxa" w:w="3331"/>
            <w:vAlign w:val="center"/>
            <w:shd w:fill="F1F5F8"/>
          </w:tcPr>
          <w:p>
            <w:pPr>
              <w:spacing w:after="20"/>
            </w:pPr>
            <w:r/>
            <w:r>
              <w:rPr>
                <w:rFonts w:ascii="Aptos" w:hAnsi="Aptos"/>
                <w:b w:val="0"/>
                <w:sz w:val="14"/>
              </w:rPr>
              <w:t>NewsArticle</w:t>
            </w:r>
          </w:p>
        </w:tc>
        <w:tc>
          <w:tcPr>
            <w:tcW w:type="dxa" w:w="3331"/>
            <w:vAlign w:val="center"/>
            <w:shd w:fill="F1F5F8"/>
          </w:tcPr>
          <w:p>
            <w:pPr>
              <w:spacing w:after="20"/>
            </w:pPr>
            <w:r/>
            <w:r>
              <w:rPr>
                <w:rFonts w:ascii="Aptos" w:hAnsi="Aptos"/>
                <w:b w:val="0"/>
                <w:sz w:val="14"/>
              </w:rPr>
              <w:t>title, body, summary, author, hero media, tags, publish date, status</w:t>
            </w:r>
          </w:p>
        </w:tc>
        <w:tc>
          <w:tcPr>
            <w:tcW w:type="dxa" w:w="3331"/>
            <w:vAlign w:val="center"/>
            <w:shd w:fill="F1F5F8"/>
          </w:tcPr>
          <w:p>
            <w:pPr>
              <w:spacing w:after="20"/>
            </w:pPr>
            <w:r/>
            <w:r>
              <w:rPr>
                <w:rFonts w:ascii="Aptos" w:hAnsi="Aptos"/>
                <w:b w:val="0"/>
                <w:sz w:val="14"/>
              </w:rPr>
              <w:t>Long-form editorial content.</w:t>
            </w:r>
          </w:p>
        </w:tc>
      </w:tr>
      <w:tr>
        <w:tc>
          <w:tcPr>
            <w:tcW w:type="dxa" w:w="3331"/>
            <w:vAlign w:val="center"/>
          </w:tcPr>
          <w:p>
            <w:pPr>
              <w:spacing w:after="20"/>
            </w:pPr>
            <w:r/>
            <w:r>
              <w:rPr>
                <w:rFonts w:ascii="Aptos" w:hAnsi="Aptos"/>
                <w:b w:val="0"/>
                <w:sz w:val="14"/>
              </w:rPr>
              <w:t>Announcement</w:t>
            </w:r>
          </w:p>
        </w:tc>
        <w:tc>
          <w:tcPr>
            <w:tcW w:type="dxa" w:w="3331"/>
            <w:vAlign w:val="center"/>
          </w:tcPr>
          <w:p>
            <w:pPr>
              <w:spacing w:after="20"/>
            </w:pPr>
            <w:r/>
            <w:r>
              <w:rPr>
                <w:rFonts w:ascii="Aptos" w:hAnsi="Aptos"/>
                <w:b w:val="0"/>
                <w:sz w:val="14"/>
              </w:rPr>
              <w:t>title, message, priority, active window, audience/placement</w:t>
            </w:r>
          </w:p>
        </w:tc>
        <w:tc>
          <w:tcPr>
            <w:tcW w:type="dxa" w:w="3331"/>
            <w:vAlign w:val="center"/>
          </w:tcPr>
          <w:p>
            <w:pPr>
              <w:spacing w:after="20"/>
            </w:pPr>
            <w:r/>
            <w:r>
              <w:rPr>
                <w:rFonts w:ascii="Aptos" w:hAnsi="Aptos"/>
                <w:b w:val="0"/>
                <w:sz w:val="14"/>
              </w:rPr>
              <w:t>Operational content with expiry behaviour.</w:t>
            </w:r>
          </w:p>
        </w:tc>
      </w:tr>
      <w:tr>
        <w:tc>
          <w:tcPr>
            <w:tcW w:type="dxa" w:w="3331"/>
            <w:vAlign w:val="center"/>
            <w:shd w:fill="F1F5F8"/>
          </w:tcPr>
          <w:p>
            <w:pPr>
              <w:spacing w:after="20"/>
            </w:pPr>
            <w:r/>
            <w:r>
              <w:rPr>
                <w:rFonts w:ascii="Aptos" w:hAnsi="Aptos"/>
                <w:b w:val="0"/>
                <w:sz w:val="14"/>
              </w:rPr>
              <w:t>Event</w:t>
            </w:r>
          </w:p>
        </w:tc>
        <w:tc>
          <w:tcPr>
            <w:tcW w:type="dxa" w:w="3331"/>
            <w:vAlign w:val="center"/>
            <w:shd w:fill="F1F5F8"/>
          </w:tcPr>
          <w:p>
            <w:pPr>
              <w:spacing w:after="20"/>
            </w:pPr>
            <w:r/>
            <w:r>
              <w:rPr>
                <w:rFonts w:ascii="Aptos" w:hAnsi="Aptos"/>
                <w:b w:val="0"/>
                <w:sz w:val="14"/>
              </w:rPr>
              <w:t>title, description, start/end, timezone, location, category, capacity, registration settings</w:t>
            </w:r>
          </w:p>
        </w:tc>
        <w:tc>
          <w:tcPr>
            <w:tcW w:type="dxa" w:w="3331"/>
            <w:vAlign w:val="center"/>
            <w:shd w:fill="F1F5F8"/>
          </w:tcPr>
          <w:p>
            <w:pPr>
              <w:spacing w:after="20"/>
            </w:pPr>
            <w:r/>
            <w:r>
              <w:rPr>
                <w:rFonts w:ascii="Aptos" w:hAnsi="Aptos"/>
                <w:b w:val="0"/>
                <w:sz w:val="14"/>
              </w:rPr>
              <w:t>One event record can appear in multiple places.</w:t>
            </w:r>
          </w:p>
        </w:tc>
      </w:tr>
      <w:tr>
        <w:tc>
          <w:tcPr>
            <w:tcW w:type="dxa" w:w="3331"/>
            <w:vAlign w:val="center"/>
          </w:tcPr>
          <w:p>
            <w:pPr>
              <w:spacing w:after="20"/>
            </w:pPr>
            <w:r/>
            <w:r>
              <w:rPr>
                <w:rFonts w:ascii="Aptos" w:hAnsi="Aptos"/>
                <w:b w:val="0"/>
                <w:sz w:val="14"/>
              </w:rPr>
              <w:t>MediaAsset</w:t>
            </w:r>
          </w:p>
        </w:tc>
        <w:tc>
          <w:tcPr>
            <w:tcW w:type="dxa" w:w="3331"/>
            <w:vAlign w:val="center"/>
          </w:tcPr>
          <w:p>
            <w:pPr>
              <w:spacing w:after="20"/>
            </w:pPr>
            <w:r/>
            <w:r>
              <w:rPr>
                <w:rFonts w:ascii="Aptos" w:hAnsi="Aptos"/>
                <w:b w:val="0"/>
                <w:sz w:val="14"/>
              </w:rPr>
              <w:t>storage key, type, size, alt text, caption, tenant, uploader</w:t>
            </w:r>
          </w:p>
        </w:tc>
        <w:tc>
          <w:tcPr>
            <w:tcW w:type="dxa" w:w="3331"/>
            <w:vAlign w:val="center"/>
          </w:tcPr>
          <w:p>
            <w:pPr>
              <w:spacing w:after="20"/>
            </w:pPr>
            <w:r/>
            <w:r>
              <w:rPr>
                <w:rFonts w:ascii="Aptos" w:hAnsi="Aptos"/>
                <w:b w:val="0"/>
                <w:sz w:val="14"/>
              </w:rPr>
              <w:t>Storage key is not equivalent to public permission.</w:t>
            </w:r>
          </w:p>
        </w:tc>
      </w:tr>
      <w:tr>
        <w:tc>
          <w:tcPr>
            <w:tcW w:type="dxa" w:w="3331"/>
            <w:vAlign w:val="center"/>
            <w:shd w:fill="F1F5F8"/>
          </w:tcPr>
          <w:p>
            <w:pPr>
              <w:spacing w:after="20"/>
            </w:pPr>
            <w:r/>
            <w:r>
              <w:rPr>
                <w:rFonts w:ascii="Aptos" w:hAnsi="Aptos"/>
                <w:b w:val="0"/>
                <w:sz w:val="14"/>
              </w:rPr>
              <w:t>Document</w:t>
            </w:r>
          </w:p>
        </w:tc>
        <w:tc>
          <w:tcPr>
            <w:tcW w:type="dxa" w:w="3331"/>
            <w:vAlign w:val="center"/>
            <w:shd w:fill="F1F5F8"/>
          </w:tcPr>
          <w:p>
            <w:pPr>
              <w:spacing w:after="20"/>
            </w:pPr>
            <w:r/>
            <w:r>
              <w:rPr>
                <w:rFonts w:ascii="Aptos" w:hAnsi="Aptos"/>
                <w:b w:val="0"/>
                <w:sz w:val="14"/>
              </w:rPr>
              <w:t>title, file reference, category, audience/access class, publish status</w:t>
            </w:r>
          </w:p>
        </w:tc>
        <w:tc>
          <w:tcPr>
            <w:tcW w:type="dxa" w:w="3331"/>
            <w:vAlign w:val="center"/>
            <w:shd w:fill="F1F5F8"/>
          </w:tcPr>
          <w:p>
            <w:pPr>
              <w:spacing w:after="20"/>
            </w:pPr>
            <w:r/>
            <w:r>
              <w:rPr>
                <w:rFonts w:ascii="Aptos" w:hAnsi="Aptos"/>
                <w:b w:val="0"/>
                <w:sz w:val="14"/>
              </w:rPr>
              <w:t>Public and restricted documents must be distinguished.</w:t>
            </w:r>
          </w:p>
        </w:tc>
      </w:tr>
      <w:tr>
        <w:tc>
          <w:tcPr>
            <w:tcW w:type="dxa" w:w="3331"/>
            <w:vAlign w:val="center"/>
          </w:tcPr>
          <w:p>
            <w:pPr>
              <w:spacing w:after="20"/>
            </w:pPr>
            <w:r/>
            <w:r>
              <w:rPr>
                <w:rFonts w:ascii="Aptos" w:hAnsi="Aptos"/>
                <w:b w:val="0"/>
                <w:sz w:val="14"/>
              </w:rPr>
              <w:t>Enquiry</w:t>
            </w:r>
          </w:p>
        </w:tc>
        <w:tc>
          <w:tcPr>
            <w:tcW w:type="dxa" w:w="3331"/>
            <w:vAlign w:val="center"/>
          </w:tcPr>
          <w:p>
            <w:pPr>
              <w:spacing w:after="20"/>
            </w:pPr>
            <w:r/>
            <w:r>
              <w:rPr>
                <w:rFonts w:ascii="Aptos" w:hAnsi="Aptos"/>
                <w:b w:val="0"/>
                <w:sz w:val="14"/>
              </w:rPr>
              <w:t>contact fields, category, message, consent metadata where required, status</w:t>
            </w:r>
          </w:p>
        </w:tc>
        <w:tc>
          <w:tcPr>
            <w:tcW w:type="dxa" w:w="3331"/>
            <w:vAlign w:val="center"/>
          </w:tcPr>
          <w:p>
            <w:pPr>
              <w:spacing w:after="20"/>
            </w:pPr>
            <w:r/>
            <w:r>
              <w:rPr>
                <w:rFonts w:ascii="Aptos" w:hAnsi="Aptos"/>
                <w:b w:val="0"/>
                <w:sz w:val="14"/>
              </w:rPr>
              <w:t>Retention and routing policy must be configured.</w:t>
            </w:r>
          </w:p>
        </w:tc>
      </w:tr>
      <w:tr>
        <w:tc>
          <w:tcPr>
            <w:tcW w:type="dxa" w:w="3331"/>
            <w:vAlign w:val="center"/>
            <w:shd w:fill="F1F5F8"/>
          </w:tcPr>
          <w:p>
            <w:pPr>
              <w:spacing w:after="20"/>
            </w:pPr>
            <w:r/>
            <w:r>
              <w:rPr>
                <w:rFonts w:ascii="Aptos" w:hAnsi="Aptos"/>
                <w:b w:val="0"/>
                <w:sz w:val="14"/>
              </w:rPr>
              <w:t>AdmissionCycle / Application</w:t>
            </w:r>
          </w:p>
        </w:tc>
        <w:tc>
          <w:tcPr>
            <w:tcW w:type="dxa" w:w="3331"/>
            <w:vAlign w:val="center"/>
            <w:shd w:fill="F1F5F8"/>
          </w:tcPr>
          <w:p>
            <w:pPr>
              <w:spacing w:after="20"/>
            </w:pPr>
            <w:r/>
            <w:r>
              <w:rPr>
                <w:rFonts w:ascii="Aptos" w:hAnsi="Aptos"/>
                <w:b w:val="0"/>
                <w:sz w:val="14"/>
              </w:rPr>
              <w:t>cycle dates, programme/grade, applicant reference, answers, status history</w:t>
            </w:r>
          </w:p>
        </w:tc>
        <w:tc>
          <w:tcPr>
            <w:tcW w:type="dxa" w:w="3331"/>
            <w:vAlign w:val="center"/>
            <w:shd w:fill="F1F5F8"/>
          </w:tcPr>
          <w:p>
            <w:pPr>
              <w:spacing w:after="20"/>
            </w:pPr>
            <w:r/>
            <w:r>
              <w:rPr>
                <w:rFonts w:ascii="Aptos" w:hAnsi="Aptos"/>
                <w:b w:val="0"/>
                <w:sz w:val="14"/>
              </w:rPr>
              <w:t>Release 2; access and lifecycle rules are mandatory.</w:t>
            </w:r>
          </w:p>
        </w:tc>
      </w:tr>
      <w:tr>
        <w:tc>
          <w:tcPr>
            <w:tcW w:type="dxa" w:w="3331"/>
            <w:vAlign w:val="center"/>
          </w:tcPr>
          <w:p>
            <w:pPr>
              <w:spacing w:after="20"/>
            </w:pPr>
            <w:r/>
            <w:r>
              <w:rPr>
                <w:rFonts w:ascii="Aptos" w:hAnsi="Aptos"/>
                <w:b w:val="0"/>
                <w:sz w:val="14"/>
              </w:rPr>
              <w:t>AuditLog</w:t>
            </w:r>
          </w:p>
        </w:tc>
        <w:tc>
          <w:tcPr>
            <w:tcW w:type="dxa" w:w="3331"/>
            <w:vAlign w:val="center"/>
          </w:tcPr>
          <w:p>
            <w:pPr>
              <w:spacing w:after="20"/>
            </w:pPr>
            <w:r/>
            <w:r>
              <w:rPr>
                <w:rFonts w:ascii="Aptos" w:hAnsi="Aptos"/>
                <w:b w:val="0"/>
                <w:sz w:val="14"/>
              </w:rPr>
              <w:t>actor, tenant, action, entity type/id, timestamp, outcome, metadata</w:t>
            </w:r>
          </w:p>
        </w:tc>
        <w:tc>
          <w:tcPr>
            <w:tcW w:type="dxa" w:w="3331"/>
            <w:vAlign w:val="center"/>
          </w:tcPr>
          <w:p>
            <w:pPr>
              <w:spacing w:after="20"/>
            </w:pPr>
            <w:r/>
            <w:r>
              <w:rPr>
                <w:rFonts w:ascii="Aptos" w:hAnsi="Aptos"/>
                <w:b w:val="0"/>
                <w:sz w:val="14"/>
              </w:rPr>
              <w:t>Append-only application-level event record; protect from ordinary editing.</w:t>
            </w:r>
          </w:p>
        </w:tc>
      </w:tr>
    </w:tbl>
    <w:p>
      <w:pPr>
        <w:spacing w:after="0"/>
      </w:pPr>
    </w:p>
    <w:p>
      <w:pPr>
        <w:pStyle w:val="Heading2"/>
      </w:pPr>
      <w:r>
        <w:t>8.2 Publishing workflow</w:t>
      </w:r>
    </w:p>
    <w:p>
      <w:r>
        <w:t>Default workflow: DRAFT → REVIEW (if enabled) → APPROVED → PUBLISHED → ARCHIVED. For low-risk content, tenants may allow an authorized editor to publish directly. Emergency announcements may use a simplified authorized workflow. Each content type has an explicit policy; the product must not assume all institutions need identical approvals.</w:t>
      </w:r>
    </w:p>
    <w:p>
      <w:pPr>
        <w:pStyle w:val="Heading2"/>
      </w:pPr>
      <w:r>
        <w:t>8.3 CMS usability requirements</w:t>
      </w:r>
    </w:p>
    <w:p>
      <w:pPr>
        <w:pStyle w:val="ListBullet"/>
      </w:pPr>
      <w:r>
        <w:t>Forms provide inline validation, clear required-field indicators, useful error messages and save/cancel behaviour.</w:t>
      </w:r>
    </w:p>
    <w:p>
      <w:pPr>
        <w:pStyle w:val="ListBullet"/>
      </w:pPr>
      <w:r>
        <w:t>Preview approximates the real public page at desktop and mobile widths without exposing drafts publicly.</w:t>
      </w:r>
    </w:p>
    <w:p>
      <w:pPr>
        <w:pStyle w:val="ListBullet"/>
      </w:pPr>
      <w:r>
        <w:t>Editors can schedule future publication and set expiry for time-sensitive content.</w:t>
      </w:r>
    </w:p>
    <w:p>
      <w:pPr>
        <w:pStyle w:val="ListBullet"/>
      </w:pPr>
      <w:r>
        <w:t>Shared records display where they are used, reducing accidental orphaning and duplicate data entry.</w:t>
      </w:r>
    </w:p>
    <w:p>
      <w:pPr>
        <w:pStyle w:val="ListBullet"/>
      </w:pPr>
      <w:r>
        <w:t>Deletion warns when a record is referenced by other content; archive is preferred where history or links matter.</w:t>
      </w:r>
    </w:p>
    <w:p>
      <w:pPr>
        <w:pStyle w:val="ListBullet"/>
      </w:pPr>
      <w:r>
        <w:t>Media selection shows useful metadata and warns about missing alt text for meaningful images.</w:t>
      </w:r>
    </w:p>
    <w:p>
      <w:pPr>
        <w:pStyle w:val="ListBullet"/>
      </w:pPr>
      <w:r>
        <w:t>CMS-generated pages preserve heading order, link semantics, focus order and responsive behaviour.</w:t>
      </w:r>
    </w:p>
    <w:p>
      <w:pPr>
        <w:pStyle w:val="Heading1"/>
      </w:pPr>
      <w:r>
        <w:t>9. Use Cases and User Journeys</w:t>
      </w:r>
    </w:p>
    <w:p>
      <w:pPr>
        <w:pStyle w:val="Heading2"/>
      </w:pPr>
      <w:r>
        <w:t>9.1 UC-PUB-01: Explore a programme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5"/>
              </w:rPr>
              <w:t>Field</w:t>
            </w:r>
          </w:p>
        </w:tc>
        <w:tc>
          <w:tcPr>
            <w:tcW w:type="dxa" w:w="4997"/>
            <w:vAlign w:val="center"/>
            <w:shd w:fill="16324F"/>
          </w:tcPr>
          <w:p>
            <w:pPr>
              <w:spacing w:after="20"/>
            </w:pPr>
            <w:r/>
            <w:r>
              <w:rPr>
                <w:rFonts w:ascii="Aptos" w:hAnsi="Aptos"/>
                <w:b/>
                <w:color w:val="FFFFFF"/>
                <w:sz w:val="15"/>
              </w:rPr>
              <w:t>Description</w:t>
            </w:r>
          </w:p>
        </w:tc>
      </w:tr>
      <w:tr>
        <w:tc>
          <w:tcPr>
            <w:tcW w:type="dxa" w:w="4997"/>
            <w:vAlign w:val="center"/>
          </w:tcPr>
          <w:p>
            <w:pPr>
              <w:spacing w:after="20"/>
            </w:pPr>
            <w:r/>
            <w:r>
              <w:rPr>
                <w:rFonts w:ascii="Aptos" w:hAnsi="Aptos"/>
                <w:b w:val="0"/>
                <w:sz w:val="15"/>
              </w:rPr>
              <w:t>Primary actor</w:t>
            </w:r>
          </w:p>
        </w:tc>
        <w:tc>
          <w:tcPr>
            <w:tcW w:type="dxa" w:w="4997"/>
            <w:vAlign w:val="center"/>
          </w:tcPr>
          <w:p>
            <w:pPr>
              <w:spacing w:after="20"/>
            </w:pPr>
            <w:r/>
            <w:r>
              <w:rPr>
                <w:rFonts w:ascii="Aptos" w:hAnsi="Aptos"/>
                <w:b w:val="0"/>
                <w:sz w:val="15"/>
              </w:rPr>
              <w:t>Public visitor / prospective family</w:t>
            </w:r>
          </w:p>
        </w:tc>
      </w:tr>
      <w:tr>
        <w:tc>
          <w:tcPr>
            <w:tcW w:type="dxa" w:w="4997"/>
            <w:vAlign w:val="center"/>
            <w:shd w:fill="F1F5F8"/>
          </w:tcPr>
          <w:p>
            <w:pPr>
              <w:spacing w:after="20"/>
            </w:pPr>
            <w:r/>
            <w:r>
              <w:rPr>
                <w:rFonts w:ascii="Aptos" w:hAnsi="Aptos"/>
                <w:b w:val="0"/>
                <w:sz w:val="15"/>
              </w:rPr>
              <w:t>Goal</w:t>
            </w:r>
          </w:p>
        </w:tc>
        <w:tc>
          <w:tcPr>
            <w:tcW w:type="dxa" w:w="4997"/>
            <w:vAlign w:val="center"/>
            <w:shd w:fill="F1F5F8"/>
          </w:tcPr>
          <w:p>
            <w:pPr>
              <w:spacing w:after="20"/>
            </w:pPr>
            <w:r/>
            <w:r>
              <w:rPr>
                <w:rFonts w:ascii="Aptos" w:hAnsi="Aptos"/>
                <w:b w:val="0"/>
                <w:sz w:val="15"/>
              </w:rPr>
              <w:t>Understand a programme and determine the next action.</w:t>
            </w:r>
          </w:p>
        </w:tc>
      </w:tr>
      <w:tr>
        <w:tc>
          <w:tcPr>
            <w:tcW w:type="dxa" w:w="4997"/>
            <w:vAlign w:val="center"/>
          </w:tcPr>
          <w:p>
            <w:pPr>
              <w:spacing w:after="20"/>
            </w:pPr>
            <w:r/>
            <w:r>
              <w:rPr>
                <w:rFonts w:ascii="Aptos" w:hAnsi="Aptos"/>
                <w:b w:val="0"/>
                <w:sz w:val="15"/>
              </w:rPr>
              <w:t>Preconditions</w:t>
            </w:r>
          </w:p>
        </w:tc>
        <w:tc>
          <w:tcPr>
            <w:tcW w:type="dxa" w:w="4997"/>
            <w:vAlign w:val="center"/>
          </w:tcPr>
          <w:p>
            <w:pPr>
              <w:spacing w:after="20"/>
            </w:pPr>
            <w:r/>
            <w:r>
              <w:rPr>
                <w:rFonts w:ascii="Aptos" w:hAnsi="Aptos"/>
                <w:b w:val="0"/>
                <w:sz w:val="15"/>
              </w:rPr>
              <w:t>The tenant domain resolves and the programme is published.</w:t>
            </w:r>
          </w:p>
        </w:tc>
      </w:tr>
      <w:tr>
        <w:tc>
          <w:tcPr>
            <w:tcW w:type="dxa" w:w="4997"/>
            <w:vAlign w:val="center"/>
            <w:shd w:fill="F1F5F8"/>
          </w:tcPr>
          <w:p>
            <w:pPr>
              <w:spacing w:after="20"/>
            </w:pPr>
            <w:r/>
            <w:r>
              <w:rPr>
                <w:rFonts w:ascii="Aptos" w:hAnsi="Aptos"/>
                <w:b w:val="0"/>
                <w:sz w:val="15"/>
              </w:rPr>
              <w:t>Main flow</w:t>
            </w:r>
          </w:p>
        </w:tc>
        <w:tc>
          <w:tcPr>
            <w:tcW w:type="dxa" w:w="4997"/>
            <w:vAlign w:val="center"/>
            <w:shd w:fill="F1F5F8"/>
          </w:tcPr>
          <w:p>
            <w:pPr>
              <w:spacing w:after="20"/>
            </w:pPr>
            <w:r/>
            <w:r>
              <w:rPr>
                <w:rFonts w:ascii="Aptos" w:hAnsi="Aptos"/>
                <w:b w:val="0"/>
                <w:sz w:val="15"/>
              </w:rPr>
              <w:t>Open academics/programmes → search/filter if needed → open programme → review description, level, duration, requirements and related content → select admissions CTA or contact option.</w:t>
            </w:r>
          </w:p>
        </w:tc>
      </w:tr>
      <w:tr>
        <w:tc>
          <w:tcPr>
            <w:tcW w:type="dxa" w:w="4997"/>
            <w:vAlign w:val="center"/>
          </w:tcPr>
          <w:p>
            <w:pPr>
              <w:spacing w:after="20"/>
            </w:pPr>
            <w:r/>
            <w:r>
              <w:rPr>
                <w:rFonts w:ascii="Aptos" w:hAnsi="Aptos"/>
                <w:b w:val="0"/>
                <w:sz w:val="15"/>
              </w:rPr>
              <w:t>Alternatives</w:t>
            </w:r>
          </w:p>
        </w:tc>
        <w:tc>
          <w:tcPr>
            <w:tcW w:type="dxa" w:w="4997"/>
            <w:vAlign w:val="center"/>
          </w:tcPr>
          <w:p>
            <w:pPr>
              <w:spacing w:after="20"/>
            </w:pPr>
            <w:r/>
            <w:r>
              <w:rPr>
                <w:rFonts w:ascii="Aptos" w:hAnsi="Aptos"/>
                <w:b w:val="0"/>
                <w:sz w:val="15"/>
              </w:rPr>
              <w:t>No matching programme: show helpful empty state and contact/admissions link. Programme is archived: do not present it as an active option.</w:t>
            </w:r>
          </w:p>
        </w:tc>
      </w:tr>
      <w:tr>
        <w:tc>
          <w:tcPr>
            <w:tcW w:type="dxa" w:w="4997"/>
            <w:vAlign w:val="center"/>
            <w:shd w:fill="F1F5F8"/>
          </w:tcPr>
          <w:p>
            <w:pPr>
              <w:spacing w:after="20"/>
            </w:pPr>
            <w:r/>
            <w:r>
              <w:rPr>
                <w:rFonts w:ascii="Aptos" w:hAnsi="Aptos"/>
                <w:b w:val="0"/>
                <w:sz w:val="15"/>
              </w:rPr>
              <w:t>Exceptions</w:t>
            </w:r>
          </w:p>
        </w:tc>
        <w:tc>
          <w:tcPr>
            <w:tcW w:type="dxa" w:w="4997"/>
            <w:vAlign w:val="center"/>
            <w:shd w:fill="F1F5F8"/>
          </w:tcPr>
          <w:p>
            <w:pPr>
              <w:spacing w:after="20"/>
            </w:pPr>
            <w:r/>
            <w:r>
              <w:rPr>
                <w:rFonts w:ascii="Aptos" w:hAnsi="Aptos"/>
                <w:b w:val="0"/>
                <w:sz w:val="15"/>
              </w:rPr>
              <w:t>Network error: provide retry and preserve navigational context where possible.</w:t>
            </w:r>
          </w:p>
        </w:tc>
      </w:tr>
      <w:tr>
        <w:tc>
          <w:tcPr>
            <w:tcW w:type="dxa" w:w="4997"/>
            <w:vAlign w:val="center"/>
          </w:tcPr>
          <w:p>
            <w:pPr>
              <w:spacing w:after="20"/>
            </w:pPr>
            <w:r/>
            <w:r>
              <w:rPr>
                <w:rFonts w:ascii="Aptos" w:hAnsi="Aptos"/>
                <w:b w:val="0"/>
                <w:sz w:val="15"/>
              </w:rPr>
              <w:t>Postconditions</w:t>
            </w:r>
          </w:p>
        </w:tc>
        <w:tc>
          <w:tcPr>
            <w:tcW w:type="dxa" w:w="4997"/>
            <w:vAlign w:val="center"/>
          </w:tcPr>
          <w:p>
            <w:pPr>
              <w:spacing w:after="20"/>
            </w:pPr>
            <w:r/>
            <w:r>
              <w:rPr>
                <w:rFonts w:ascii="Aptos" w:hAnsi="Aptos"/>
                <w:b w:val="0"/>
                <w:sz w:val="15"/>
              </w:rPr>
              <w:t>No private data is created unless visitor submits a form. Analytics may record privacy-permitted aggregate events.</w:t>
            </w:r>
          </w:p>
        </w:tc>
      </w:tr>
      <w:tr>
        <w:tc>
          <w:tcPr>
            <w:tcW w:type="dxa" w:w="4997"/>
            <w:vAlign w:val="center"/>
            <w:shd w:fill="F1F5F8"/>
          </w:tcPr>
          <w:p>
            <w:pPr>
              <w:spacing w:after="20"/>
            </w:pPr>
            <w:r/>
            <w:r>
              <w:rPr>
                <w:rFonts w:ascii="Aptos" w:hAnsi="Aptos"/>
                <w:b w:val="0"/>
                <w:sz w:val="15"/>
              </w:rPr>
              <w:t>Business rules</w:t>
            </w:r>
          </w:p>
        </w:tc>
        <w:tc>
          <w:tcPr>
            <w:tcW w:type="dxa" w:w="4997"/>
            <w:vAlign w:val="center"/>
            <w:shd w:fill="F1F5F8"/>
          </w:tcPr>
          <w:p>
            <w:pPr>
              <w:spacing w:after="20"/>
            </w:pPr>
            <w:r/>
            <w:r>
              <w:rPr>
                <w:rFonts w:ascii="Aptos" w:hAnsi="Aptos"/>
                <w:b w:val="0"/>
                <w:sz w:val="15"/>
              </w:rPr>
              <w:t>Only published tenant-owned programmes appear; CTA target follows tenant configuration.</w:t>
            </w:r>
          </w:p>
        </w:tc>
      </w:tr>
    </w:tbl>
    <w:p>
      <w:pPr>
        <w:spacing w:after="0"/>
      </w:pPr>
    </w:p>
    <w:p>
      <w:pPr>
        <w:pStyle w:val="Heading2"/>
      </w:pPr>
      <w:r>
        <w:t>9.2 UC-CMS-01: Publish a page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5"/>
              </w:rPr>
              <w:t>Field</w:t>
            </w:r>
          </w:p>
        </w:tc>
        <w:tc>
          <w:tcPr>
            <w:tcW w:type="dxa" w:w="4997"/>
            <w:vAlign w:val="center"/>
            <w:shd w:fill="16324F"/>
          </w:tcPr>
          <w:p>
            <w:pPr>
              <w:spacing w:after="20"/>
            </w:pPr>
            <w:r/>
            <w:r>
              <w:rPr>
                <w:rFonts w:ascii="Aptos" w:hAnsi="Aptos"/>
                <w:b/>
                <w:color w:val="FFFFFF"/>
                <w:sz w:val="15"/>
              </w:rPr>
              <w:t>Description</w:t>
            </w:r>
          </w:p>
        </w:tc>
      </w:tr>
      <w:tr>
        <w:tc>
          <w:tcPr>
            <w:tcW w:type="dxa" w:w="4997"/>
            <w:vAlign w:val="center"/>
          </w:tcPr>
          <w:p>
            <w:pPr>
              <w:spacing w:after="20"/>
            </w:pPr>
            <w:r/>
            <w:r>
              <w:rPr>
                <w:rFonts w:ascii="Aptos" w:hAnsi="Aptos"/>
                <w:b w:val="0"/>
                <w:sz w:val="15"/>
              </w:rPr>
              <w:t>Primary actor</w:t>
            </w:r>
          </w:p>
        </w:tc>
        <w:tc>
          <w:tcPr>
            <w:tcW w:type="dxa" w:w="4997"/>
            <w:vAlign w:val="center"/>
          </w:tcPr>
          <w:p>
            <w:pPr>
              <w:spacing w:after="20"/>
            </w:pPr>
            <w:r/>
            <w:r>
              <w:rPr>
                <w:rFonts w:ascii="Aptos" w:hAnsi="Aptos"/>
                <w:b w:val="0"/>
                <w:sz w:val="15"/>
              </w:rPr>
              <w:t>Content Editor with publish permission</w:t>
            </w:r>
          </w:p>
        </w:tc>
      </w:tr>
      <w:tr>
        <w:tc>
          <w:tcPr>
            <w:tcW w:type="dxa" w:w="4997"/>
            <w:vAlign w:val="center"/>
            <w:shd w:fill="F1F5F8"/>
          </w:tcPr>
          <w:p>
            <w:pPr>
              <w:spacing w:after="20"/>
            </w:pPr>
            <w:r/>
            <w:r>
              <w:rPr>
                <w:rFonts w:ascii="Aptos" w:hAnsi="Aptos"/>
                <w:b w:val="0"/>
                <w:sz w:val="15"/>
              </w:rPr>
              <w:t>Goal</w:t>
            </w:r>
          </w:p>
        </w:tc>
        <w:tc>
          <w:tcPr>
            <w:tcW w:type="dxa" w:w="4997"/>
            <w:vAlign w:val="center"/>
            <w:shd w:fill="F1F5F8"/>
          </w:tcPr>
          <w:p>
            <w:pPr>
              <w:spacing w:after="20"/>
            </w:pPr>
            <w:r/>
            <w:r>
              <w:rPr>
                <w:rFonts w:ascii="Aptos" w:hAnsi="Aptos"/>
                <w:b w:val="0"/>
                <w:sz w:val="15"/>
              </w:rPr>
              <w:t>Create or update a public page without developer help.</w:t>
            </w:r>
          </w:p>
        </w:tc>
      </w:tr>
      <w:tr>
        <w:tc>
          <w:tcPr>
            <w:tcW w:type="dxa" w:w="4997"/>
            <w:vAlign w:val="center"/>
          </w:tcPr>
          <w:p>
            <w:pPr>
              <w:spacing w:after="20"/>
            </w:pPr>
            <w:r/>
            <w:r>
              <w:rPr>
                <w:rFonts w:ascii="Aptos" w:hAnsi="Aptos"/>
                <w:b w:val="0"/>
                <w:sz w:val="15"/>
              </w:rPr>
              <w:t>Preconditions</w:t>
            </w:r>
          </w:p>
        </w:tc>
        <w:tc>
          <w:tcPr>
            <w:tcW w:type="dxa" w:w="4997"/>
            <w:vAlign w:val="center"/>
          </w:tcPr>
          <w:p>
            <w:pPr>
              <w:spacing w:after="20"/>
            </w:pPr>
            <w:r/>
            <w:r>
              <w:rPr>
                <w:rFonts w:ascii="Aptos" w:hAnsi="Aptos"/>
                <w:b w:val="0"/>
                <w:sz w:val="15"/>
              </w:rPr>
              <w:t>Authenticated user; active tenant; permitted content type.</w:t>
            </w:r>
          </w:p>
        </w:tc>
      </w:tr>
      <w:tr>
        <w:tc>
          <w:tcPr>
            <w:tcW w:type="dxa" w:w="4997"/>
            <w:vAlign w:val="center"/>
            <w:shd w:fill="F1F5F8"/>
          </w:tcPr>
          <w:p>
            <w:pPr>
              <w:spacing w:after="20"/>
            </w:pPr>
            <w:r/>
            <w:r>
              <w:rPr>
                <w:rFonts w:ascii="Aptos" w:hAnsi="Aptos"/>
                <w:b w:val="0"/>
                <w:sz w:val="15"/>
              </w:rPr>
              <w:t>Main flow</w:t>
            </w:r>
          </w:p>
        </w:tc>
        <w:tc>
          <w:tcPr>
            <w:tcW w:type="dxa" w:w="4997"/>
            <w:vAlign w:val="center"/>
            <w:shd w:fill="F1F5F8"/>
          </w:tcPr>
          <w:p>
            <w:pPr>
              <w:spacing w:after="20"/>
            </w:pPr>
            <w:r/>
            <w:r>
              <w:rPr>
                <w:rFonts w:ascii="Aptos" w:hAnsi="Aptos"/>
                <w:b w:val="0"/>
                <w:sz w:val="15"/>
              </w:rPr>
              <w:t>Create/edit draft → add approved sections → set metadata and slug → preview desktop/mobile → submit for review or publish → system validates → publish/schedule → record audit event.</w:t>
            </w:r>
          </w:p>
        </w:tc>
      </w:tr>
      <w:tr>
        <w:tc>
          <w:tcPr>
            <w:tcW w:type="dxa" w:w="4997"/>
            <w:vAlign w:val="center"/>
          </w:tcPr>
          <w:p>
            <w:pPr>
              <w:spacing w:after="20"/>
            </w:pPr>
            <w:r/>
            <w:r>
              <w:rPr>
                <w:rFonts w:ascii="Aptos" w:hAnsi="Aptos"/>
                <w:b w:val="0"/>
                <w:sz w:val="15"/>
              </w:rPr>
              <w:t>Alternatives</w:t>
            </w:r>
          </w:p>
        </w:tc>
        <w:tc>
          <w:tcPr>
            <w:tcW w:type="dxa" w:w="4997"/>
            <w:vAlign w:val="center"/>
          </w:tcPr>
          <w:p>
            <w:pPr>
              <w:spacing w:after="20"/>
            </w:pPr>
            <w:r/>
            <w:r>
              <w:rPr>
                <w:rFonts w:ascii="Aptos" w:hAnsi="Aptos"/>
                <w:b w:val="0"/>
                <w:sz w:val="15"/>
              </w:rPr>
              <w:t>Approval required: page remains pending until authorized approver acts. Validation failure: system identifies fields to fix.</w:t>
            </w:r>
          </w:p>
        </w:tc>
      </w:tr>
      <w:tr>
        <w:tc>
          <w:tcPr>
            <w:tcW w:type="dxa" w:w="4997"/>
            <w:vAlign w:val="center"/>
            <w:shd w:fill="F1F5F8"/>
          </w:tcPr>
          <w:p>
            <w:pPr>
              <w:spacing w:after="20"/>
            </w:pPr>
            <w:r/>
            <w:r>
              <w:rPr>
                <w:rFonts w:ascii="Aptos" w:hAnsi="Aptos"/>
                <w:b w:val="0"/>
                <w:sz w:val="15"/>
              </w:rPr>
              <w:t>Exceptions</w:t>
            </w:r>
          </w:p>
        </w:tc>
        <w:tc>
          <w:tcPr>
            <w:tcW w:type="dxa" w:w="4997"/>
            <w:vAlign w:val="center"/>
            <w:shd w:fill="F1F5F8"/>
          </w:tcPr>
          <w:p>
            <w:pPr>
              <w:spacing w:after="20"/>
            </w:pPr>
            <w:r/>
            <w:r>
              <w:rPr>
                <w:rFonts w:ascii="Aptos" w:hAnsi="Aptos"/>
                <w:b w:val="0"/>
                <w:sz w:val="15"/>
              </w:rPr>
              <w:t>Concurrent edit: detect version conflict and avoid silently overwriting newer content.</w:t>
            </w:r>
          </w:p>
        </w:tc>
      </w:tr>
      <w:tr>
        <w:tc>
          <w:tcPr>
            <w:tcW w:type="dxa" w:w="4997"/>
            <w:vAlign w:val="center"/>
          </w:tcPr>
          <w:p>
            <w:pPr>
              <w:spacing w:after="20"/>
            </w:pPr>
            <w:r/>
            <w:r>
              <w:rPr>
                <w:rFonts w:ascii="Aptos" w:hAnsi="Aptos"/>
                <w:b w:val="0"/>
                <w:sz w:val="15"/>
              </w:rPr>
              <w:t>Postconditions</w:t>
            </w:r>
          </w:p>
        </w:tc>
        <w:tc>
          <w:tcPr>
            <w:tcW w:type="dxa" w:w="4997"/>
            <w:vAlign w:val="center"/>
          </w:tcPr>
          <w:p>
            <w:pPr>
              <w:spacing w:after="20"/>
            </w:pPr>
            <w:r/>
            <w:r>
              <w:rPr>
                <w:rFonts w:ascii="Aptos" w:hAnsi="Aptos"/>
                <w:b w:val="0"/>
                <w:sz w:val="15"/>
              </w:rPr>
              <w:t>Published page is visible on the correct tenant domain; sitemap/search update according to policy.</w:t>
            </w:r>
          </w:p>
        </w:tc>
      </w:tr>
      <w:tr>
        <w:tc>
          <w:tcPr>
            <w:tcW w:type="dxa" w:w="4997"/>
            <w:vAlign w:val="center"/>
            <w:shd w:fill="F1F5F8"/>
          </w:tcPr>
          <w:p>
            <w:pPr>
              <w:spacing w:after="20"/>
            </w:pPr>
            <w:r/>
            <w:r>
              <w:rPr>
                <w:rFonts w:ascii="Aptos" w:hAnsi="Aptos"/>
                <w:b w:val="0"/>
                <w:sz w:val="15"/>
              </w:rPr>
              <w:t>Business rules</w:t>
            </w:r>
          </w:p>
        </w:tc>
        <w:tc>
          <w:tcPr>
            <w:tcW w:type="dxa" w:w="4997"/>
            <w:vAlign w:val="center"/>
            <w:shd w:fill="F1F5F8"/>
          </w:tcPr>
          <w:p>
            <w:pPr>
              <w:spacing w:after="20"/>
            </w:pPr>
            <w:r/>
            <w:r>
              <w:rPr>
                <w:rFonts w:ascii="Aptos" w:hAnsi="Aptos"/>
                <w:b w:val="0"/>
                <w:sz w:val="15"/>
              </w:rPr>
              <w:t>Drafts are private; only authorized roles publish; slug uniqueness is tenant-scoped unless routing rules require global uniqueness.</w:t>
            </w:r>
          </w:p>
        </w:tc>
      </w:tr>
    </w:tbl>
    <w:p>
      <w:pPr>
        <w:spacing w:after="0"/>
      </w:pPr>
    </w:p>
    <w:p>
      <w:pPr>
        <w:pStyle w:val="Heading2"/>
      </w:pPr>
      <w:r>
        <w:t>9.3 UC-APP-01: Submit an application (Release 2)</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5"/>
              </w:rPr>
              <w:t>Field</w:t>
            </w:r>
          </w:p>
        </w:tc>
        <w:tc>
          <w:tcPr>
            <w:tcW w:type="dxa" w:w="4997"/>
            <w:vAlign w:val="center"/>
            <w:shd w:fill="16324F"/>
          </w:tcPr>
          <w:p>
            <w:pPr>
              <w:spacing w:after="20"/>
            </w:pPr>
            <w:r/>
            <w:r>
              <w:rPr>
                <w:rFonts w:ascii="Aptos" w:hAnsi="Aptos"/>
                <w:b/>
                <w:color w:val="FFFFFF"/>
                <w:sz w:val="15"/>
              </w:rPr>
              <w:t>Description</w:t>
            </w:r>
          </w:p>
        </w:tc>
      </w:tr>
      <w:tr>
        <w:tc>
          <w:tcPr>
            <w:tcW w:type="dxa" w:w="4997"/>
            <w:vAlign w:val="center"/>
          </w:tcPr>
          <w:p>
            <w:pPr>
              <w:spacing w:after="20"/>
            </w:pPr>
            <w:r/>
            <w:r>
              <w:rPr>
                <w:rFonts w:ascii="Aptos" w:hAnsi="Aptos"/>
                <w:b w:val="0"/>
                <w:sz w:val="15"/>
              </w:rPr>
              <w:t>Primary actor</w:t>
            </w:r>
          </w:p>
        </w:tc>
        <w:tc>
          <w:tcPr>
            <w:tcW w:type="dxa" w:w="4997"/>
            <w:vAlign w:val="center"/>
          </w:tcPr>
          <w:p>
            <w:pPr>
              <w:spacing w:after="20"/>
            </w:pPr>
            <w:r/>
            <w:r>
              <w:rPr>
                <w:rFonts w:ascii="Aptos" w:hAnsi="Aptos"/>
                <w:b w:val="0"/>
                <w:sz w:val="15"/>
              </w:rPr>
              <w:t>Applicant</w:t>
            </w:r>
          </w:p>
        </w:tc>
      </w:tr>
      <w:tr>
        <w:tc>
          <w:tcPr>
            <w:tcW w:type="dxa" w:w="4997"/>
            <w:vAlign w:val="center"/>
            <w:shd w:fill="F1F5F8"/>
          </w:tcPr>
          <w:p>
            <w:pPr>
              <w:spacing w:after="20"/>
            </w:pPr>
            <w:r/>
            <w:r>
              <w:rPr>
                <w:rFonts w:ascii="Aptos" w:hAnsi="Aptos"/>
                <w:b w:val="0"/>
                <w:sz w:val="15"/>
              </w:rPr>
              <w:t>Goal</w:t>
            </w:r>
          </w:p>
        </w:tc>
        <w:tc>
          <w:tcPr>
            <w:tcW w:type="dxa" w:w="4997"/>
            <w:vAlign w:val="center"/>
            <w:shd w:fill="F1F5F8"/>
          </w:tcPr>
          <w:p>
            <w:pPr>
              <w:spacing w:after="20"/>
            </w:pPr>
            <w:r/>
            <w:r>
              <w:rPr>
                <w:rFonts w:ascii="Aptos" w:hAnsi="Aptos"/>
                <w:b w:val="0"/>
                <w:sz w:val="15"/>
              </w:rPr>
              <w:t>Submit a complete application and receive confirmation.</w:t>
            </w:r>
          </w:p>
        </w:tc>
      </w:tr>
      <w:tr>
        <w:tc>
          <w:tcPr>
            <w:tcW w:type="dxa" w:w="4997"/>
            <w:vAlign w:val="center"/>
          </w:tcPr>
          <w:p>
            <w:pPr>
              <w:spacing w:after="20"/>
            </w:pPr>
            <w:r/>
            <w:r>
              <w:rPr>
                <w:rFonts w:ascii="Aptos" w:hAnsi="Aptos"/>
                <w:b w:val="0"/>
                <w:sz w:val="15"/>
              </w:rPr>
              <w:t>Preconditions</w:t>
            </w:r>
          </w:p>
        </w:tc>
        <w:tc>
          <w:tcPr>
            <w:tcW w:type="dxa" w:w="4997"/>
            <w:vAlign w:val="center"/>
          </w:tcPr>
          <w:p>
            <w:pPr>
              <w:spacing w:after="20"/>
            </w:pPr>
            <w:r/>
            <w:r>
              <w:rPr>
                <w:rFonts w:ascii="Aptos" w:hAnsi="Aptos"/>
                <w:b w:val="0"/>
                <w:sz w:val="15"/>
              </w:rPr>
              <w:t>Application cycle open; applicant authenticated; programme/grade enabled.</w:t>
            </w:r>
          </w:p>
        </w:tc>
      </w:tr>
      <w:tr>
        <w:tc>
          <w:tcPr>
            <w:tcW w:type="dxa" w:w="4997"/>
            <w:vAlign w:val="center"/>
            <w:shd w:fill="F1F5F8"/>
          </w:tcPr>
          <w:p>
            <w:pPr>
              <w:spacing w:after="20"/>
            </w:pPr>
            <w:r/>
            <w:r>
              <w:rPr>
                <w:rFonts w:ascii="Aptos" w:hAnsi="Aptos"/>
                <w:b w:val="0"/>
                <w:sz w:val="15"/>
              </w:rPr>
              <w:t>Main flow</w:t>
            </w:r>
          </w:p>
        </w:tc>
        <w:tc>
          <w:tcPr>
            <w:tcW w:type="dxa" w:w="4997"/>
            <w:vAlign w:val="center"/>
            <w:shd w:fill="F1F5F8"/>
          </w:tcPr>
          <w:p>
            <w:pPr>
              <w:spacing w:after="20"/>
            </w:pPr>
            <w:r/>
            <w:r>
              <w:rPr>
                <w:rFonts w:ascii="Aptos" w:hAnsi="Aptos"/>
                <w:b w:val="0"/>
                <w:sz w:val="15"/>
              </w:rPr>
              <w:t>Start draft → complete applicant/guardian and academic sections → upload required documents → review checklist → confirm submission → server validates completeness → record submitted status/time → show confirmation and application ID → send notification if configured.</w:t>
            </w:r>
          </w:p>
        </w:tc>
      </w:tr>
      <w:tr>
        <w:tc>
          <w:tcPr>
            <w:tcW w:type="dxa" w:w="4997"/>
            <w:vAlign w:val="center"/>
          </w:tcPr>
          <w:p>
            <w:pPr>
              <w:spacing w:after="20"/>
            </w:pPr>
            <w:r/>
            <w:r>
              <w:rPr>
                <w:rFonts w:ascii="Aptos" w:hAnsi="Aptos"/>
                <w:b w:val="0"/>
                <w:sz w:val="15"/>
              </w:rPr>
              <w:t>Alternatives</w:t>
            </w:r>
          </w:p>
        </w:tc>
        <w:tc>
          <w:tcPr>
            <w:tcW w:type="dxa" w:w="4997"/>
            <w:vAlign w:val="center"/>
          </w:tcPr>
          <w:p>
            <w:pPr>
              <w:spacing w:after="20"/>
            </w:pPr>
            <w:r/>
            <w:r>
              <w:rPr>
                <w:rFonts w:ascii="Aptos" w:hAnsi="Aptos"/>
                <w:b w:val="0"/>
                <w:sz w:val="15"/>
              </w:rPr>
              <w:t>Incomplete: show missing fields/documents and retain draft. Cycle closed: prevent submission and display dates/contact instructions.</w:t>
            </w:r>
          </w:p>
        </w:tc>
      </w:tr>
      <w:tr>
        <w:tc>
          <w:tcPr>
            <w:tcW w:type="dxa" w:w="4997"/>
            <w:vAlign w:val="center"/>
            <w:shd w:fill="F1F5F8"/>
          </w:tcPr>
          <w:p>
            <w:pPr>
              <w:spacing w:after="20"/>
            </w:pPr>
            <w:r/>
            <w:r>
              <w:rPr>
                <w:rFonts w:ascii="Aptos" w:hAnsi="Aptos"/>
                <w:b w:val="0"/>
                <w:sz w:val="15"/>
              </w:rPr>
              <w:t>Exceptions</w:t>
            </w:r>
          </w:p>
        </w:tc>
        <w:tc>
          <w:tcPr>
            <w:tcW w:type="dxa" w:w="4997"/>
            <w:vAlign w:val="center"/>
            <w:shd w:fill="F1F5F8"/>
          </w:tcPr>
          <w:p>
            <w:pPr>
              <w:spacing w:after="20"/>
            </w:pPr>
            <w:r/>
            <w:r>
              <w:rPr>
                <w:rFonts w:ascii="Aptos" w:hAnsi="Aptos"/>
                <w:b w:val="0"/>
                <w:sz w:val="15"/>
              </w:rPr>
              <w:t>Upload/network failure: preserve entered fields and allow safe retry; duplicate submission request must not create duplicate applications.</w:t>
            </w:r>
          </w:p>
        </w:tc>
      </w:tr>
      <w:tr>
        <w:tc>
          <w:tcPr>
            <w:tcW w:type="dxa" w:w="4997"/>
            <w:vAlign w:val="center"/>
          </w:tcPr>
          <w:p>
            <w:pPr>
              <w:spacing w:after="20"/>
            </w:pPr>
            <w:r/>
            <w:r>
              <w:rPr>
                <w:rFonts w:ascii="Aptos" w:hAnsi="Aptos"/>
                <w:b w:val="0"/>
                <w:sz w:val="15"/>
              </w:rPr>
              <w:t>Postconditions</w:t>
            </w:r>
          </w:p>
        </w:tc>
        <w:tc>
          <w:tcPr>
            <w:tcW w:type="dxa" w:w="4997"/>
            <w:vAlign w:val="center"/>
          </w:tcPr>
          <w:p>
            <w:pPr>
              <w:spacing w:after="20"/>
            </w:pPr>
            <w:r/>
            <w:r>
              <w:rPr>
                <w:rFonts w:ascii="Aptos" w:hAnsi="Aptos"/>
                <w:b w:val="0"/>
                <w:sz w:val="15"/>
              </w:rPr>
              <w:t>Submitted application enters authorized review queue; applicant can track status.</w:t>
            </w:r>
          </w:p>
        </w:tc>
      </w:tr>
      <w:tr>
        <w:tc>
          <w:tcPr>
            <w:tcW w:type="dxa" w:w="4997"/>
            <w:vAlign w:val="center"/>
            <w:shd w:fill="F1F5F8"/>
          </w:tcPr>
          <w:p>
            <w:pPr>
              <w:spacing w:after="20"/>
            </w:pPr>
            <w:r/>
            <w:r>
              <w:rPr>
                <w:rFonts w:ascii="Aptos" w:hAnsi="Aptos"/>
                <w:b w:val="0"/>
                <w:sz w:val="15"/>
              </w:rPr>
              <w:t>Business rules</w:t>
            </w:r>
          </w:p>
        </w:tc>
        <w:tc>
          <w:tcPr>
            <w:tcW w:type="dxa" w:w="4997"/>
            <w:vAlign w:val="center"/>
            <w:shd w:fill="F1F5F8"/>
          </w:tcPr>
          <w:p>
            <w:pPr>
              <w:spacing w:after="20"/>
            </w:pPr>
            <w:r/>
            <w:r>
              <w:rPr>
                <w:rFonts w:ascii="Aptos" w:hAnsi="Aptos"/>
                <w:b w:val="0"/>
                <w:sz w:val="15"/>
              </w:rPr>
              <w:t>Applicant can access only their own records; decision/status transitions are permission-controlled and audited.</w:t>
            </w:r>
          </w:p>
        </w:tc>
      </w:tr>
    </w:tbl>
    <w:p>
      <w:pPr>
        <w:spacing w:after="0"/>
      </w:pPr>
    </w:p>
    <w:p>
      <w:pPr>
        <w:pStyle w:val="Heading2"/>
      </w:pPr>
      <w:r>
        <w:t>9.4 Use-case catalogue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5"/>
              </w:rPr>
              <w:t>ID</w:t>
            </w:r>
          </w:p>
        </w:tc>
        <w:tc>
          <w:tcPr>
            <w:tcW w:type="dxa" w:w="2498"/>
            <w:vAlign w:val="center"/>
            <w:shd w:fill="16324F"/>
          </w:tcPr>
          <w:p>
            <w:pPr>
              <w:spacing w:after="20"/>
            </w:pPr>
            <w:r/>
            <w:r>
              <w:rPr>
                <w:rFonts w:ascii="Aptos" w:hAnsi="Aptos"/>
                <w:b/>
                <w:color w:val="FFFFFF"/>
                <w:sz w:val="15"/>
              </w:rPr>
              <w:t>Use case</w:t>
            </w:r>
          </w:p>
        </w:tc>
        <w:tc>
          <w:tcPr>
            <w:tcW w:type="dxa" w:w="2498"/>
            <w:vAlign w:val="center"/>
            <w:shd w:fill="16324F"/>
          </w:tcPr>
          <w:p>
            <w:pPr>
              <w:spacing w:after="20"/>
            </w:pPr>
            <w:r/>
            <w:r>
              <w:rPr>
                <w:rFonts w:ascii="Aptos" w:hAnsi="Aptos"/>
                <w:b/>
                <w:color w:val="FFFFFF"/>
                <w:sz w:val="15"/>
              </w:rPr>
              <w:t>Primary actor</w:t>
            </w:r>
          </w:p>
        </w:tc>
        <w:tc>
          <w:tcPr>
            <w:tcW w:type="dxa" w:w="2498"/>
            <w:vAlign w:val="center"/>
            <w:shd w:fill="16324F"/>
          </w:tcPr>
          <w:p>
            <w:pPr>
              <w:spacing w:after="20"/>
            </w:pPr>
            <w:r/>
            <w:r>
              <w:rPr>
                <w:rFonts w:ascii="Aptos" w:hAnsi="Aptos"/>
                <w:b/>
                <w:color w:val="FFFFFF"/>
                <w:sz w:val="15"/>
              </w:rPr>
              <w:t>Release</w:t>
            </w:r>
          </w:p>
        </w:tc>
      </w:tr>
      <w:tr>
        <w:tc>
          <w:tcPr>
            <w:tcW w:type="dxa" w:w="2498"/>
            <w:vAlign w:val="center"/>
          </w:tcPr>
          <w:p>
            <w:pPr>
              <w:spacing w:after="20"/>
            </w:pPr>
            <w:r/>
            <w:r>
              <w:rPr>
                <w:rFonts w:ascii="Aptos" w:hAnsi="Aptos"/>
                <w:b w:val="0"/>
                <w:sz w:val="15"/>
              </w:rPr>
              <w:t>UC-PUB-01</w:t>
            </w:r>
          </w:p>
        </w:tc>
        <w:tc>
          <w:tcPr>
            <w:tcW w:type="dxa" w:w="2498"/>
            <w:vAlign w:val="center"/>
          </w:tcPr>
          <w:p>
            <w:pPr>
              <w:spacing w:after="20"/>
            </w:pPr>
            <w:r/>
            <w:r>
              <w:rPr>
                <w:rFonts w:ascii="Aptos" w:hAnsi="Aptos"/>
                <w:b w:val="0"/>
                <w:sz w:val="15"/>
              </w:rPr>
              <w:t>Browse school and explore programme</w:t>
            </w:r>
          </w:p>
        </w:tc>
        <w:tc>
          <w:tcPr>
            <w:tcW w:type="dxa" w:w="2498"/>
            <w:vAlign w:val="center"/>
          </w:tcPr>
          <w:p>
            <w:pPr>
              <w:spacing w:after="20"/>
            </w:pPr>
            <w:r/>
            <w:r>
              <w:rPr>
                <w:rFonts w:ascii="Aptos" w:hAnsi="Aptos"/>
                <w:b w:val="0"/>
                <w:sz w:val="15"/>
              </w:rPr>
              <w:t>Visitor</w:t>
            </w:r>
          </w:p>
        </w:tc>
        <w:tc>
          <w:tcPr>
            <w:tcW w:type="dxa" w:w="2498"/>
            <w:vAlign w:val="center"/>
          </w:tcPr>
          <w:p>
            <w:pPr>
              <w:spacing w:after="20"/>
            </w:pPr>
            <w:r/>
            <w:r>
              <w:rPr>
                <w:rFonts w:ascii="Aptos" w:hAnsi="Aptos"/>
                <w:b w:val="0"/>
                <w:sz w:val="15"/>
              </w:rPr>
              <w:t>MVP</w:t>
            </w:r>
          </w:p>
        </w:tc>
      </w:tr>
      <w:tr>
        <w:tc>
          <w:tcPr>
            <w:tcW w:type="dxa" w:w="2498"/>
            <w:vAlign w:val="center"/>
            <w:shd w:fill="F1F5F8"/>
          </w:tcPr>
          <w:p>
            <w:pPr>
              <w:spacing w:after="20"/>
            </w:pPr>
            <w:r/>
            <w:r>
              <w:rPr>
                <w:rFonts w:ascii="Aptos" w:hAnsi="Aptos"/>
                <w:b w:val="0"/>
                <w:sz w:val="15"/>
              </w:rPr>
              <w:t>UC-PUB-02</w:t>
            </w:r>
          </w:p>
        </w:tc>
        <w:tc>
          <w:tcPr>
            <w:tcW w:type="dxa" w:w="2498"/>
            <w:vAlign w:val="center"/>
            <w:shd w:fill="F1F5F8"/>
          </w:tcPr>
          <w:p>
            <w:pPr>
              <w:spacing w:after="20"/>
            </w:pPr>
            <w:r/>
            <w:r>
              <w:rPr>
                <w:rFonts w:ascii="Aptos" w:hAnsi="Aptos"/>
                <w:b w:val="0"/>
                <w:sz w:val="15"/>
              </w:rPr>
              <w:t>Search pages, staff, events and resources</w:t>
            </w:r>
          </w:p>
        </w:tc>
        <w:tc>
          <w:tcPr>
            <w:tcW w:type="dxa" w:w="2498"/>
            <w:vAlign w:val="center"/>
            <w:shd w:fill="F1F5F8"/>
          </w:tcPr>
          <w:p>
            <w:pPr>
              <w:spacing w:after="20"/>
            </w:pPr>
            <w:r/>
            <w:r>
              <w:rPr>
                <w:rFonts w:ascii="Aptos" w:hAnsi="Aptos"/>
                <w:b w:val="0"/>
                <w:sz w:val="15"/>
              </w:rPr>
              <w:t>Visitor</w:t>
            </w:r>
          </w:p>
        </w:tc>
        <w:tc>
          <w:tcPr>
            <w:tcW w:type="dxa" w:w="2498"/>
            <w:vAlign w:val="center"/>
            <w:shd w:fill="F1F5F8"/>
          </w:tcPr>
          <w:p>
            <w:pPr>
              <w:spacing w:after="20"/>
            </w:pPr>
            <w:r/>
            <w:r>
              <w:rPr>
                <w:rFonts w:ascii="Aptos" w:hAnsi="Aptos"/>
                <w:b w:val="0"/>
                <w:sz w:val="15"/>
              </w:rPr>
              <w:t>MVP</w:t>
            </w:r>
          </w:p>
        </w:tc>
      </w:tr>
      <w:tr>
        <w:tc>
          <w:tcPr>
            <w:tcW w:type="dxa" w:w="2498"/>
            <w:vAlign w:val="center"/>
          </w:tcPr>
          <w:p>
            <w:pPr>
              <w:spacing w:after="20"/>
            </w:pPr>
            <w:r/>
            <w:r>
              <w:rPr>
                <w:rFonts w:ascii="Aptos" w:hAnsi="Aptos"/>
                <w:b w:val="0"/>
                <w:sz w:val="15"/>
              </w:rPr>
              <w:t>UC-PUB-03</w:t>
            </w:r>
          </w:p>
        </w:tc>
        <w:tc>
          <w:tcPr>
            <w:tcW w:type="dxa" w:w="2498"/>
            <w:vAlign w:val="center"/>
          </w:tcPr>
          <w:p>
            <w:pPr>
              <w:spacing w:after="20"/>
            </w:pPr>
            <w:r/>
            <w:r>
              <w:rPr>
                <w:rFonts w:ascii="Aptos" w:hAnsi="Aptos"/>
                <w:b w:val="0"/>
                <w:sz w:val="15"/>
              </w:rPr>
              <w:t>View news/announcement/event</w:t>
            </w:r>
          </w:p>
        </w:tc>
        <w:tc>
          <w:tcPr>
            <w:tcW w:type="dxa" w:w="2498"/>
            <w:vAlign w:val="center"/>
          </w:tcPr>
          <w:p>
            <w:pPr>
              <w:spacing w:after="20"/>
            </w:pPr>
            <w:r/>
            <w:r>
              <w:rPr>
                <w:rFonts w:ascii="Aptos" w:hAnsi="Aptos"/>
                <w:b w:val="0"/>
                <w:sz w:val="15"/>
              </w:rPr>
              <w:t>Visitor</w:t>
            </w:r>
          </w:p>
        </w:tc>
        <w:tc>
          <w:tcPr>
            <w:tcW w:type="dxa" w:w="2498"/>
            <w:vAlign w:val="center"/>
          </w:tcPr>
          <w:p>
            <w:pPr>
              <w:spacing w:after="20"/>
            </w:pPr>
            <w:r/>
            <w:r>
              <w:rPr>
                <w:rFonts w:ascii="Aptos" w:hAnsi="Aptos"/>
                <w:b w:val="0"/>
                <w:sz w:val="15"/>
              </w:rPr>
              <w:t>MVP</w:t>
            </w:r>
          </w:p>
        </w:tc>
      </w:tr>
      <w:tr>
        <w:tc>
          <w:tcPr>
            <w:tcW w:type="dxa" w:w="2498"/>
            <w:vAlign w:val="center"/>
            <w:shd w:fill="F1F5F8"/>
          </w:tcPr>
          <w:p>
            <w:pPr>
              <w:spacing w:after="20"/>
            </w:pPr>
            <w:r/>
            <w:r>
              <w:rPr>
                <w:rFonts w:ascii="Aptos" w:hAnsi="Aptos"/>
                <w:b w:val="0"/>
                <w:sz w:val="15"/>
              </w:rPr>
              <w:t>UC-CON-01</w:t>
            </w:r>
          </w:p>
        </w:tc>
        <w:tc>
          <w:tcPr>
            <w:tcW w:type="dxa" w:w="2498"/>
            <w:vAlign w:val="center"/>
            <w:shd w:fill="F1F5F8"/>
          </w:tcPr>
          <w:p>
            <w:pPr>
              <w:spacing w:after="20"/>
            </w:pPr>
            <w:r/>
            <w:r>
              <w:rPr>
                <w:rFonts w:ascii="Aptos" w:hAnsi="Aptos"/>
                <w:b w:val="0"/>
                <w:sz w:val="15"/>
              </w:rPr>
              <w:t>Submit general/admissions enquiry</w:t>
            </w:r>
          </w:p>
        </w:tc>
        <w:tc>
          <w:tcPr>
            <w:tcW w:type="dxa" w:w="2498"/>
            <w:vAlign w:val="center"/>
            <w:shd w:fill="F1F5F8"/>
          </w:tcPr>
          <w:p>
            <w:pPr>
              <w:spacing w:after="20"/>
            </w:pPr>
            <w:r/>
            <w:r>
              <w:rPr>
                <w:rFonts w:ascii="Aptos" w:hAnsi="Aptos"/>
                <w:b w:val="0"/>
                <w:sz w:val="15"/>
              </w:rPr>
              <w:t>Prospective family</w:t>
            </w:r>
          </w:p>
        </w:tc>
        <w:tc>
          <w:tcPr>
            <w:tcW w:type="dxa" w:w="2498"/>
            <w:vAlign w:val="center"/>
            <w:shd w:fill="F1F5F8"/>
          </w:tcPr>
          <w:p>
            <w:pPr>
              <w:spacing w:after="20"/>
            </w:pPr>
            <w:r/>
            <w:r>
              <w:rPr>
                <w:rFonts w:ascii="Aptos" w:hAnsi="Aptos"/>
                <w:b w:val="0"/>
                <w:sz w:val="15"/>
              </w:rPr>
              <w:t>MVP</w:t>
            </w:r>
          </w:p>
        </w:tc>
      </w:tr>
      <w:tr>
        <w:tc>
          <w:tcPr>
            <w:tcW w:type="dxa" w:w="2498"/>
            <w:vAlign w:val="center"/>
          </w:tcPr>
          <w:p>
            <w:pPr>
              <w:spacing w:after="20"/>
            </w:pPr>
            <w:r/>
            <w:r>
              <w:rPr>
                <w:rFonts w:ascii="Aptos" w:hAnsi="Aptos"/>
                <w:b w:val="0"/>
                <w:sz w:val="15"/>
              </w:rPr>
              <w:t>UC-CMS-01</w:t>
            </w:r>
          </w:p>
        </w:tc>
        <w:tc>
          <w:tcPr>
            <w:tcW w:type="dxa" w:w="2498"/>
            <w:vAlign w:val="center"/>
          </w:tcPr>
          <w:p>
            <w:pPr>
              <w:spacing w:after="20"/>
            </w:pPr>
            <w:r/>
            <w:r>
              <w:rPr>
                <w:rFonts w:ascii="Aptos" w:hAnsi="Aptos"/>
                <w:b w:val="0"/>
                <w:sz w:val="15"/>
              </w:rPr>
              <w:t>Create, preview and publish page</w:t>
            </w:r>
          </w:p>
        </w:tc>
        <w:tc>
          <w:tcPr>
            <w:tcW w:type="dxa" w:w="2498"/>
            <w:vAlign w:val="center"/>
          </w:tcPr>
          <w:p>
            <w:pPr>
              <w:spacing w:after="20"/>
            </w:pPr>
            <w:r/>
            <w:r>
              <w:rPr>
                <w:rFonts w:ascii="Aptos" w:hAnsi="Aptos"/>
                <w:b w:val="0"/>
                <w:sz w:val="15"/>
              </w:rPr>
              <w:t>Content Editor</w:t>
            </w:r>
          </w:p>
        </w:tc>
        <w:tc>
          <w:tcPr>
            <w:tcW w:type="dxa" w:w="2498"/>
            <w:vAlign w:val="center"/>
          </w:tcPr>
          <w:p>
            <w:pPr>
              <w:spacing w:after="20"/>
            </w:pPr>
            <w:r/>
            <w:r>
              <w:rPr>
                <w:rFonts w:ascii="Aptos" w:hAnsi="Aptos"/>
                <w:b w:val="0"/>
                <w:sz w:val="15"/>
              </w:rPr>
              <w:t>MVP</w:t>
            </w:r>
          </w:p>
        </w:tc>
      </w:tr>
      <w:tr>
        <w:tc>
          <w:tcPr>
            <w:tcW w:type="dxa" w:w="2498"/>
            <w:vAlign w:val="center"/>
            <w:shd w:fill="F1F5F8"/>
          </w:tcPr>
          <w:p>
            <w:pPr>
              <w:spacing w:after="20"/>
            </w:pPr>
            <w:r/>
            <w:r>
              <w:rPr>
                <w:rFonts w:ascii="Aptos" w:hAnsi="Aptos"/>
                <w:b w:val="0"/>
                <w:sz w:val="15"/>
              </w:rPr>
              <w:t>UC-CMS-02</w:t>
            </w:r>
          </w:p>
        </w:tc>
        <w:tc>
          <w:tcPr>
            <w:tcW w:type="dxa" w:w="2498"/>
            <w:vAlign w:val="center"/>
            <w:shd w:fill="F1F5F8"/>
          </w:tcPr>
          <w:p>
            <w:pPr>
              <w:spacing w:after="20"/>
            </w:pPr>
            <w:r/>
            <w:r>
              <w:rPr>
                <w:rFonts w:ascii="Aptos" w:hAnsi="Aptos"/>
                <w:b w:val="0"/>
                <w:sz w:val="15"/>
              </w:rPr>
              <w:t>Manage shared programme/staff/event record</w:t>
            </w:r>
          </w:p>
        </w:tc>
        <w:tc>
          <w:tcPr>
            <w:tcW w:type="dxa" w:w="2498"/>
            <w:vAlign w:val="center"/>
            <w:shd w:fill="F1F5F8"/>
          </w:tcPr>
          <w:p>
            <w:pPr>
              <w:spacing w:after="20"/>
            </w:pPr>
            <w:r/>
            <w:r>
              <w:rPr>
                <w:rFonts w:ascii="Aptos" w:hAnsi="Aptos"/>
                <w:b w:val="0"/>
                <w:sz w:val="15"/>
              </w:rPr>
              <w:t>Authorized editor</w:t>
            </w:r>
          </w:p>
        </w:tc>
        <w:tc>
          <w:tcPr>
            <w:tcW w:type="dxa" w:w="2498"/>
            <w:vAlign w:val="center"/>
            <w:shd w:fill="F1F5F8"/>
          </w:tcPr>
          <w:p>
            <w:pPr>
              <w:spacing w:after="20"/>
            </w:pPr>
            <w:r/>
            <w:r>
              <w:rPr>
                <w:rFonts w:ascii="Aptos" w:hAnsi="Aptos"/>
                <w:b w:val="0"/>
                <w:sz w:val="15"/>
              </w:rPr>
              <w:t>MVP</w:t>
            </w:r>
          </w:p>
        </w:tc>
      </w:tr>
      <w:tr>
        <w:tc>
          <w:tcPr>
            <w:tcW w:type="dxa" w:w="2498"/>
            <w:vAlign w:val="center"/>
          </w:tcPr>
          <w:p>
            <w:pPr>
              <w:spacing w:after="20"/>
            </w:pPr>
            <w:r/>
            <w:r>
              <w:rPr>
                <w:rFonts w:ascii="Aptos" w:hAnsi="Aptos"/>
                <w:b w:val="0"/>
                <w:sz w:val="15"/>
              </w:rPr>
              <w:t>UC-ADM-01</w:t>
            </w:r>
          </w:p>
        </w:tc>
        <w:tc>
          <w:tcPr>
            <w:tcW w:type="dxa" w:w="2498"/>
            <w:vAlign w:val="center"/>
          </w:tcPr>
          <w:p>
            <w:pPr>
              <w:spacing w:after="20"/>
            </w:pPr>
            <w:r/>
            <w:r>
              <w:rPr>
                <w:rFonts w:ascii="Aptos" w:hAnsi="Aptos"/>
                <w:b w:val="0"/>
                <w:sz w:val="15"/>
              </w:rPr>
              <w:t>Configure admission information and deadlines</w:t>
            </w:r>
          </w:p>
        </w:tc>
        <w:tc>
          <w:tcPr>
            <w:tcW w:type="dxa" w:w="2498"/>
            <w:vAlign w:val="center"/>
          </w:tcPr>
          <w:p>
            <w:pPr>
              <w:spacing w:after="20"/>
            </w:pPr>
            <w:r/>
            <w:r>
              <w:rPr>
                <w:rFonts w:ascii="Aptos" w:hAnsi="Aptos"/>
                <w:b w:val="0"/>
                <w:sz w:val="15"/>
              </w:rPr>
              <w:t>Admissions Officer/Editor</w:t>
            </w:r>
          </w:p>
        </w:tc>
        <w:tc>
          <w:tcPr>
            <w:tcW w:type="dxa" w:w="2498"/>
            <w:vAlign w:val="center"/>
          </w:tcPr>
          <w:p>
            <w:pPr>
              <w:spacing w:after="20"/>
            </w:pPr>
            <w:r/>
            <w:r>
              <w:rPr>
                <w:rFonts w:ascii="Aptos" w:hAnsi="Aptos"/>
                <w:b w:val="0"/>
                <w:sz w:val="15"/>
              </w:rPr>
              <w:t>MVP content; workflow R2</w:t>
            </w:r>
          </w:p>
        </w:tc>
      </w:tr>
      <w:tr>
        <w:tc>
          <w:tcPr>
            <w:tcW w:type="dxa" w:w="2498"/>
            <w:vAlign w:val="center"/>
            <w:shd w:fill="F1F5F8"/>
          </w:tcPr>
          <w:p>
            <w:pPr>
              <w:spacing w:after="20"/>
            </w:pPr>
            <w:r/>
            <w:r>
              <w:rPr>
                <w:rFonts w:ascii="Aptos" w:hAnsi="Aptos"/>
                <w:b w:val="0"/>
                <w:sz w:val="15"/>
              </w:rPr>
              <w:t>UC-APP-01</w:t>
            </w:r>
          </w:p>
        </w:tc>
        <w:tc>
          <w:tcPr>
            <w:tcW w:type="dxa" w:w="2498"/>
            <w:vAlign w:val="center"/>
            <w:shd w:fill="F1F5F8"/>
          </w:tcPr>
          <w:p>
            <w:pPr>
              <w:spacing w:after="20"/>
            </w:pPr>
            <w:r/>
            <w:r>
              <w:rPr>
                <w:rFonts w:ascii="Aptos" w:hAnsi="Aptos"/>
                <w:b w:val="0"/>
                <w:sz w:val="15"/>
              </w:rPr>
              <w:t>Register, complete and submit application</w:t>
            </w:r>
          </w:p>
        </w:tc>
        <w:tc>
          <w:tcPr>
            <w:tcW w:type="dxa" w:w="2498"/>
            <w:vAlign w:val="center"/>
            <w:shd w:fill="F1F5F8"/>
          </w:tcPr>
          <w:p>
            <w:pPr>
              <w:spacing w:after="20"/>
            </w:pPr>
            <w:r/>
            <w:r>
              <w:rPr>
                <w:rFonts w:ascii="Aptos" w:hAnsi="Aptos"/>
                <w:b w:val="0"/>
                <w:sz w:val="15"/>
              </w:rPr>
              <w:t>Applicant</w:t>
            </w:r>
          </w:p>
        </w:tc>
        <w:tc>
          <w:tcPr>
            <w:tcW w:type="dxa" w:w="2498"/>
            <w:vAlign w:val="center"/>
            <w:shd w:fill="F1F5F8"/>
          </w:tcPr>
          <w:p>
            <w:pPr>
              <w:spacing w:after="20"/>
            </w:pPr>
            <w:r/>
            <w:r>
              <w:rPr>
                <w:rFonts w:ascii="Aptos" w:hAnsi="Aptos"/>
                <w:b w:val="0"/>
                <w:sz w:val="15"/>
              </w:rPr>
              <w:t>R2</w:t>
            </w:r>
          </w:p>
        </w:tc>
      </w:tr>
      <w:tr>
        <w:tc>
          <w:tcPr>
            <w:tcW w:type="dxa" w:w="2498"/>
            <w:vAlign w:val="center"/>
          </w:tcPr>
          <w:p>
            <w:pPr>
              <w:spacing w:after="20"/>
            </w:pPr>
            <w:r/>
            <w:r>
              <w:rPr>
                <w:rFonts w:ascii="Aptos" w:hAnsi="Aptos"/>
                <w:b w:val="0"/>
                <w:sz w:val="15"/>
              </w:rPr>
              <w:t>UC-APP-02</w:t>
            </w:r>
          </w:p>
        </w:tc>
        <w:tc>
          <w:tcPr>
            <w:tcW w:type="dxa" w:w="2498"/>
            <w:vAlign w:val="center"/>
          </w:tcPr>
          <w:p>
            <w:pPr>
              <w:spacing w:after="20"/>
            </w:pPr>
            <w:r/>
            <w:r>
              <w:rPr>
                <w:rFonts w:ascii="Aptos" w:hAnsi="Aptos"/>
                <w:b w:val="0"/>
                <w:sz w:val="15"/>
              </w:rPr>
              <w:t>Upload missing document and view status</w:t>
            </w:r>
          </w:p>
        </w:tc>
        <w:tc>
          <w:tcPr>
            <w:tcW w:type="dxa" w:w="2498"/>
            <w:vAlign w:val="center"/>
          </w:tcPr>
          <w:p>
            <w:pPr>
              <w:spacing w:after="20"/>
            </w:pPr>
            <w:r/>
            <w:r>
              <w:rPr>
                <w:rFonts w:ascii="Aptos" w:hAnsi="Aptos"/>
                <w:b w:val="0"/>
                <w:sz w:val="15"/>
              </w:rPr>
              <w:t>Applicant</w:t>
            </w:r>
          </w:p>
        </w:tc>
        <w:tc>
          <w:tcPr>
            <w:tcW w:type="dxa" w:w="2498"/>
            <w:vAlign w:val="center"/>
          </w:tcPr>
          <w:p>
            <w:pPr>
              <w:spacing w:after="20"/>
            </w:pPr>
            <w:r/>
            <w:r>
              <w:rPr>
                <w:rFonts w:ascii="Aptos" w:hAnsi="Aptos"/>
                <w:b w:val="0"/>
                <w:sz w:val="15"/>
              </w:rPr>
              <w:t>R2</w:t>
            </w:r>
          </w:p>
        </w:tc>
      </w:tr>
      <w:tr>
        <w:tc>
          <w:tcPr>
            <w:tcW w:type="dxa" w:w="2498"/>
            <w:vAlign w:val="center"/>
            <w:shd w:fill="F1F5F8"/>
          </w:tcPr>
          <w:p>
            <w:pPr>
              <w:spacing w:after="20"/>
            </w:pPr>
            <w:r/>
            <w:r>
              <w:rPr>
                <w:rFonts w:ascii="Aptos" w:hAnsi="Aptos"/>
                <w:b w:val="0"/>
                <w:sz w:val="15"/>
              </w:rPr>
              <w:t>UC-APP-03</w:t>
            </w:r>
          </w:p>
        </w:tc>
        <w:tc>
          <w:tcPr>
            <w:tcW w:type="dxa" w:w="2498"/>
            <w:vAlign w:val="center"/>
            <w:shd w:fill="F1F5F8"/>
          </w:tcPr>
          <w:p>
            <w:pPr>
              <w:spacing w:after="20"/>
            </w:pPr>
            <w:r/>
            <w:r>
              <w:rPr>
                <w:rFonts w:ascii="Aptos" w:hAnsi="Aptos"/>
                <w:b w:val="0"/>
                <w:sz w:val="15"/>
              </w:rPr>
              <w:t>Review application and change status</w:t>
            </w:r>
          </w:p>
        </w:tc>
        <w:tc>
          <w:tcPr>
            <w:tcW w:type="dxa" w:w="2498"/>
            <w:vAlign w:val="center"/>
            <w:shd w:fill="F1F5F8"/>
          </w:tcPr>
          <w:p>
            <w:pPr>
              <w:spacing w:after="20"/>
            </w:pPr>
            <w:r/>
            <w:r>
              <w:rPr>
                <w:rFonts w:ascii="Aptos" w:hAnsi="Aptos"/>
                <w:b w:val="0"/>
                <w:sz w:val="15"/>
              </w:rPr>
              <w:t>Admissions Officer</w:t>
            </w:r>
          </w:p>
        </w:tc>
        <w:tc>
          <w:tcPr>
            <w:tcW w:type="dxa" w:w="2498"/>
            <w:vAlign w:val="center"/>
            <w:shd w:fill="F1F5F8"/>
          </w:tcPr>
          <w:p>
            <w:pPr>
              <w:spacing w:after="20"/>
            </w:pPr>
            <w:r/>
            <w:r>
              <w:rPr>
                <w:rFonts w:ascii="Aptos" w:hAnsi="Aptos"/>
                <w:b w:val="0"/>
                <w:sz w:val="15"/>
              </w:rPr>
              <w:t>R2</w:t>
            </w:r>
          </w:p>
        </w:tc>
      </w:tr>
      <w:tr>
        <w:tc>
          <w:tcPr>
            <w:tcW w:type="dxa" w:w="2498"/>
            <w:vAlign w:val="center"/>
          </w:tcPr>
          <w:p>
            <w:pPr>
              <w:spacing w:after="20"/>
            </w:pPr>
            <w:r/>
            <w:r>
              <w:rPr>
                <w:rFonts w:ascii="Aptos" w:hAnsi="Aptos"/>
                <w:b w:val="0"/>
                <w:sz w:val="15"/>
              </w:rPr>
              <w:t>UC-PORT-01</w:t>
            </w:r>
          </w:p>
        </w:tc>
        <w:tc>
          <w:tcPr>
            <w:tcW w:type="dxa" w:w="2498"/>
            <w:vAlign w:val="center"/>
          </w:tcPr>
          <w:p>
            <w:pPr>
              <w:spacing w:after="20"/>
            </w:pPr>
            <w:r/>
            <w:r>
              <w:rPr>
                <w:rFonts w:ascii="Aptos" w:hAnsi="Aptos"/>
                <w:b w:val="0"/>
                <w:sz w:val="15"/>
              </w:rPr>
              <w:t>View announcements and documents</w:t>
            </w:r>
          </w:p>
        </w:tc>
        <w:tc>
          <w:tcPr>
            <w:tcW w:type="dxa" w:w="2498"/>
            <w:vAlign w:val="center"/>
          </w:tcPr>
          <w:p>
            <w:pPr>
              <w:spacing w:after="20"/>
            </w:pPr>
            <w:r/>
            <w:r>
              <w:rPr>
                <w:rFonts w:ascii="Aptos" w:hAnsi="Aptos"/>
                <w:b w:val="0"/>
                <w:sz w:val="15"/>
              </w:rPr>
              <w:t>Parent/Student</w:t>
            </w:r>
          </w:p>
        </w:tc>
        <w:tc>
          <w:tcPr>
            <w:tcW w:type="dxa" w:w="2498"/>
            <w:vAlign w:val="center"/>
          </w:tcPr>
          <w:p>
            <w:pPr>
              <w:spacing w:after="20"/>
            </w:pPr>
            <w:r/>
            <w:r>
              <w:rPr>
                <w:rFonts w:ascii="Aptos" w:hAnsi="Aptos"/>
                <w:b w:val="0"/>
                <w:sz w:val="15"/>
              </w:rPr>
              <w:t>R3</w:t>
            </w:r>
          </w:p>
        </w:tc>
      </w:tr>
      <w:tr>
        <w:tc>
          <w:tcPr>
            <w:tcW w:type="dxa" w:w="2498"/>
            <w:vAlign w:val="center"/>
            <w:shd w:fill="F1F5F8"/>
          </w:tcPr>
          <w:p>
            <w:pPr>
              <w:spacing w:after="20"/>
            </w:pPr>
            <w:r/>
            <w:r>
              <w:rPr>
                <w:rFonts w:ascii="Aptos" w:hAnsi="Aptos"/>
                <w:b w:val="0"/>
                <w:sz w:val="15"/>
              </w:rPr>
              <w:t>UC-OPS-01</w:t>
            </w:r>
          </w:p>
        </w:tc>
        <w:tc>
          <w:tcPr>
            <w:tcW w:type="dxa" w:w="2498"/>
            <w:vAlign w:val="center"/>
            <w:shd w:fill="F1F5F8"/>
          </w:tcPr>
          <w:p>
            <w:pPr>
              <w:spacing w:after="20"/>
            </w:pPr>
            <w:r/>
            <w:r>
              <w:rPr>
                <w:rFonts w:ascii="Aptos" w:hAnsi="Aptos"/>
                <w:b w:val="0"/>
                <w:sz w:val="15"/>
              </w:rPr>
              <w:t>Create tenant, assign roles and configure modules</w:t>
            </w:r>
          </w:p>
        </w:tc>
        <w:tc>
          <w:tcPr>
            <w:tcW w:type="dxa" w:w="2498"/>
            <w:vAlign w:val="center"/>
            <w:shd w:fill="F1F5F8"/>
          </w:tcPr>
          <w:p>
            <w:pPr>
              <w:spacing w:after="20"/>
            </w:pPr>
            <w:r/>
            <w:r>
              <w:rPr>
                <w:rFonts w:ascii="Aptos" w:hAnsi="Aptos"/>
                <w:b w:val="0"/>
                <w:sz w:val="15"/>
              </w:rPr>
              <w:t>Platform Admin/Owner</w:t>
            </w:r>
          </w:p>
        </w:tc>
        <w:tc>
          <w:tcPr>
            <w:tcW w:type="dxa" w:w="2498"/>
            <w:vAlign w:val="center"/>
            <w:shd w:fill="F1F5F8"/>
          </w:tcPr>
          <w:p>
            <w:pPr>
              <w:spacing w:after="20"/>
            </w:pPr>
            <w:r/>
            <w:r>
              <w:rPr>
                <w:rFonts w:ascii="Aptos" w:hAnsi="Aptos"/>
                <w:b w:val="0"/>
                <w:sz w:val="15"/>
              </w:rPr>
              <w:t>MVP</w:t>
            </w:r>
          </w:p>
        </w:tc>
      </w:tr>
    </w:tbl>
    <w:p>
      <w:pPr>
        <w:spacing w:after="0"/>
      </w:pPr>
    </w:p>
    <w:p>
      <w:pPr>
        <w:pStyle w:val="Heading1"/>
      </w:pPr>
      <w:r>
        <w:t>10. Business Rules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Rule ID</w:t>
            </w:r>
          </w:p>
        </w:tc>
        <w:tc>
          <w:tcPr>
            <w:tcW w:type="dxa" w:w="3331"/>
            <w:vAlign w:val="center"/>
            <w:shd w:fill="16324F"/>
          </w:tcPr>
          <w:p>
            <w:pPr>
              <w:spacing w:after="20"/>
            </w:pPr>
            <w:r/>
            <w:r>
              <w:rPr>
                <w:rFonts w:ascii="Aptos" w:hAnsi="Aptos"/>
                <w:b/>
                <w:color w:val="FFFFFF"/>
                <w:sz w:val="15"/>
              </w:rPr>
              <w:t>Area</w:t>
            </w:r>
          </w:p>
        </w:tc>
        <w:tc>
          <w:tcPr>
            <w:tcW w:type="dxa" w:w="3331"/>
            <w:vAlign w:val="center"/>
            <w:shd w:fill="16324F"/>
          </w:tcPr>
          <w:p>
            <w:pPr>
              <w:spacing w:after="20"/>
            </w:pPr>
            <w:r/>
            <w:r>
              <w:rPr>
                <w:rFonts w:ascii="Aptos" w:hAnsi="Aptos"/>
                <w:b/>
                <w:color w:val="FFFFFF"/>
                <w:sz w:val="15"/>
              </w:rPr>
              <w:t>Rule</w:t>
            </w:r>
          </w:p>
        </w:tc>
      </w:tr>
      <w:tr>
        <w:tc>
          <w:tcPr>
            <w:tcW w:type="dxa" w:w="3331"/>
            <w:vAlign w:val="center"/>
          </w:tcPr>
          <w:p>
            <w:pPr>
              <w:spacing w:after="20"/>
            </w:pPr>
            <w:r/>
            <w:r>
              <w:rPr>
                <w:rFonts w:ascii="Aptos" w:hAnsi="Aptos"/>
                <w:b w:val="0"/>
                <w:sz w:val="15"/>
              </w:rPr>
              <w:t>BR-001</w:t>
            </w:r>
          </w:p>
        </w:tc>
        <w:tc>
          <w:tcPr>
            <w:tcW w:type="dxa" w:w="3331"/>
            <w:vAlign w:val="center"/>
          </w:tcPr>
          <w:p>
            <w:pPr>
              <w:spacing w:after="20"/>
            </w:pPr>
            <w:r/>
            <w:r>
              <w:rPr>
                <w:rFonts w:ascii="Aptos" w:hAnsi="Aptos"/>
                <w:b w:val="0"/>
                <w:sz w:val="15"/>
              </w:rPr>
              <w:t>Tenant isolation</w:t>
            </w:r>
          </w:p>
        </w:tc>
        <w:tc>
          <w:tcPr>
            <w:tcW w:type="dxa" w:w="3331"/>
            <w:vAlign w:val="center"/>
          </w:tcPr>
          <w:p>
            <w:pPr>
              <w:spacing w:after="20"/>
            </w:pPr>
            <w:r/>
            <w:r>
              <w:rPr>
                <w:rFonts w:ascii="Aptos" w:hAnsi="Aptos"/>
                <w:b w:val="0"/>
                <w:sz w:val="15"/>
              </w:rPr>
              <w:t>Every tenant-owned record, file, search result, job and report must be scoped to its tenant; no cross-tenant access by default.</w:t>
            </w:r>
          </w:p>
        </w:tc>
      </w:tr>
      <w:tr>
        <w:tc>
          <w:tcPr>
            <w:tcW w:type="dxa" w:w="3331"/>
            <w:vAlign w:val="center"/>
            <w:shd w:fill="F1F5F8"/>
          </w:tcPr>
          <w:p>
            <w:pPr>
              <w:spacing w:after="20"/>
            </w:pPr>
            <w:r/>
            <w:r>
              <w:rPr>
                <w:rFonts w:ascii="Aptos" w:hAnsi="Aptos"/>
                <w:b w:val="0"/>
                <w:sz w:val="15"/>
              </w:rPr>
              <w:t>BR-002</w:t>
            </w:r>
          </w:p>
        </w:tc>
        <w:tc>
          <w:tcPr>
            <w:tcW w:type="dxa" w:w="3331"/>
            <w:vAlign w:val="center"/>
            <w:shd w:fill="F1F5F8"/>
          </w:tcPr>
          <w:p>
            <w:pPr>
              <w:spacing w:after="20"/>
            </w:pPr>
            <w:r/>
            <w:r>
              <w:rPr>
                <w:rFonts w:ascii="Aptos" w:hAnsi="Aptos"/>
                <w:b w:val="0"/>
                <w:sz w:val="15"/>
              </w:rPr>
              <w:t>Publication</w:t>
            </w:r>
          </w:p>
        </w:tc>
        <w:tc>
          <w:tcPr>
            <w:tcW w:type="dxa" w:w="3331"/>
            <w:vAlign w:val="center"/>
            <w:shd w:fill="F1F5F8"/>
          </w:tcPr>
          <w:p>
            <w:pPr>
              <w:spacing w:after="20"/>
            </w:pPr>
            <w:r/>
            <w:r>
              <w:rPr>
                <w:rFonts w:ascii="Aptos" w:hAnsi="Aptos"/>
                <w:b w:val="0"/>
                <w:sz w:val="15"/>
              </w:rPr>
              <w:t>Only content in a public-eligible published state is served publicly or included in public search/sitemaps.</w:t>
            </w:r>
          </w:p>
        </w:tc>
      </w:tr>
      <w:tr>
        <w:tc>
          <w:tcPr>
            <w:tcW w:type="dxa" w:w="3331"/>
            <w:vAlign w:val="center"/>
          </w:tcPr>
          <w:p>
            <w:pPr>
              <w:spacing w:after="20"/>
            </w:pPr>
            <w:r/>
            <w:r>
              <w:rPr>
                <w:rFonts w:ascii="Aptos" w:hAnsi="Aptos"/>
                <w:b w:val="0"/>
                <w:sz w:val="15"/>
              </w:rPr>
              <w:t>BR-003</w:t>
            </w:r>
          </w:p>
        </w:tc>
        <w:tc>
          <w:tcPr>
            <w:tcW w:type="dxa" w:w="3331"/>
            <w:vAlign w:val="center"/>
          </w:tcPr>
          <w:p>
            <w:pPr>
              <w:spacing w:after="20"/>
            </w:pPr>
            <w:r/>
            <w:r>
              <w:rPr>
                <w:rFonts w:ascii="Aptos" w:hAnsi="Aptos"/>
                <w:b w:val="0"/>
                <w:sz w:val="15"/>
              </w:rPr>
              <w:t>Permissions</w:t>
            </w:r>
          </w:p>
        </w:tc>
        <w:tc>
          <w:tcPr>
            <w:tcW w:type="dxa" w:w="3331"/>
            <w:vAlign w:val="center"/>
          </w:tcPr>
          <w:p>
            <w:pPr>
              <w:spacing w:after="20"/>
            </w:pPr>
            <w:r/>
            <w:r>
              <w:rPr>
                <w:rFonts w:ascii="Aptos" w:hAnsi="Aptos"/>
                <w:b w:val="0"/>
                <w:sz w:val="15"/>
              </w:rPr>
              <w:t>All protected actions require server-side authorization; roles are tenant-scoped except explicit platform operations.</w:t>
            </w:r>
          </w:p>
        </w:tc>
      </w:tr>
      <w:tr>
        <w:tc>
          <w:tcPr>
            <w:tcW w:type="dxa" w:w="3331"/>
            <w:vAlign w:val="center"/>
            <w:shd w:fill="F1F5F8"/>
          </w:tcPr>
          <w:p>
            <w:pPr>
              <w:spacing w:after="20"/>
            </w:pPr>
            <w:r/>
            <w:r>
              <w:rPr>
                <w:rFonts w:ascii="Aptos" w:hAnsi="Aptos"/>
                <w:b w:val="0"/>
                <w:sz w:val="15"/>
              </w:rPr>
              <w:t>BR-004</w:t>
            </w:r>
          </w:p>
        </w:tc>
        <w:tc>
          <w:tcPr>
            <w:tcW w:type="dxa" w:w="3331"/>
            <w:vAlign w:val="center"/>
            <w:shd w:fill="F1F5F8"/>
          </w:tcPr>
          <w:p>
            <w:pPr>
              <w:spacing w:after="20"/>
            </w:pPr>
            <w:r/>
            <w:r>
              <w:rPr>
                <w:rFonts w:ascii="Aptos" w:hAnsi="Aptos"/>
                <w:b w:val="0"/>
                <w:sz w:val="15"/>
              </w:rPr>
              <w:t>Application completeness</w:t>
            </w:r>
          </w:p>
        </w:tc>
        <w:tc>
          <w:tcPr>
            <w:tcW w:type="dxa" w:w="3331"/>
            <w:vAlign w:val="center"/>
            <w:shd w:fill="F1F5F8"/>
          </w:tcPr>
          <w:p>
            <w:pPr>
              <w:spacing w:after="20"/>
            </w:pPr>
            <w:r/>
            <w:r>
              <w:rPr>
                <w:rFonts w:ascii="Aptos" w:hAnsi="Aptos"/>
                <w:b w:val="0"/>
                <w:sz w:val="15"/>
              </w:rPr>
              <w:t>An application cannot be submitted until the configured mandatory fields and documents are complete.</w:t>
            </w:r>
          </w:p>
        </w:tc>
      </w:tr>
      <w:tr>
        <w:tc>
          <w:tcPr>
            <w:tcW w:type="dxa" w:w="3331"/>
            <w:vAlign w:val="center"/>
          </w:tcPr>
          <w:p>
            <w:pPr>
              <w:spacing w:after="20"/>
            </w:pPr>
            <w:r/>
            <w:r>
              <w:rPr>
                <w:rFonts w:ascii="Aptos" w:hAnsi="Aptos"/>
                <w:b w:val="0"/>
                <w:sz w:val="15"/>
              </w:rPr>
              <w:t>BR-005</w:t>
            </w:r>
          </w:p>
        </w:tc>
        <w:tc>
          <w:tcPr>
            <w:tcW w:type="dxa" w:w="3331"/>
            <w:vAlign w:val="center"/>
          </w:tcPr>
          <w:p>
            <w:pPr>
              <w:spacing w:after="20"/>
            </w:pPr>
            <w:r/>
            <w:r>
              <w:rPr>
                <w:rFonts w:ascii="Aptos" w:hAnsi="Aptos"/>
                <w:b w:val="0"/>
                <w:sz w:val="15"/>
              </w:rPr>
              <w:t>Application decision</w:t>
            </w:r>
          </w:p>
        </w:tc>
        <w:tc>
          <w:tcPr>
            <w:tcW w:type="dxa" w:w="3331"/>
            <w:vAlign w:val="center"/>
          </w:tcPr>
          <w:p>
            <w:pPr>
              <w:spacing w:after="20"/>
            </w:pPr>
            <w:r/>
            <w:r>
              <w:rPr>
                <w:rFonts w:ascii="Aptos" w:hAnsi="Aptos"/>
                <w:b w:val="0"/>
                <w:sz w:val="15"/>
              </w:rPr>
              <w:t>Only designated admissions roles may change review status or record a decision. Every status change records actor, time, prior/new status and reason where required.</w:t>
            </w:r>
          </w:p>
        </w:tc>
      </w:tr>
      <w:tr>
        <w:tc>
          <w:tcPr>
            <w:tcW w:type="dxa" w:w="3331"/>
            <w:vAlign w:val="center"/>
            <w:shd w:fill="F1F5F8"/>
          </w:tcPr>
          <w:p>
            <w:pPr>
              <w:spacing w:after="20"/>
            </w:pPr>
            <w:r/>
            <w:r>
              <w:rPr>
                <w:rFonts w:ascii="Aptos" w:hAnsi="Aptos"/>
                <w:b w:val="0"/>
                <w:sz w:val="15"/>
              </w:rPr>
              <w:t>BR-006</w:t>
            </w:r>
          </w:p>
        </w:tc>
        <w:tc>
          <w:tcPr>
            <w:tcW w:type="dxa" w:w="3331"/>
            <w:vAlign w:val="center"/>
            <w:shd w:fill="F1F5F8"/>
          </w:tcPr>
          <w:p>
            <w:pPr>
              <w:spacing w:after="20"/>
            </w:pPr>
            <w:r/>
            <w:r>
              <w:rPr>
                <w:rFonts w:ascii="Aptos" w:hAnsi="Aptos"/>
                <w:b w:val="0"/>
                <w:sz w:val="15"/>
              </w:rPr>
              <w:t>Private files</w:t>
            </w:r>
          </w:p>
        </w:tc>
        <w:tc>
          <w:tcPr>
            <w:tcW w:type="dxa" w:w="3331"/>
            <w:vAlign w:val="center"/>
            <w:shd w:fill="F1F5F8"/>
          </w:tcPr>
          <w:p>
            <w:pPr>
              <w:spacing w:after="20"/>
            </w:pPr>
            <w:r/>
            <w:r>
              <w:rPr>
                <w:rFonts w:ascii="Aptos" w:hAnsi="Aptos"/>
                <w:b w:val="0"/>
                <w:sz w:val="15"/>
              </w:rPr>
              <w:t>Application and restricted documents are never publicly accessible by predictable URL alone.</w:t>
            </w:r>
          </w:p>
        </w:tc>
      </w:tr>
      <w:tr>
        <w:tc>
          <w:tcPr>
            <w:tcW w:type="dxa" w:w="3331"/>
            <w:vAlign w:val="center"/>
          </w:tcPr>
          <w:p>
            <w:pPr>
              <w:spacing w:after="20"/>
            </w:pPr>
            <w:r/>
            <w:r>
              <w:rPr>
                <w:rFonts w:ascii="Aptos" w:hAnsi="Aptos"/>
                <w:b w:val="0"/>
                <w:sz w:val="15"/>
              </w:rPr>
              <w:t>BR-007</w:t>
            </w:r>
          </w:p>
        </w:tc>
        <w:tc>
          <w:tcPr>
            <w:tcW w:type="dxa" w:w="3331"/>
            <w:vAlign w:val="center"/>
          </w:tcPr>
          <w:p>
            <w:pPr>
              <w:spacing w:after="20"/>
            </w:pPr>
            <w:r/>
            <w:r>
              <w:rPr>
                <w:rFonts w:ascii="Aptos" w:hAnsi="Aptos"/>
                <w:b w:val="0"/>
                <w:sz w:val="15"/>
              </w:rPr>
              <w:t>Content reuse</w:t>
            </w:r>
          </w:p>
        </w:tc>
        <w:tc>
          <w:tcPr>
            <w:tcW w:type="dxa" w:w="3331"/>
            <w:vAlign w:val="center"/>
          </w:tcPr>
          <w:p>
            <w:pPr>
              <w:spacing w:after="20"/>
            </w:pPr>
            <w:r/>
            <w:r>
              <w:rPr>
                <w:rFonts w:ascii="Aptos" w:hAnsi="Aptos"/>
                <w:b w:val="0"/>
                <w:sz w:val="15"/>
              </w:rPr>
              <w:t>A shared content record is the source of truth for each placement; duplicate records are not created merely to display content in another section.</w:t>
            </w:r>
          </w:p>
        </w:tc>
      </w:tr>
      <w:tr>
        <w:tc>
          <w:tcPr>
            <w:tcW w:type="dxa" w:w="3331"/>
            <w:vAlign w:val="center"/>
            <w:shd w:fill="F1F5F8"/>
          </w:tcPr>
          <w:p>
            <w:pPr>
              <w:spacing w:after="20"/>
            </w:pPr>
            <w:r/>
            <w:r>
              <w:rPr>
                <w:rFonts w:ascii="Aptos" w:hAnsi="Aptos"/>
                <w:b w:val="0"/>
                <w:sz w:val="15"/>
              </w:rPr>
              <w:t>BR-008</w:t>
            </w:r>
          </w:p>
        </w:tc>
        <w:tc>
          <w:tcPr>
            <w:tcW w:type="dxa" w:w="3331"/>
            <w:vAlign w:val="center"/>
            <w:shd w:fill="F1F5F8"/>
          </w:tcPr>
          <w:p>
            <w:pPr>
              <w:spacing w:after="20"/>
            </w:pPr>
            <w:r/>
            <w:r>
              <w:rPr>
                <w:rFonts w:ascii="Aptos" w:hAnsi="Aptos"/>
                <w:b w:val="0"/>
                <w:sz w:val="15"/>
              </w:rPr>
              <w:t>Module configuration</w:t>
            </w:r>
          </w:p>
        </w:tc>
        <w:tc>
          <w:tcPr>
            <w:tcW w:type="dxa" w:w="3331"/>
            <w:vAlign w:val="center"/>
            <w:shd w:fill="F1F5F8"/>
          </w:tcPr>
          <w:p>
            <w:pPr>
              <w:spacing w:after="20"/>
            </w:pPr>
            <w:r/>
            <w:r>
              <w:rPr>
                <w:rFonts w:ascii="Aptos" w:hAnsi="Aptos"/>
                <w:b w:val="0"/>
                <w:sz w:val="15"/>
              </w:rPr>
              <w:t>A tenant can use only enabled modules and supported institution configuration; disabling a module must not delete data silently.</w:t>
            </w:r>
          </w:p>
        </w:tc>
      </w:tr>
      <w:tr>
        <w:tc>
          <w:tcPr>
            <w:tcW w:type="dxa" w:w="3331"/>
            <w:vAlign w:val="center"/>
          </w:tcPr>
          <w:p>
            <w:pPr>
              <w:spacing w:after="20"/>
            </w:pPr>
            <w:r/>
            <w:r>
              <w:rPr>
                <w:rFonts w:ascii="Aptos" w:hAnsi="Aptos"/>
                <w:b w:val="0"/>
                <w:sz w:val="15"/>
              </w:rPr>
              <w:t>BR-009</w:t>
            </w:r>
          </w:p>
        </w:tc>
        <w:tc>
          <w:tcPr>
            <w:tcW w:type="dxa" w:w="3331"/>
            <w:vAlign w:val="center"/>
          </w:tcPr>
          <w:p>
            <w:pPr>
              <w:spacing w:after="20"/>
            </w:pPr>
            <w:r/>
            <w:r>
              <w:rPr>
                <w:rFonts w:ascii="Aptos" w:hAnsi="Aptos"/>
                <w:b w:val="0"/>
                <w:sz w:val="15"/>
              </w:rPr>
              <w:t>Retention</w:t>
            </w:r>
          </w:p>
        </w:tc>
        <w:tc>
          <w:tcPr>
            <w:tcW w:type="dxa" w:w="3331"/>
            <w:vAlign w:val="center"/>
          </w:tcPr>
          <w:p>
            <w:pPr>
              <w:spacing w:after="20"/>
            </w:pPr>
            <w:r/>
            <w:r>
              <w:rPr>
                <w:rFonts w:ascii="Aptos" w:hAnsi="Aptos"/>
                <w:b w:val="0"/>
                <w:sz w:val="15"/>
              </w:rPr>
              <w:t>Data retention/deletion is configured per data category and jurisdiction after institutional review; records subject to legal holds are not automatically erased.</w:t>
            </w:r>
          </w:p>
        </w:tc>
      </w:tr>
      <w:tr>
        <w:tc>
          <w:tcPr>
            <w:tcW w:type="dxa" w:w="3331"/>
            <w:vAlign w:val="center"/>
            <w:shd w:fill="F1F5F8"/>
          </w:tcPr>
          <w:p>
            <w:pPr>
              <w:spacing w:after="20"/>
            </w:pPr>
            <w:r/>
            <w:r>
              <w:rPr>
                <w:rFonts w:ascii="Aptos" w:hAnsi="Aptos"/>
                <w:b w:val="0"/>
                <w:sz w:val="15"/>
              </w:rPr>
              <w:t>BR-010</w:t>
            </w:r>
          </w:p>
        </w:tc>
        <w:tc>
          <w:tcPr>
            <w:tcW w:type="dxa" w:w="3331"/>
            <w:vAlign w:val="center"/>
            <w:shd w:fill="F1F5F8"/>
          </w:tcPr>
          <w:p>
            <w:pPr>
              <w:spacing w:after="20"/>
            </w:pPr>
            <w:r/>
            <w:r>
              <w:rPr>
                <w:rFonts w:ascii="Aptos" w:hAnsi="Aptos"/>
                <w:b w:val="0"/>
                <w:sz w:val="15"/>
              </w:rPr>
              <w:t>Audit</w:t>
            </w:r>
          </w:p>
        </w:tc>
        <w:tc>
          <w:tcPr>
            <w:tcW w:type="dxa" w:w="3331"/>
            <w:vAlign w:val="center"/>
            <w:shd w:fill="F1F5F8"/>
          </w:tcPr>
          <w:p>
            <w:pPr>
              <w:spacing w:after="20"/>
            </w:pPr>
            <w:r/>
            <w:r>
              <w:rPr>
                <w:rFonts w:ascii="Aptos" w:hAnsi="Aptos"/>
                <w:b w:val="0"/>
                <w:sz w:val="15"/>
              </w:rPr>
              <w:t>Sensitive administrative actions are auditable and ordinary tenant users cannot alter audit records.</w:t>
            </w:r>
          </w:p>
        </w:tc>
      </w:tr>
      <w:tr>
        <w:tc>
          <w:tcPr>
            <w:tcW w:type="dxa" w:w="3331"/>
            <w:vAlign w:val="center"/>
          </w:tcPr>
          <w:p>
            <w:pPr>
              <w:spacing w:after="20"/>
            </w:pPr>
            <w:r/>
            <w:r>
              <w:rPr>
                <w:rFonts w:ascii="Aptos" w:hAnsi="Aptos"/>
                <w:b w:val="0"/>
                <w:sz w:val="15"/>
              </w:rPr>
              <w:t>BR-011</w:t>
            </w:r>
          </w:p>
        </w:tc>
        <w:tc>
          <w:tcPr>
            <w:tcW w:type="dxa" w:w="3331"/>
            <w:vAlign w:val="center"/>
          </w:tcPr>
          <w:p>
            <w:pPr>
              <w:spacing w:after="20"/>
            </w:pPr>
            <w:r/>
            <w:r>
              <w:rPr>
                <w:rFonts w:ascii="Aptos" w:hAnsi="Aptos"/>
                <w:b w:val="0"/>
                <w:sz w:val="15"/>
              </w:rPr>
              <w:t>Events</w:t>
            </w:r>
          </w:p>
        </w:tc>
        <w:tc>
          <w:tcPr>
            <w:tcW w:type="dxa" w:w="3331"/>
            <w:vAlign w:val="center"/>
          </w:tcPr>
          <w:p>
            <w:pPr>
              <w:spacing w:after="20"/>
            </w:pPr>
            <w:r/>
            <w:r>
              <w:rPr>
                <w:rFonts w:ascii="Aptos" w:hAnsi="Aptos"/>
                <w:b w:val="0"/>
                <w:sz w:val="15"/>
              </w:rPr>
              <w:t>Event start/end values include timezone semantics; recurring or external calendar behaviour must be explicitly defined if implemented.</w:t>
            </w:r>
          </w:p>
        </w:tc>
      </w:tr>
      <w:tr>
        <w:tc>
          <w:tcPr>
            <w:tcW w:type="dxa" w:w="3331"/>
            <w:vAlign w:val="center"/>
            <w:shd w:fill="F1F5F8"/>
          </w:tcPr>
          <w:p>
            <w:pPr>
              <w:spacing w:after="20"/>
            </w:pPr>
            <w:r/>
            <w:r>
              <w:rPr>
                <w:rFonts w:ascii="Aptos" w:hAnsi="Aptos"/>
                <w:b w:val="0"/>
                <w:sz w:val="15"/>
              </w:rPr>
              <w:t>BR-012</w:t>
            </w:r>
          </w:p>
        </w:tc>
        <w:tc>
          <w:tcPr>
            <w:tcW w:type="dxa" w:w="3331"/>
            <w:vAlign w:val="center"/>
            <w:shd w:fill="F1F5F8"/>
          </w:tcPr>
          <w:p>
            <w:pPr>
              <w:spacing w:after="20"/>
            </w:pPr>
            <w:r/>
            <w:r>
              <w:rPr>
                <w:rFonts w:ascii="Aptos" w:hAnsi="Aptos"/>
                <w:b w:val="0"/>
                <w:sz w:val="15"/>
              </w:rPr>
              <w:t>Email failure</w:t>
            </w:r>
          </w:p>
        </w:tc>
        <w:tc>
          <w:tcPr>
            <w:tcW w:type="dxa" w:w="3331"/>
            <w:vAlign w:val="center"/>
            <w:shd w:fill="F1F5F8"/>
          </w:tcPr>
          <w:p>
            <w:pPr>
              <w:spacing w:after="20"/>
            </w:pPr>
            <w:r/>
            <w:r>
              <w:rPr>
                <w:rFonts w:ascii="Aptos" w:hAnsi="Aptos"/>
                <w:b w:val="0"/>
                <w:sz w:val="15"/>
              </w:rPr>
              <w:t>Email delivery failure must not roll back a valid content save or application status change; failures are observable and retryable.</w:t>
            </w:r>
          </w:p>
        </w:tc>
      </w:tr>
      <w:tr>
        <w:tc>
          <w:tcPr>
            <w:tcW w:type="dxa" w:w="3331"/>
            <w:vAlign w:val="center"/>
          </w:tcPr>
          <w:p>
            <w:pPr>
              <w:spacing w:after="20"/>
            </w:pPr>
            <w:r/>
            <w:r>
              <w:rPr>
                <w:rFonts w:ascii="Aptos" w:hAnsi="Aptos"/>
                <w:b w:val="0"/>
                <w:sz w:val="15"/>
              </w:rPr>
              <w:t>BR-013</w:t>
            </w:r>
          </w:p>
        </w:tc>
        <w:tc>
          <w:tcPr>
            <w:tcW w:type="dxa" w:w="3331"/>
            <w:vAlign w:val="center"/>
          </w:tcPr>
          <w:p>
            <w:pPr>
              <w:spacing w:after="20"/>
            </w:pPr>
            <w:r/>
            <w:r>
              <w:rPr>
                <w:rFonts w:ascii="Aptos" w:hAnsi="Aptos"/>
                <w:b w:val="0"/>
                <w:sz w:val="15"/>
              </w:rPr>
              <w:t>Slug uniqueness</w:t>
            </w:r>
          </w:p>
        </w:tc>
        <w:tc>
          <w:tcPr>
            <w:tcW w:type="dxa" w:w="3331"/>
            <w:vAlign w:val="center"/>
          </w:tcPr>
          <w:p>
            <w:pPr>
              <w:spacing w:after="20"/>
            </w:pPr>
            <w:r/>
            <w:r>
              <w:rPr>
                <w:rFonts w:ascii="Aptos" w:hAnsi="Aptos"/>
                <w:b w:val="0"/>
                <w:sz w:val="15"/>
              </w:rPr>
              <w:t>Published routes must not collide within the applicable tenant/domain routing namespace.</w:t>
            </w:r>
          </w:p>
        </w:tc>
      </w:tr>
      <w:tr>
        <w:tc>
          <w:tcPr>
            <w:tcW w:type="dxa" w:w="3331"/>
            <w:vAlign w:val="center"/>
            <w:shd w:fill="F1F5F8"/>
          </w:tcPr>
          <w:p>
            <w:pPr>
              <w:spacing w:after="20"/>
            </w:pPr>
            <w:r/>
            <w:r>
              <w:rPr>
                <w:rFonts w:ascii="Aptos" w:hAnsi="Aptos"/>
                <w:b w:val="0"/>
                <w:sz w:val="15"/>
              </w:rPr>
              <w:t>BR-014</w:t>
            </w:r>
          </w:p>
        </w:tc>
        <w:tc>
          <w:tcPr>
            <w:tcW w:type="dxa" w:w="3331"/>
            <w:vAlign w:val="center"/>
            <w:shd w:fill="F1F5F8"/>
          </w:tcPr>
          <w:p>
            <w:pPr>
              <w:spacing w:after="20"/>
            </w:pPr>
            <w:r/>
            <w:r>
              <w:rPr>
                <w:rFonts w:ascii="Aptos" w:hAnsi="Aptos"/>
                <w:b w:val="0"/>
                <w:sz w:val="15"/>
              </w:rPr>
              <w:t>Accessibility</w:t>
            </w:r>
          </w:p>
        </w:tc>
        <w:tc>
          <w:tcPr>
            <w:tcW w:type="dxa" w:w="3331"/>
            <w:vAlign w:val="center"/>
            <w:shd w:fill="F1F5F8"/>
          </w:tcPr>
          <w:p>
            <w:pPr>
              <w:spacing w:after="20"/>
            </w:pPr>
            <w:r/>
            <w:r>
              <w:rPr>
                <w:rFonts w:ascii="Aptos" w:hAnsi="Aptos"/>
                <w:b w:val="0"/>
                <w:sz w:val="15"/>
              </w:rPr>
              <w:t>Tenant branding options cannot be used to bypass required accessibility behaviour or remove semantic structure from system components.</w:t>
            </w:r>
          </w:p>
        </w:tc>
      </w:tr>
    </w:tbl>
    <w:p>
      <w:pPr>
        <w:spacing w:after="0"/>
      </w:pPr>
    </w:p>
    <w:p>
      <w:pPr>
        <w:pStyle w:val="Heading1"/>
      </w:pPr>
      <w:r>
        <w:t>11. Multi-Tenancy and Configuration</w:t>
      </w:r>
    </w:p>
    <w:p>
      <w:pPr>
        <w:pStyle w:val="Heading2"/>
      </w:pPr>
      <w:r>
        <w:t>11.1 Tenant model</w:t>
      </w:r>
    </w:p>
    <w:p>
      <w:r>
        <w:t>One platform instance serves multiple institutions. Each tenant owns its profile, branding, domains, users/role assignments, content, academic structures, enquiries, settings and—when enabled—admissions records. A tenant may represent one institution or a configured group/campus model; multi-campus hierarchy is a premium/future capability unless required by initial customers.</w:t>
      </w:r>
    </w:p>
    <w:p>
      <w:pPr>
        <w:pStyle w:val="Heading2"/>
      </w:pPr>
      <w:r>
        <w:t>11.2 Isolation controls</w:t>
      </w:r>
    </w:p>
    <w:p>
      <w:pPr>
        <w:pStyle w:val="ListBullet"/>
      </w:pPr>
      <w:r>
        <w:t>Resolve tenant from trusted host/domain mapping, not from an arbitrary client-supplied tenant ID alone.</w:t>
      </w:r>
    </w:p>
    <w:p>
      <w:pPr>
        <w:pStyle w:val="ListBullet"/>
      </w:pPr>
      <w:r>
        <w:t>Enforce tenant scope in backend service/repository boundaries and database queries; consider PostgreSQL row-level security as defence in depth if operationally suitable.</w:t>
      </w:r>
    </w:p>
    <w:p>
      <w:pPr>
        <w:pStyle w:val="ListBullet"/>
      </w:pPr>
      <w:r>
        <w:t>Scope object-storage keys and signed download access by tenant and permission.</w:t>
      </w:r>
    </w:p>
    <w:p>
      <w:pPr>
        <w:pStyle w:val="ListBullet"/>
      </w:pPr>
      <w:r>
        <w:t>Include tenant identity in background jobs, cache keys, search indexes and analytics aggregation.</w:t>
      </w:r>
    </w:p>
    <w:p>
      <w:pPr>
        <w:pStyle w:val="ListBullet"/>
      </w:pPr>
      <w:r>
        <w:t>Test cross-tenant access with guessed IDs, modified requests, exports, search, file URLs, notifications and scheduled jobs.</w:t>
      </w:r>
    </w:p>
    <w:p>
      <w:pPr>
        <w:pStyle w:val="ListBullet"/>
      </w:pPr>
      <w:r>
        <w:t>Support audited, time-limited platform support access with least privilege and clear tenant context.</w:t>
      </w:r>
    </w:p>
    <w:p>
      <w:pPr>
        <w:pStyle w:val="Heading2"/>
      </w:pPr>
      <w:r>
        <w:t>11.3 Configurable institution types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Institution type</w:t>
            </w:r>
          </w:p>
        </w:tc>
        <w:tc>
          <w:tcPr>
            <w:tcW w:type="dxa" w:w="3331"/>
            <w:vAlign w:val="center"/>
            <w:shd w:fill="16324F"/>
          </w:tcPr>
          <w:p>
            <w:pPr>
              <w:spacing w:after="20"/>
            </w:pPr>
            <w:r/>
            <w:r>
              <w:rPr>
                <w:rFonts w:ascii="Aptos" w:hAnsi="Aptos"/>
                <w:b/>
                <w:color w:val="FFFFFF"/>
                <w:sz w:val="15"/>
              </w:rPr>
              <w:t>Typical content configuration</w:t>
            </w:r>
          </w:p>
        </w:tc>
        <w:tc>
          <w:tcPr>
            <w:tcW w:type="dxa" w:w="3331"/>
            <w:vAlign w:val="center"/>
            <w:shd w:fill="16324F"/>
          </w:tcPr>
          <w:p>
            <w:pPr>
              <w:spacing w:after="20"/>
            </w:pPr>
            <w:r/>
            <w:r>
              <w:rPr>
                <w:rFonts w:ascii="Aptos" w:hAnsi="Aptos"/>
                <w:b/>
                <w:color w:val="FFFFFF"/>
                <w:sz w:val="15"/>
              </w:rPr>
              <w:t>Avoid forcing</w:t>
            </w:r>
          </w:p>
        </w:tc>
      </w:tr>
      <w:tr>
        <w:tc>
          <w:tcPr>
            <w:tcW w:type="dxa" w:w="3331"/>
            <w:vAlign w:val="center"/>
          </w:tcPr>
          <w:p>
            <w:pPr>
              <w:spacing w:after="20"/>
            </w:pPr>
            <w:r/>
            <w:r>
              <w:rPr>
                <w:rFonts w:ascii="Aptos" w:hAnsi="Aptos"/>
                <w:b w:val="0"/>
                <w:sz w:val="15"/>
              </w:rPr>
              <w:t>Kindergarten</w:t>
            </w:r>
          </w:p>
        </w:tc>
        <w:tc>
          <w:tcPr>
            <w:tcW w:type="dxa" w:w="3331"/>
            <w:vAlign w:val="center"/>
          </w:tcPr>
          <w:p>
            <w:pPr>
              <w:spacing w:after="20"/>
            </w:pPr>
            <w:r/>
            <w:r>
              <w:rPr>
                <w:rFonts w:ascii="Aptos" w:hAnsi="Aptos"/>
                <w:b w:val="0"/>
                <w:sz w:val="15"/>
              </w:rPr>
              <w:t>Early learning philosophy, age groups, classrooms, activities, safeguarding/support, parent information, admissions.</w:t>
            </w:r>
          </w:p>
        </w:tc>
        <w:tc>
          <w:tcPr>
            <w:tcW w:type="dxa" w:w="3331"/>
            <w:vAlign w:val="center"/>
          </w:tcPr>
          <w:p>
            <w:pPr>
              <w:spacing w:after="20"/>
            </w:pPr>
            <w:r/>
            <w:r>
              <w:rPr>
                <w:rFonts w:ascii="Aptos" w:hAnsi="Aptos"/>
                <w:b w:val="0"/>
                <w:sz w:val="15"/>
              </w:rPr>
              <w:t>College faculties, course catalogue or adult applicant assumptions.</w:t>
            </w:r>
          </w:p>
        </w:tc>
      </w:tr>
      <w:tr>
        <w:tc>
          <w:tcPr>
            <w:tcW w:type="dxa" w:w="3331"/>
            <w:vAlign w:val="center"/>
            <w:shd w:fill="F1F5F8"/>
          </w:tcPr>
          <w:p>
            <w:pPr>
              <w:spacing w:after="20"/>
            </w:pPr>
            <w:r/>
            <w:r>
              <w:rPr>
                <w:rFonts w:ascii="Aptos" w:hAnsi="Aptos"/>
                <w:b w:val="0"/>
                <w:sz w:val="15"/>
              </w:rPr>
              <w:t>Primary/secondary</w:t>
            </w:r>
          </w:p>
        </w:tc>
        <w:tc>
          <w:tcPr>
            <w:tcW w:type="dxa" w:w="3331"/>
            <w:vAlign w:val="center"/>
            <w:shd w:fill="F1F5F8"/>
          </w:tcPr>
          <w:p>
            <w:pPr>
              <w:spacing w:after="20"/>
            </w:pPr>
            <w:r/>
            <w:r>
              <w:rPr>
                <w:rFonts w:ascii="Aptos" w:hAnsi="Aptos"/>
                <w:b w:val="0"/>
                <w:sz w:val="15"/>
              </w:rPr>
              <w:t>Grade levels, curriculum, departments, student life, sports/arts, pastoral support, admissions.</w:t>
            </w:r>
          </w:p>
        </w:tc>
        <w:tc>
          <w:tcPr>
            <w:tcW w:type="dxa" w:w="3331"/>
            <w:vAlign w:val="center"/>
            <w:shd w:fill="F1F5F8"/>
          </w:tcPr>
          <w:p>
            <w:pPr>
              <w:spacing w:after="20"/>
            </w:pPr>
            <w:r/>
            <w:r>
              <w:rPr>
                <w:rFonts w:ascii="Aptos" w:hAnsi="Aptos"/>
                <w:b w:val="0"/>
                <w:sz w:val="15"/>
              </w:rPr>
              <w:t>One fixed grading or curriculum schema.</w:t>
            </w:r>
          </w:p>
        </w:tc>
      </w:tr>
      <w:tr>
        <w:tc>
          <w:tcPr>
            <w:tcW w:type="dxa" w:w="3331"/>
            <w:vAlign w:val="center"/>
          </w:tcPr>
          <w:p>
            <w:pPr>
              <w:spacing w:after="20"/>
            </w:pPr>
            <w:r/>
            <w:r>
              <w:rPr>
                <w:rFonts w:ascii="Aptos" w:hAnsi="Aptos"/>
                <w:b w:val="0"/>
                <w:sz w:val="15"/>
              </w:rPr>
              <w:t>College</w:t>
            </w:r>
          </w:p>
        </w:tc>
        <w:tc>
          <w:tcPr>
            <w:tcW w:type="dxa" w:w="3331"/>
            <w:vAlign w:val="center"/>
          </w:tcPr>
          <w:p>
            <w:pPr>
              <w:spacing w:after="20"/>
            </w:pPr>
            <w:r/>
            <w:r>
              <w:rPr>
                <w:rFonts w:ascii="Aptos" w:hAnsi="Aptos"/>
                <w:b w:val="0"/>
                <w:sz w:val="15"/>
              </w:rPr>
              <w:t>Faculties/departments, degree/diploma/certificate programmes, course catalogue, duration, entry requirements, career outcomes.</w:t>
            </w:r>
          </w:p>
        </w:tc>
        <w:tc>
          <w:tcPr>
            <w:tcW w:type="dxa" w:w="3331"/>
            <w:vAlign w:val="center"/>
          </w:tcPr>
          <w:p>
            <w:pPr>
              <w:spacing w:after="20"/>
            </w:pPr>
            <w:r/>
            <w:r>
              <w:rPr>
                <w:rFonts w:ascii="Aptos" w:hAnsi="Aptos"/>
                <w:b w:val="0"/>
                <w:sz w:val="15"/>
              </w:rPr>
              <w:t>K–12 grade-level assumptions.</w:t>
            </w:r>
          </w:p>
        </w:tc>
      </w:tr>
      <w:tr>
        <w:tc>
          <w:tcPr>
            <w:tcW w:type="dxa" w:w="3331"/>
            <w:vAlign w:val="center"/>
            <w:shd w:fill="F1F5F8"/>
          </w:tcPr>
          <w:p>
            <w:pPr>
              <w:spacing w:after="20"/>
            </w:pPr>
            <w:r/>
            <w:r>
              <w:rPr>
                <w:rFonts w:ascii="Aptos" w:hAnsi="Aptos"/>
                <w:b w:val="0"/>
                <w:sz w:val="15"/>
              </w:rPr>
              <w:t>TVET/training centre</w:t>
            </w:r>
          </w:p>
        </w:tc>
        <w:tc>
          <w:tcPr>
            <w:tcW w:type="dxa" w:w="3331"/>
            <w:vAlign w:val="center"/>
            <w:shd w:fill="F1F5F8"/>
          </w:tcPr>
          <w:p>
            <w:pPr>
              <w:spacing w:after="20"/>
            </w:pPr>
            <w:r/>
            <w:r>
              <w:rPr>
                <w:rFonts w:ascii="Aptos" w:hAnsi="Aptos"/>
                <w:b w:val="0"/>
                <w:sz w:val="15"/>
              </w:rPr>
              <w:t>Trades, practical training, certification, workshops, programme duration, entry criteria and outcomes.</w:t>
            </w:r>
          </w:p>
        </w:tc>
        <w:tc>
          <w:tcPr>
            <w:tcW w:type="dxa" w:w="3331"/>
            <w:vAlign w:val="center"/>
            <w:shd w:fill="F1F5F8"/>
          </w:tcPr>
          <w:p>
            <w:pPr>
              <w:spacing w:after="20"/>
            </w:pPr>
            <w:r/>
            <w:r>
              <w:rPr>
                <w:rFonts w:ascii="Aptos" w:hAnsi="Aptos"/>
                <w:b w:val="0"/>
                <w:sz w:val="15"/>
              </w:rPr>
              <w:t>Residential/student-life modules that are not relevant.</w:t>
            </w:r>
          </w:p>
        </w:tc>
      </w:tr>
    </w:tbl>
    <w:p>
      <w:pPr>
        <w:spacing w:after="0"/>
      </w:pPr>
    </w:p>
    <w:p>
      <w:pPr>
        <w:pStyle w:val="Heading1"/>
      </w:pPr>
      <w:r>
        <w:t>12. Data Model and Relationships</w:t>
      </w:r>
    </w:p>
    <w:p>
      <w:r>
        <w:t>This is a conceptual domain model, not a final physical schema. Exact columns, constraints, indexes and Prisma models should be refined during database design. All tenant-owned records should carry an explicit tenant relationship unless a documented global reference entity is intended.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4"/>
              </w:rPr>
              <w:t>Entity</w:t>
            </w:r>
          </w:p>
        </w:tc>
        <w:tc>
          <w:tcPr>
            <w:tcW w:type="dxa" w:w="4997"/>
            <w:vAlign w:val="center"/>
            <w:shd w:fill="16324F"/>
          </w:tcPr>
          <w:p>
            <w:pPr>
              <w:spacing w:after="20"/>
            </w:pPr>
            <w:r/>
            <w:r>
              <w:rPr>
                <w:rFonts w:ascii="Aptos" w:hAnsi="Aptos"/>
                <w:b/>
                <w:color w:val="FFFFFF"/>
                <w:sz w:val="14"/>
              </w:rPr>
              <w:t>Key relationships / constraints</w:t>
            </w:r>
          </w:p>
        </w:tc>
      </w:tr>
      <w:tr>
        <w:tc>
          <w:tcPr>
            <w:tcW w:type="dxa" w:w="4997"/>
            <w:vAlign w:val="center"/>
          </w:tcPr>
          <w:p>
            <w:pPr>
              <w:spacing w:after="20"/>
            </w:pPr>
            <w:r/>
            <w:r>
              <w:rPr>
                <w:rFonts w:ascii="Aptos" w:hAnsi="Aptos"/>
                <w:b w:val="0"/>
                <w:sz w:val="14"/>
              </w:rPr>
              <w:t>Tenant</w:t>
            </w:r>
          </w:p>
        </w:tc>
        <w:tc>
          <w:tcPr>
            <w:tcW w:type="dxa" w:w="4997"/>
            <w:vAlign w:val="center"/>
          </w:tcPr>
          <w:p>
            <w:pPr>
              <w:spacing w:after="20"/>
            </w:pPr>
            <w:r/>
            <w:r>
              <w:rPr>
                <w:rFonts w:ascii="Aptos" w:hAnsi="Aptos"/>
                <w:b w:val="0"/>
                <w:sz w:val="14"/>
              </w:rPr>
              <w:t>Parent ownership boundary for school profile, domains, settings, users/roles, content and operational data.</w:t>
            </w:r>
          </w:p>
        </w:tc>
      </w:tr>
      <w:tr>
        <w:tc>
          <w:tcPr>
            <w:tcW w:type="dxa" w:w="4997"/>
            <w:vAlign w:val="center"/>
            <w:shd w:fill="F1F5F8"/>
          </w:tcPr>
          <w:p>
            <w:pPr>
              <w:spacing w:after="20"/>
            </w:pPr>
            <w:r/>
            <w:r>
              <w:rPr>
                <w:rFonts w:ascii="Aptos" w:hAnsi="Aptos"/>
                <w:b w:val="0"/>
                <w:sz w:val="14"/>
              </w:rPr>
              <w:t>SchoolProfile / BrandSettings / DomainMapping</w:t>
            </w:r>
          </w:p>
        </w:tc>
        <w:tc>
          <w:tcPr>
            <w:tcW w:type="dxa" w:w="4997"/>
            <w:vAlign w:val="center"/>
            <w:shd w:fill="F1F5F8"/>
          </w:tcPr>
          <w:p>
            <w:pPr>
              <w:spacing w:after="20"/>
            </w:pPr>
            <w:r/>
            <w:r>
              <w:rPr>
                <w:rFonts w:ascii="Aptos" w:hAnsi="Aptos"/>
                <w:b w:val="0"/>
                <w:sz w:val="14"/>
              </w:rPr>
              <w:t>One-to-one or one-to-many configuration records scoped to Tenant; domains must be unique in routing scope.</w:t>
            </w:r>
          </w:p>
        </w:tc>
      </w:tr>
      <w:tr>
        <w:tc>
          <w:tcPr>
            <w:tcW w:type="dxa" w:w="4997"/>
            <w:vAlign w:val="center"/>
          </w:tcPr>
          <w:p>
            <w:pPr>
              <w:spacing w:after="20"/>
            </w:pPr>
            <w:r/>
            <w:r>
              <w:rPr>
                <w:rFonts w:ascii="Aptos" w:hAnsi="Aptos"/>
                <w:b w:val="0"/>
                <w:sz w:val="14"/>
              </w:rPr>
              <w:t>User / TenantMembership / Role / Permission</w:t>
            </w:r>
          </w:p>
        </w:tc>
        <w:tc>
          <w:tcPr>
            <w:tcW w:type="dxa" w:w="4997"/>
            <w:vAlign w:val="center"/>
          </w:tcPr>
          <w:p>
            <w:pPr>
              <w:spacing w:after="20"/>
            </w:pPr>
            <w:r/>
            <w:r>
              <w:rPr>
                <w:rFonts w:ascii="Aptos" w:hAnsi="Aptos"/>
                <w:b w:val="0"/>
                <w:sz w:val="14"/>
              </w:rPr>
              <w:t>Users may have memberships in tenants; roles map to permissions; assignment scope is explicit. Avoid relying on a single global role string.</w:t>
            </w:r>
          </w:p>
        </w:tc>
      </w:tr>
      <w:tr>
        <w:tc>
          <w:tcPr>
            <w:tcW w:type="dxa" w:w="4997"/>
            <w:vAlign w:val="center"/>
            <w:shd w:fill="F1F5F8"/>
          </w:tcPr>
          <w:p>
            <w:pPr>
              <w:spacing w:after="20"/>
            </w:pPr>
            <w:r/>
            <w:r>
              <w:rPr>
                <w:rFonts w:ascii="Aptos" w:hAnsi="Aptos"/>
                <w:b w:val="0"/>
                <w:sz w:val="14"/>
              </w:rPr>
              <w:t>Page / PageSection / NavigationItem</w:t>
            </w:r>
          </w:p>
        </w:tc>
        <w:tc>
          <w:tcPr>
            <w:tcW w:type="dxa" w:w="4997"/>
            <w:vAlign w:val="center"/>
            <w:shd w:fill="F1F5F8"/>
          </w:tcPr>
          <w:p>
            <w:pPr>
              <w:spacing w:after="20"/>
            </w:pPr>
            <w:r/>
            <w:r>
              <w:rPr>
                <w:rFonts w:ascii="Aptos" w:hAnsi="Aptos"/>
                <w:b w:val="0"/>
                <w:sz w:val="14"/>
              </w:rPr>
              <w:t>Page has ordered sections; sections may reference shared content; navigation links to valid tenant routes.</w:t>
            </w:r>
          </w:p>
        </w:tc>
      </w:tr>
      <w:tr>
        <w:tc>
          <w:tcPr>
            <w:tcW w:type="dxa" w:w="4997"/>
            <w:vAlign w:val="center"/>
          </w:tcPr>
          <w:p>
            <w:pPr>
              <w:spacing w:after="20"/>
            </w:pPr>
            <w:r/>
            <w:r>
              <w:rPr>
                <w:rFonts w:ascii="Aptos" w:hAnsi="Aptos"/>
                <w:b w:val="0"/>
                <w:sz w:val="14"/>
              </w:rPr>
              <w:t>Department / Programme / Course / GradeLevel</w:t>
            </w:r>
          </w:p>
        </w:tc>
        <w:tc>
          <w:tcPr>
            <w:tcW w:type="dxa" w:w="4997"/>
            <w:vAlign w:val="center"/>
          </w:tcPr>
          <w:p>
            <w:pPr>
              <w:spacing w:after="20"/>
            </w:pPr>
            <w:r/>
            <w:r>
              <w:rPr>
                <w:rFonts w:ascii="Aptos" w:hAnsi="Aptos"/>
                <w:b w:val="0"/>
                <w:sz w:val="14"/>
              </w:rPr>
              <w:t>Optional parent-child relationships; tenant-specific structure; programme can relate to department and levels without requiring a universal hierarchy.</w:t>
            </w:r>
          </w:p>
        </w:tc>
      </w:tr>
      <w:tr>
        <w:tc>
          <w:tcPr>
            <w:tcW w:type="dxa" w:w="4997"/>
            <w:vAlign w:val="center"/>
            <w:shd w:fill="F1F5F8"/>
          </w:tcPr>
          <w:p>
            <w:pPr>
              <w:spacing w:after="20"/>
            </w:pPr>
            <w:r/>
            <w:r>
              <w:rPr>
                <w:rFonts w:ascii="Aptos" w:hAnsi="Aptos"/>
                <w:b w:val="0"/>
                <w:sz w:val="14"/>
              </w:rPr>
              <w:t>StaffProfile</w:t>
            </w:r>
          </w:p>
        </w:tc>
        <w:tc>
          <w:tcPr>
            <w:tcW w:type="dxa" w:w="4997"/>
            <w:vAlign w:val="center"/>
            <w:shd w:fill="F1F5F8"/>
          </w:tcPr>
          <w:p>
            <w:pPr>
              <w:spacing w:after="20"/>
            </w:pPr>
            <w:r/>
            <w:r>
              <w:rPr>
                <w:rFonts w:ascii="Aptos" w:hAnsi="Aptos"/>
                <w:b w:val="0"/>
                <w:sz w:val="14"/>
              </w:rPr>
              <w:t>May link to User when staff has a login; public profile is separate from authentication/private account fields.</w:t>
            </w:r>
          </w:p>
        </w:tc>
      </w:tr>
      <w:tr>
        <w:tc>
          <w:tcPr>
            <w:tcW w:type="dxa" w:w="4997"/>
            <w:vAlign w:val="center"/>
          </w:tcPr>
          <w:p>
            <w:pPr>
              <w:spacing w:after="20"/>
            </w:pPr>
            <w:r/>
            <w:r>
              <w:rPr>
                <w:rFonts w:ascii="Aptos" w:hAnsi="Aptos"/>
                <w:b w:val="0"/>
                <w:sz w:val="14"/>
              </w:rPr>
              <w:t>NewsArticle / Announcement / Event / FAQ</w:t>
            </w:r>
          </w:p>
        </w:tc>
        <w:tc>
          <w:tcPr>
            <w:tcW w:type="dxa" w:w="4997"/>
            <w:vAlign w:val="center"/>
          </w:tcPr>
          <w:p>
            <w:pPr>
              <w:spacing w:after="20"/>
            </w:pPr>
            <w:r/>
            <w:r>
              <w:rPr>
                <w:rFonts w:ascii="Aptos" w:hAnsi="Aptos"/>
                <w:b w:val="0"/>
                <w:sz w:val="14"/>
              </w:rPr>
              <w:t>Tenant-owned content with status and publication metadata; event dates include timezone semantics.</w:t>
            </w:r>
          </w:p>
        </w:tc>
      </w:tr>
      <w:tr>
        <w:tc>
          <w:tcPr>
            <w:tcW w:type="dxa" w:w="4997"/>
            <w:vAlign w:val="center"/>
            <w:shd w:fill="F1F5F8"/>
          </w:tcPr>
          <w:p>
            <w:pPr>
              <w:spacing w:after="20"/>
            </w:pPr>
            <w:r/>
            <w:r>
              <w:rPr>
                <w:rFonts w:ascii="Aptos" w:hAnsi="Aptos"/>
                <w:b w:val="0"/>
                <w:sz w:val="14"/>
              </w:rPr>
              <w:t>MediaAsset / Document</w:t>
            </w:r>
          </w:p>
        </w:tc>
        <w:tc>
          <w:tcPr>
            <w:tcW w:type="dxa" w:w="4997"/>
            <w:vAlign w:val="center"/>
            <w:shd w:fill="F1F5F8"/>
          </w:tcPr>
          <w:p>
            <w:pPr>
              <w:spacing w:after="20"/>
            </w:pPr>
            <w:r/>
            <w:r>
              <w:rPr>
                <w:rFonts w:ascii="Aptos" w:hAnsi="Aptos"/>
                <w:b w:val="0"/>
                <w:sz w:val="14"/>
              </w:rPr>
              <w:t>Asset metadata references object storage; documents have access class and tenant scope.</w:t>
            </w:r>
          </w:p>
        </w:tc>
      </w:tr>
      <w:tr>
        <w:tc>
          <w:tcPr>
            <w:tcW w:type="dxa" w:w="4997"/>
            <w:vAlign w:val="center"/>
          </w:tcPr>
          <w:p>
            <w:pPr>
              <w:spacing w:after="20"/>
            </w:pPr>
            <w:r/>
            <w:r>
              <w:rPr>
                <w:rFonts w:ascii="Aptos" w:hAnsi="Aptos"/>
                <w:b w:val="0"/>
                <w:sz w:val="14"/>
              </w:rPr>
              <w:t>Enquiry</w:t>
            </w:r>
          </w:p>
        </w:tc>
        <w:tc>
          <w:tcPr>
            <w:tcW w:type="dxa" w:w="4997"/>
            <w:vAlign w:val="center"/>
          </w:tcPr>
          <w:p>
            <w:pPr>
              <w:spacing w:after="20"/>
            </w:pPr>
            <w:r/>
            <w:r>
              <w:rPr>
                <w:rFonts w:ascii="Aptos" w:hAnsi="Aptos"/>
                <w:b w:val="0"/>
                <w:sz w:val="14"/>
              </w:rPr>
              <w:t>Tenant-scoped form submission, status, category, routing metadata and retention timestamps.</w:t>
            </w:r>
          </w:p>
        </w:tc>
      </w:tr>
      <w:tr>
        <w:tc>
          <w:tcPr>
            <w:tcW w:type="dxa" w:w="4997"/>
            <w:vAlign w:val="center"/>
            <w:shd w:fill="F1F5F8"/>
          </w:tcPr>
          <w:p>
            <w:pPr>
              <w:spacing w:after="20"/>
            </w:pPr>
            <w:r/>
            <w:r>
              <w:rPr>
                <w:rFonts w:ascii="Aptos" w:hAnsi="Aptos"/>
                <w:b w:val="0"/>
                <w:sz w:val="14"/>
              </w:rPr>
              <w:t>AdmissionCycle / Applicant / Application / ApplicationDocument</w:t>
            </w:r>
          </w:p>
        </w:tc>
        <w:tc>
          <w:tcPr>
            <w:tcW w:type="dxa" w:w="4997"/>
            <w:vAlign w:val="center"/>
            <w:shd w:fill="F1F5F8"/>
          </w:tcPr>
          <w:p>
            <w:pPr>
              <w:spacing w:after="20"/>
            </w:pPr>
            <w:r/>
            <w:r>
              <w:rPr>
                <w:rFonts w:ascii="Aptos" w:hAnsi="Aptos"/>
                <w:b w:val="0"/>
                <w:sz w:val="14"/>
              </w:rPr>
              <w:t>Cycle contains configured dates/programmes; applicant identity is protected; application references cycle and applicant; documents are private.</w:t>
            </w:r>
          </w:p>
        </w:tc>
      </w:tr>
      <w:tr>
        <w:tc>
          <w:tcPr>
            <w:tcW w:type="dxa" w:w="4997"/>
            <w:vAlign w:val="center"/>
          </w:tcPr>
          <w:p>
            <w:pPr>
              <w:spacing w:after="20"/>
            </w:pPr>
            <w:r/>
            <w:r>
              <w:rPr>
                <w:rFonts w:ascii="Aptos" w:hAnsi="Aptos"/>
                <w:b w:val="0"/>
                <w:sz w:val="14"/>
              </w:rPr>
              <w:t>ApplicationStatusHistory / ApplicationMessage</w:t>
            </w:r>
          </w:p>
        </w:tc>
        <w:tc>
          <w:tcPr>
            <w:tcW w:type="dxa" w:w="4997"/>
            <w:vAlign w:val="center"/>
          </w:tcPr>
          <w:p>
            <w:pPr>
              <w:spacing w:after="20"/>
            </w:pPr>
            <w:r/>
            <w:r>
              <w:rPr>
                <w:rFonts w:ascii="Aptos" w:hAnsi="Aptos"/>
                <w:b w:val="0"/>
                <w:sz w:val="14"/>
              </w:rPr>
              <w:t>Append-only status history and controlled applicant/staff messaging.</w:t>
            </w:r>
          </w:p>
        </w:tc>
      </w:tr>
      <w:tr>
        <w:tc>
          <w:tcPr>
            <w:tcW w:type="dxa" w:w="4997"/>
            <w:vAlign w:val="center"/>
            <w:shd w:fill="F1F5F8"/>
          </w:tcPr>
          <w:p>
            <w:pPr>
              <w:spacing w:after="20"/>
            </w:pPr>
            <w:r/>
            <w:r>
              <w:rPr>
                <w:rFonts w:ascii="Aptos" w:hAnsi="Aptos"/>
                <w:b w:val="0"/>
                <w:sz w:val="14"/>
              </w:rPr>
              <w:t>Notification / NotificationDelivery</w:t>
            </w:r>
          </w:p>
        </w:tc>
        <w:tc>
          <w:tcPr>
            <w:tcW w:type="dxa" w:w="4997"/>
            <w:vAlign w:val="center"/>
            <w:shd w:fill="F1F5F8"/>
          </w:tcPr>
          <w:p>
            <w:pPr>
              <w:spacing w:after="20"/>
            </w:pPr>
            <w:r/>
            <w:r>
              <w:rPr>
                <w:rFonts w:ascii="Aptos" w:hAnsi="Aptos"/>
                <w:b w:val="0"/>
                <w:sz w:val="14"/>
              </w:rPr>
              <w:t>Logical notification and per-channel delivery attempts/statuses; retries must be idempotent.</w:t>
            </w:r>
          </w:p>
        </w:tc>
      </w:tr>
      <w:tr>
        <w:tc>
          <w:tcPr>
            <w:tcW w:type="dxa" w:w="4997"/>
            <w:vAlign w:val="center"/>
          </w:tcPr>
          <w:p>
            <w:pPr>
              <w:spacing w:after="20"/>
            </w:pPr>
            <w:r/>
            <w:r>
              <w:rPr>
                <w:rFonts w:ascii="Aptos" w:hAnsi="Aptos"/>
                <w:b w:val="0"/>
                <w:sz w:val="14"/>
              </w:rPr>
              <w:t>AuditLog</w:t>
            </w:r>
          </w:p>
        </w:tc>
        <w:tc>
          <w:tcPr>
            <w:tcW w:type="dxa" w:w="4997"/>
            <w:vAlign w:val="center"/>
          </w:tcPr>
          <w:p>
            <w:pPr>
              <w:spacing w:after="20"/>
            </w:pPr>
            <w:r/>
            <w:r>
              <w:rPr>
                <w:rFonts w:ascii="Aptos" w:hAnsi="Aptos"/>
                <w:b w:val="0"/>
                <w:sz w:val="14"/>
              </w:rPr>
              <w:t>Actor, tenant, action, entity, timestamp, result and safe metadata; restrict alteration and retention.</w:t>
            </w:r>
          </w:p>
        </w:tc>
      </w:tr>
      <w:tr>
        <w:tc>
          <w:tcPr>
            <w:tcW w:type="dxa" w:w="4997"/>
            <w:vAlign w:val="center"/>
            <w:shd w:fill="F1F5F8"/>
          </w:tcPr>
          <w:p>
            <w:pPr>
              <w:spacing w:after="20"/>
            </w:pPr>
            <w:r/>
            <w:r>
              <w:rPr>
                <w:rFonts w:ascii="Aptos" w:hAnsi="Aptos"/>
                <w:b w:val="0"/>
                <w:sz w:val="14"/>
              </w:rPr>
              <w:t>AnalyticsEvent / AggregateReport</w:t>
            </w:r>
          </w:p>
        </w:tc>
        <w:tc>
          <w:tcPr>
            <w:tcW w:type="dxa" w:w="4997"/>
            <w:vAlign w:val="center"/>
            <w:shd w:fill="F1F5F8"/>
          </w:tcPr>
          <w:p>
            <w:pPr>
              <w:spacing w:after="20"/>
            </w:pPr>
            <w:r/>
            <w:r>
              <w:rPr>
                <w:rFonts w:ascii="Aptos" w:hAnsi="Aptos"/>
                <w:b w:val="0"/>
                <w:sz w:val="14"/>
              </w:rPr>
              <w:t>Minimize personal data; separate product, public website and admissions analytics.</w:t>
            </w:r>
          </w:p>
        </w:tc>
      </w:tr>
    </w:tbl>
    <w:p>
      <w:pPr>
        <w:spacing w:after="0"/>
      </w:pPr>
    </w:p>
    <w:p>
      <w:pPr>
        <w:pStyle w:val="Heading2"/>
      </w:pPr>
      <w:r>
        <w:t>12.1 Data integrity principles</w:t>
      </w:r>
    </w:p>
    <w:p>
      <w:pPr>
        <w:pStyle w:val="ListBullet"/>
      </w:pPr>
      <w:r>
        <w:t>Use stable IDs, foreign keys and tenant-consistent relationship checks.</w:t>
      </w:r>
    </w:p>
    <w:p>
      <w:pPr>
        <w:pStyle w:val="ListBullet"/>
      </w:pPr>
      <w:r>
        <w:t>Use unique constraints for tenant/domain mappings, tenant-scoped slugs and relevant external IDs.</w:t>
      </w:r>
    </w:p>
    <w:p>
      <w:pPr>
        <w:pStyle w:val="ListBullet"/>
      </w:pPr>
      <w:r>
        <w:t>Use transactions for operations that must update an application and its status history together.</w:t>
      </w:r>
    </w:p>
    <w:p>
      <w:pPr>
        <w:pStyle w:val="ListBullet"/>
      </w:pPr>
      <w:r>
        <w:t>Use soft deletion or archival only where justified; define retention and restore behaviour by entity type.</w:t>
      </w:r>
    </w:p>
    <w:p>
      <w:pPr>
        <w:pStyle w:val="ListBullet"/>
      </w:pPr>
      <w:r>
        <w:t>Store timestamps consistently (normally UTC) and retain the relevant timezone for events and scheduled publication.</w:t>
      </w:r>
    </w:p>
    <w:p>
      <w:pPr>
        <w:pStyle w:val="ListBullet"/>
      </w:pPr>
      <w:r>
        <w:t>Do not use public sequential identifiers as authorization; application IDs are identifiers, not secrets.</w:t>
      </w:r>
    </w:p>
    <w:p>
      <w:pPr>
        <w:pStyle w:val="Heading1"/>
      </w:pPr>
      <w:r>
        <w:t>13. API Requirements</w:t>
      </w:r>
    </w:p>
    <w:p>
      <w:r>
        <w:t>Use versioned REST API conventions unless a reviewed requirement justifies another style. Exact payload schemas belong in API design/OpenAPI artifacts; this SRS defines domains, security expectations and major operations.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API domain</w:t>
            </w:r>
          </w:p>
        </w:tc>
        <w:tc>
          <w:tcPr>
            <w:tcW w:type="dxa" w:w="3331"/>
            <w:vAlign w:val="center"/>
            <w:shd w:fill="16324F"/>
          </w:tcPr>
          <w:p>
            <w:pPr>
              <w:spacing w:after="20"/>
            </w:pPr>
            <w:r/>
            <w:r>
              <w:rPr>
                <w:rFonts w:ascii="Aptos" w:hAnsi="Aptos"/>
                <w:b/>
                <w:color w:val="FFFFFF"/>
                <w:sz w:val="14"/>
              </w:rPr>
              <w:t>Representative operations</w:t>
            </w:r>
          </w:p>
        </w:tc>
        <w:tc>
          <w:tcPr>
            <w:tcW w:type="dxa" w:w="3331"/>
            <w:vAlign w:val="center"/>
            <w:shd w:fill="16324F"/>
          </w:tcPr>
          <w:p>
            <w:pPr>
              <w:spacing w:after="20"/>
            </w:pPr>
            <w:r/>
            <w:r>
              <w:rPr>
                <w:rFonts w:ascii="Aptos" w:hAnsi="Aptos"/>
                <w:b/>
                <w:color w:val="FFFFFF"/>
                <w:sz w:val="14"/>
              </w:rPr>
              <w:t>Auth / notes</w:t>
            </w:r>
          </w:p>
        </w:tc>
      </w:tr>
      <w:tr>
        <w:tc>
          <w:tcPr>
            <w:tcW w:type="dxa" w:w="3331"/>
            <w:vAlign w:val="center"/>
          </w:tcPr>
          <w:p>
            <w:pPr>
              <w:spacing w:after="20"/>
            </w:pPr>
            <w:r/>
            <w:r>
              <w:rPr>
                <w:rFonts w:ascii="Aptos" w:hAnsi="Aptos"/>
                <w:b w:val="0"/>
                <w:sz w:val="14"/>
              </w:rPr>
              <w:t>/auth</w:t>
            </w:r>
          </w:p>
        </w:tc>
        <w:tc>
          <w:tcPr>
            <w:tcW w:type="dxa" w:w="3331"/>
            <w:vAlign w:val="center"/>
          </w:tcPr>
          <w:p>
            <w:pPr>
              <w:spacing w:after="20"/>
            </w:pPr>
            <w:r/>
            <w:r>
              <w:rPr>
                <w:rFonts w:ascii="Aptos" w:hAnsi="Aptos"/>
                <w:b w:val="0"/>
                <w:sz w:val="14"/>
              </w:rPr>
              <w:t>register/invite, login, logout, reset, verify, session/MFA</w:t>
            </w:r>
          </w:p>
        </w:tc>
        <w:tc>
          <w:tcPr>
            <w:tcW w:type="dxa" w:w="3331"/>
            <w:vAlign w:val="center"/>
          </w:tcPr>
          <w:p>
            <w:pPr>
              <w:spacing w:after="20"/>
            </w:pPr>
            <w:r/>
            <w:r>
              <w:rPr>
                <w:rFonts w:ascii="Aptos" w:hAnsi="Aptos"/>
                <w:b w:val="0"/>
                <w:sz w:val="14"/>
              </w:rPr>
              <w:t>Public endpoints rate-limited; privileged operations require stronger controls.</w:t>
            </w:r>
          </w:p>
        </w:tc>
      </w:tr>
      <w:tr>
        <w:tc>
          <w:tcPr>
            <w:tcW w:type="dxa" w:w="3331"/>
            <w:vAlign w:val="center"/>
            <w:shd w:fill="F1F5F8"/>
          </w:tcPr>
          <w:p>
            <w:pPr>
              <w:spacing w:after="20"/>
            </w:pPr>
            <w:r/>
            <w:r>
              <w:rPr>
                <w:rFonts w:ascii="Aptos" w:hAnsi="Aptos"/>
                <w:b w:val="0"/>
                <w:sz w:val="14"/>
              </w:rPr>
              <w:t>/tenants and /schools</w:t>
            </w:r>
          </w:p>
        </w:tc>
        <w:tc>
          <w:tcPr>
            <w:tcW w:type="dxa" w:w="3331"/>
            <w:vAlign w:val="center"/>
            <w:shd w:fill="F1F5F8"/>
          </w:tcPr>
          <w:p>
            <w:pPr>
              <w:spacing w:after="20"/>
            </w:pPr>
            <w:r/>
            <w:r>
              <w:rPr>
                <w:rFonts w:ascii="Aptos" w:hAnsi="Aptos"/>
                <w:b w:val="0"/>
                <w:sz w:val="14"/>
              </w:rPr>
              <w:t>read/update profile, domain mappings, branding, module settings</w:t>
            </w:r>
          </w:p>
        </w:tc>
        <w:tc>
          <w:tcPr>
            <w:tcW w:type="dxa" w:w="3331"/>
            <w:vAlign w:val="center"/>
            <w:shd w:fill="F1F5F8"/>
          </w:tcPr>
          <w:p>
            <w:pPr>
              <w:spacing w:after="20"/>
            </w:pPr>
            <w:r/>
            <w:r>
              <w:rPr>
                <w:rFonts w:ascii="Aptos" w:hAnsi="Aptos"/>
                <w:b w:val="0"/>
                <w:sz w:val="14"/>
              </w:rPr>
              <w:t>Platform or tenant role; domain changes require validation.</w:t>
            </w:r>
          </w:p>
        </w:tc>
      </w:tr>
      <w:tr>
        <w:tc>
          <w:tcPr>
            <w:tcW w:type="dxa" w:w="3331"/>
            <w:vAlign w:val="center"/>
          </w:tcPr>
          <w:p>
            <w:pPr>
              <w:spacing w:after="20"/>
            </w:pPr>
            <w:r/>
            <w:r>
              <w:rPr>
                <w:rFonts w:ascii="Aptos" w:hAnsi="Aptos"/>
                <w:b w:val="0"/>
                <w:sz w:val="14"/>
              </w:rPr>
              <w:t>/users, /roles, /permissions</w:t>
            </w:r>
          </w:p>
        </w:tc>
        <w:tc>
          <w:tcPr>
            <w:tcW w:type="dxa" w:w="3331"/>
            <w:vAlign w:val="center"/>
          </w:tcPr>
          <w:p>
            <w:pPr>
              <w:spacing w:after="20"/>
            </w:pPr>
            <w:r/>
            <w:r>
              <w:rPr>
                <w:rFonts w:ascii="Aptos" w:hAnsi="Aptos"/>
                <w:b w:val="0"/>
                <w:sz w:val="14"/>
              </w:rPr>
              <w:t>list/invite/update/deactivate users; assign roles</w:t>
            </w:r>
          </w:p>
        </w:tc>
        <w:tc>
          <w:tcPr>
            <w:tcW w:type="dxa" w:w="3331"/>
            <w:vAlign w:val="center"/>
          </w:tcPr>
          <w:p>
            <w:pPr>
              <w:spacing w:after="20"/>
            </w:pPr>
            <w:r/>
            <w:r>
              <w:rPr>
                <w:rFonts w:ascii="Aptos" w:hAnsi="Aptos"/>
                <w:b w:val="0"/>
                <w:sz w:val="14"/>
              </w:rPr>
              <w:t>Tenant-scoped administration; least privilege.</w:t>
            </w:r>
          </w:p>
        </w:tc>
      </w:tr>
      <w:tr>
        <w:tc>
          <w:tcPr>
            <w:tcW w:type="dxa" w:w="3331"/>
            <w:vAlign w:val="center"/>
            <w:shd w:fill="F1F5F8"/>
          </w:tcPr>
          <w:p>
            <w:pPr>
              <w:spacing w:after="20"/>
            </w:pPr>
            <w:r/>
            <w:r>
              <w:rPr>
                <w:rFonts w:ascii="Aptos" w:hAnsi="Aptos"/>
                <w:b w:val="0"/>
                <w:sz w:val="14"/>
              </w:rPr>
              <w:t>/pages, /navigation</w:t>
            </w:r>
          </w:p>
        </w:tc>
        <w:tc>
          <w:tcPr>
            <w:tcW w:type="dxa" w:w="3331"/>
            <w:vAlign w:val="center"/>
            <w:shd w:fill="F1F5F8"/>
          </w:tcPr>
          <w:p>
            <w:pPr>
              <w:spacing w:after="20"/>
            </w:pPr>
            <w:r/>
            <w:r>
              <w:rPr>
                <w:rFonts w:ascii="Aptos" w:hAnsi="Aptos"/>
                <w:b w:val="0"/>
                <w:sz w:val="14"/>
              </w:rPr>
              <w:t>CRUD drafts, preview, publish/schedule/archive, reorder navigation</w:t>
            </w:r>
          </w:p>
        </w:tc>
        <w:tc>
          <w:tcPr>
            <w:tcW w:type="dxa" w:w="3331"/>
            <w:vAlign w:val="center"/>
            <w:shd w:fill="F1F5F8"/>
          </w:tcPr>
          <w:p>
            <w:pPr>
              <w:spacing w:after="20"/>
            </w:pPr>
            <w:r/>
            <w:r>
              <w:rPr>
                <w:rFonts w:ascii="Aptos" w:hAnsi="Aptos"/>
                <w:b w:val="0"/>
                <w:sz w:val="14"/>
              </w:rPr>
              <w:t>Public read only for published pages; write endpoints role-protected.</w:t>
            </w:r>
          </w:p>
        </w:tc>
      </w:tr>
      <w:tr>
        <w:tc>
          <w:tcPr>
            <w:tcW w:type="dxa" w:w="3331"/>
            <w:vAlign w:val="center"/>
          </w:tcPr>
          <w:p>
            <w:pPr>
              <w:spacing w:after="20"/>
            </w:pPr>
            <w:r/>
            <w:r>
              <w:rPr>
                <w:rFonts w:ascii="Aptos" w:hAnsi="Aptos"/>
                <w:b w:val="0"/>
                <w:sz w:val="14"/>
              </w:rPr>
              <w:t>/programmes, /departments, /courses, /staff</w:t>
            </w:r>
          </w:p>
        </w:tc>
        <w:tc>
          <w:tcPr>
            <w:tcW w:type="dxa" w:w="3331"/>
            <w:vAlign w:val="center"/>
          </w:tcPr>
          <w:p>
            <w:pPr>
              <w:spacing w:after="20"/>
            </w:pPr>
            <w:r/>
            <w:r>
              <w:rPr>
                <w:rFonts w:ascii="Aptos" w:hAnsi="Aptos"/>
                <w:b w:val="0"/>
                <w:sz w:val="14"/>
              </w:rPr>
              <w:t>list/filter/detail and authorized CRUD</w:t>
            </w:r>
          </w:p>
        </w:tc>
        <w:tc>
          <w:tcPr>
            <w:tcW w:type="dxa" w:w="3331"/>
            <w:vAlign w:val="center"/>
          </w:tcPr>
          <w:p>
            <w:pPr>
              <w:spacing w:after="20"/>
            </w:pPr>
            <w:r/>
            <w:r>
              <w:rPr>
                <w:rFonts w:ascii="Aptos" w:hAnsi="Aptos"/>
                <w:b w:val="0"/>
                <w:sz w:val="14"/>
              </w:rPr>
              <w:t>Public endpoints return published public fields only.</w:t>
            </w:r>
          </w:p>
        </w:tc>
      </w:tr>
      <w:tr>
        <w:tc>
          <w:tcPr>
            <w:tcW w:type="dxa" w:w="3331"/>
            <w:vAlign w:val="center"/>
            <w:shd w:fill="F1F5F8"/>
          </w:tcPr>
          <w:p>
            <w:pPr>
              <w:spacing w:after="20"/>
            </w:pPr>
            <w:r/>
            <w:r>
              <w:rPr>
                <w:rFonts w:ascii="Aptos" w:hAnsi="Aptos"/>
                <w:b w:val="0"/>
                <w:sz w:val="14"/>
              </w:rPr>
              <w:t>/news, /announcements, /events, /faqs</w:t>
            </w:r>
          </w:p>
        </w:tc>
        <w:tc>
          <w:tcPr>
            <w:tcW w:type="dxa" w:w="3331"/>
            <w:vAlign w:val="center"/>
            <w:shd w:fill="F1F5F8"/>
          </w:tcPr>
          <w:p>
            <w:pPr>
              <w:spacing w:after="20"/>
            </w:pPr>
            <w:r/>
            <w:r>
              <w:rPr>
                <w:rFonts w:ascii="Aptos" w:hAnsi="Aptos"/>
                <w:b w:val="0"/>
                <w:sz w:val="14"/>
              </w:rPr>
              <w:t>list/detail/filter and authorized CRUD</w:t>
            </w:r>
          </w:p>
        </w:tc>
        <w:tc>
          <w:tcPr>
            <w:tcW w:type="dxa" w:w="3331"/>
            <w:vAlign w:val="center"/>
            <w:shd w:fill="F1F5F8"/>
          </w:tcPr>
          <w:p>
            <w:pPr>
              <w:spacing w:after="20"/>
            </w:pPr>
            <w:r/>
            <w:r>
              <w:rPr>
                <w:rFonts w:ascii="Aptos" w:hAnsi="Aptos"/>
                <w:b w:val="0"/>
                <w:sz w:val="14"/>
              </w:rPr>
              <w:t>Publication window and tenant scope enforced.</w:t>
            </w:r>
          </w:p>
        </w:tc>
      </w:tr>
      <w:tr>
        <w:tc>
          <w:tcPr>
            <w:tcW w:type="dxa" w:w="3331"/>
            <w:vAlign w:val="center"/>
          </w:tcPr>
          <w:p>
            <w:pPr>
              <w:spacing w:after="20"/>
            </w:pPr>
            <w:r/>
            <w:r>
              <w:rPr>
                <w:rFonts w:ascii="Aptos" w:hAnsi="Aptos"/>
                <w:b w:val="0"/>
                <w:sz w:val="14"/>
              </w:rPr>
              <w:t>/media, /documents</w:t>
            </w:r>
          </w:p>
        </w:tc>
        <w:tc>
          <w:tcPr>
            <w:tcW w:type="dxa" w:w="3331"/>
            <w:vAlign w:val="center"/>
          </w:tcPr>
          <w:p>
            <w:pPr>
              <w:spacing w:after="20"/>
            </w:pPr>
            <w:r/>
            <w:r>
              <w:rPr>
                <w:rFonts w:ascii="Aptos" w:hAnsi="Aptos"/>
                <w:b w:val="0"/>
                <w:sz w:val="14"/>
              </w:rPr>
              <w:t>upload initiation, metadata, authorized download, archive</w:t>
            </w:r>
          </w:p>
        </w:tc>
        <w:tc>
          <w:tcPr>
            <w:tcW w:type="dxa" w:w="3331"/>
            <w:vAlign w:val="center"/>
          </w:tcPr>
          <w:p>
            <w:pPr>
              <w:spacing w:after="20"/>
            </w:pPr>
            <w:r/>
            <w:r>
              <w:rPr>
                <w:rFonts w:ascii="Aptos" w:hAnsi="Aptos"/>
                <w:b w:val="0"/>
                <w:sz w:val="14"/>
              </w:rPr>
              <w:t>Private download must authorize each request or use short-lived signed URLs.</w:t>
            </w:r>
          </w:p>
        </w:tc>
      </w:tr>
      <w:tr>
        <w:tc>
          <w:tcPr>
            <w:tcW w:type="dxa" w:w="3331"/>
            <w:vAlign w:val="center"/>
            <w:shd w:fill="F1F5F8"/>
          </w:tcPr>
          <w:p>
            <w:pPr>
              <w:spacing w:after="20"/>
            </w:pPr>
            <w:r/>
            <w:r>
              <w:rPr>
                <w:rFonts w:ascii="Aptos" w:hAnsi="Aptos"/>
                <w:b w:val="0"/>
                <w:sz w:val="14"/>
              </w:rPr>
              <w:t>/search</w:t>
            </w:r>
          </w:p>
        </w:tc>
        <w:tc>
          <w:tcPr>
            <w:tcW w:type="dxa" w:w="3331"/>
            <w:vAlign w:val="center"/>
            <w:shd w:fill="F1F5F8"/>
          </w:tcPr>
          <w:p>
            <w:pPr>
              <w:spacing w:after="20"/>
            </w:pPr>
            <w:r/>
            <w:r>
              <w:rPr>
                <w:rFonts w:ascii="Aptos" w:hAnsi="Aptos"/>
                <w:b w:val="0"/>
                <w:sz w:val="14"/>
              </w:rPr>
              <w:t>query, type filters, pagination</w:t>
            </w:r>
          </w:p>
        </w:tc>
        <w:tc>
          <w:tcPr>
            <w:tcW w:type="dxa" w:w="3331"/>
            <w:vAlign w:val="center"/>
            <w:shd w:fill="F1F5F8"/>
          </w:tcPr>
          <w:p>
            <w:pPr>
              <w:spacing w:after="20"/>
            </w:pPr>
            <w:r/>
            <w:r>
              <w:rPr>
                <w:rFonts w:ascii="Aptos" w:hAnsi="Aptos"/>
                <w:b w:val="0"/>
                <w:sz w:val="14"/>
              </w:rPr>
              <w:t>Only public eligible records; tenant context mandatory.</w:t>
            </w:r>
          </w:p>
        </w:tc>
      </w:tr>
      <w:tr>
        <w:tc>
          <w:tcPr>
            <w:tcW w:type="dxa" w:w="3331"/>
            <w:vAlign w:val="center"/>
          </w:tcPr>
          <w:p>
            <w:pPr>
              <w:spacing w:after="20"/>
            </w:pPr>
            <w:r/>
            <w:r>
              <w:rPr>
                <w:rFonts w:ascii="Aptos" w:hAnsi="Aptos"/>
                <w:b w:val="0"/>
                <w:sz w:val="14"/>
              </w:rPr>
              <w:t>/enquiries</w:t>
            </w:r>
          </w:p>
        </w:tc>
        <w:tc>
          <w:tcPr>
            <w:tcW w:type="dxa" w:w="3331"/>
            <w:vAlign w:val="center"/>
          </w:tcPr>
          <w:p>
            <w:pPr>
              <w:spacing w:after="20"/>
            </w:pPr>
            <w:r/>
            <w:r>
              <w:rPr>
                <w:rFonts w:ascii="Aptos" w:hAnsi="Aptos"/>
                <w:b w:val="0"/>
                <w:sz w:val="14"/>
              </w:rPr>
              <w:t>submit, view assigned, update status, export where authorized</w:t>
            </w:r>
          </w:p>
        </w:tc>
        <w:tc>
          <w:tcPr>
            <w:tcW w:type="dxa" w:w="3331"/>
            <w:vAlign w:val="center"/>
          </w:tcPr>
          <w:p>
            <w:pPr>
              <w:spacing w:after="20"/>
            </w:pPr>
            <w:r/>
            <w:r>
              <w:rPr>
                <w:rFonts w:ascii="Aptos" w:hAnsi="Aptos"/>
                <w:b w:val="0"/>
                <w:sz w:val="14"/>
              </w:rPr>
              <w:t>Public submit rate-limited; private record access restricted.</w:t>
            </w:r>
          </w:p>
        </w:tc>
      </w:tr>
      <w:tr>
        <w:tc>
          <w:tcPr>
            <w:tcW w:type="dxa" w:w="3331"/>
            <w:vAlign w:val="center"/>
            <w:shd w:fill="F1F5F8"/>
          </w:tcPr>
          <w:p>
            <w:pPr>
              <w:spacing w:after="20"/>
            </w:pPr>
            <w:r/>
            <w:r>
              <w:rPr>
                <w:rFonts w:ascii="Aptos" w:hAnsi="Aptos"/>
                <w:b w:val="0"/>
                <w:sz w:val="14"/>
              </w:rPr>
              <w:t>/admissions, /applications</w:t>
            </w:r>
          </w:p>
        </w:tc>
        <w:tc>
          <w:tcPr>
            <w:tcW w:type="dxa" w:w="3331"/>
            <w:vAlign w:val="center"/>
            <w:shd w:fill="F1F5F8"/>
          </w:tcPr>
          <w:p>
            <w:pPr>
              <w:spacing w:after="20"/>
            </w:pPr>
            <w:r/>
            <w:r>
              <w:rPr>
                <w:rFonts w:ascii="Aptos" w:hAnsi="Aptos"/>
                <w:b w:val="0"/>
                <w:sz w:val="14"/>
              </w:rPr>
              <w:t>cycle config, draft, submit, checklist, status, messages, review actions</w:t>
            </w:r>
          </w:p>
        </w:tc>
        <w:tc>
          <w:tcPr>
            <w:tcW w:type="dxa" w:w="3331"/>
            <w:vAlign w:val="center"/>
            <w:shd w:fill="F1F5F8"/>
          </w:tcPr>
          <w:p>
            <w:pPr>
              <w:spacing w:after="20"/>
            </w:pPr>
            <w:r/>
            <w:r>
              <w:rPr>
                <w:rFonts w:ascii="Aptos" w:hAnsi="Aptos"/>
                <w:b w:val="0"/>
                <w:sz w:val="14"/>
              </w:rPr>
              <w:t>Release 2; applicant self-access and admissions role controls.</w:t>
            </w:r>
          </w:p>
        </w:tc>
      </w:tr>
      <w:tr>
        <w:tc>
          <w:tcPr>
            <w:tcW w:type="dxa" w:w="3331"/>
            <w:vAlign w:val="center"/>
          </w:tcPr>
          <w:p>
            <w:pPr>
              <w:spacing w:after="20"/>
            </w:pPr>
            <w:r/>
            <w:r>
              <w:rPr>
                <w:rFonts w:ascii="Aptos" w:hAnsi="Aptos"/>
                <w:b w:val="0"/>
                <w:sz w:val="14"/>
              </w:rPr>
              <w:t>/notifications</w:t>
            </w:r>
          </w:p>
        </w:tc>
        <w:tc>
          <w:tcPr>
            <w:tcW w:type="dxa" w:w="3331"/>
            <w:vAlign w:val="center"/>
          </w:tcPr>
          <w:p>
            <w:pPr>
              <w:spacing w:after="20"/>
            </w:pPr>
            <w:r/>
            <w:r>
              <w:rPr>
                <w:rFonts w:ascii="Aptos" w:hAnsi="Aptos"/>
                <w:b w:val="0"/>
                <w:sz w:val="14"/>
              </w:rPr>
              <w:t>list, mark read, delivery status, retry/diagnostics</w:t>
            </w:r>
          </w:p>
        </w:tc>
        <w:tc>
          <w:tcPr>
            <w:tcW w:type="dxa" w:w="3331"/>
            <w:vAlign w:val="center"/>
          </w:tcPr>
          <w:p>
            <w:pPr>
              <w:spacing w:after="20"/>
            </w:pPr>
            <w:r/>
            <w:r>
              <w:rPr>
                <w:rFonts w:ascii="Aptos" w:hAnsi="Aptos"/>
                <w:b w:val="0"/>
                <w:sz w:val="14"/>
              </w:rPr>
              <w:t>Recipient and tenant scope required.</w:t>
            </w:r>
          </w:p>
        </w:tc>
      </w:tr>
      <w:tr>
        <w:tc>
          <w:tcPr>
            <w:tcW w:type="dxa" w:w="3331"/>
            <w:vAlign w:val="center"/>
            <w:shd w:fill="F1F5F8"/>
          </w:tcPr>
          <w:p>
            <w:pPr>
              <w:spacing w:after="20"/>
            </w:pPr>
            <w:r/>
            <w:r>
              <w:rPr>
                <w:rFonts w:ascii="Aptos" w:hAnsi="Aptos"/>
                <w:b w:val="0"/>
                <w:sz w:val="14"/>
              </w:rPr>
              <w:t>/analytics</w:t>
            </w:r>
          </w:p>
        </w:tc>
        <w:tc>
          <w:tcPr>
            <w:tcW w:type="dxa" w:w="3331"/>
            <w:vAlign w:val="center"/>
            <w:shd w:fill="F1F5F8"/>
          </w:tcPr>
          <w:p>
            <w:pPr>
              <w:spacing w:after="20"/>
            </w:pPr>
            <w:r/>
            <w:r>
              <w:rPr>
                <w:rFonts w:ascii="Aptos" w:hAnsi="Aptos"/>
                <w:b w:val="0"/>
                <w:sz w:val="14"/>
              </w:rPr>
              <w:t>aggregate metrics, funnel reports, export</w:t>
            </w:r>
          </w:p>
        </w:tc>
        <w:tc>
          <w:tcPr>
            <w:tcW w:type="dxa" w:w="3331"/>
            <w:vAlign w:val="center"/>
            <w:shd w:fill="F1F5F8"/>
          </w:tcPr>
          <w:p>
            <w:pPr>
              <w:spacing w:after="20"/>
            </w:pPr>
            <w:r/>
            <w:r>
              <w:rPr>
                <w:rFonts w:ascii="Aptos" w:hAnsi="Aptos"/>
                <w:b w:val="0"/>
                <w:sz w:val="14"/>
              </w:rPr>
              <w:t>Tenant and role filters; minimize personal data.</w:t>
            </w:r>
          </w:p>
        </w:tc>
      </w:tr>
      <w:tr>
        <w:tc>
          <w:tcPr>
            <w:tcW w:type="dxa" w:w="3331"/>
            <w:vAlign w:val="center"/>
          </w:tcPr>
          <w:p>
            <w:pPr>
              <w:spacing w:after="20"/>
            </w:pPr>
            <w:r/>
            <w:r>
              <w:rPr>
                <w:rFonts w:ascii="Aptos" w:hAnsi="Aptos"/>
                <w:b w:val="0"/>
                <w:sz w:val="14"/>
              </w:rPr>
              <w:t>/audit-logs</w:t>
            </w:r>
          </w:p>
        </w:tc>
        <w:tc>
          <w:tcPr>
            <w:tcW w:type="dxa" w:w="3331"/>
            <w:vAlign w:val="center"/>
          </w:tcPr>
          <w:p>
            <w:pPr>
              <w:spacing w:after="20"/>
            </w:pPr>
            <w:r/>
            <w:r>
              <w:rPr>
                <w:rFonts w:ascii="Aptos" w:hAnsi="Aptos"/>
                <w:b w:val="0"/>
                <w:sz w:val="14"/>
              </w:rPr>
              <w:t>search/read audit events</w:t>
            </w:r>
          </w:p>
        </w:tc>
        <w:tc>
          <w:tcPr>
            <w:tcW w:type="dxa" w:w="3331"/>
            <w:vAlign w:val="center"/>
          </w:tcPr>
          <w:p>
            <w:pPr>
              <w:spacing w:after="20"/>
            </w:pPr>
            <w:r/>
            <w:r>
              <w:rPr>
                <w:rFonts w:ascii="Aptos" w:hAnsi="Aptos"/>
                <w:b w:val="0"/>
                <w:sz w:val="14"/>
              </w:rPr>
              <w:t>Restricted read access; no ordinary update/delete endpoint.</w:t>
            </w:r>
          </w:p>
        </w:tc>
      </w:tr>
      <w:tr>
        <w:tc>
          <w:tcPr>
            <w:tcW w:type="dxa" w:w="3331"/>
            <w:vAlign w:val="center"/>
            <w:shd w:fill="F1F5F8"/>
          </w:tcPr>
          <w:p>
            <w:pPr>
              <w:spacing w:after="20"/>
            </w:pPr>
            <w:r/>
            <w:r>
              <w:rPr>
                <w:rFonts w:ascii="Aptos" w:hAnsi="Aptos"/>
                <w:b w:val="0"/>
                <w:sz w:val="14"/>
              </w:rPr>
              <w:t>/health</w:t>
            </w:r>
          </w:p>
        </w:tc>
        <w:tc>
          <w:tcPr>
            <w:tcW w:type="dxa" w:w="3331"/>
            <w:vAlign w:val="center"/>
            <w:shd w:fill="F1F5F8"/>
          </w:tcPr>
          <w:p>
            <w:pPr>
              <w:spacing w:after="20"/>
            </w:pPr>
            <w:r/>
            <w:r>
              <w:rPr>
                <w:rFonts w:ascii="Aptos" w:hAnsi="Aptos"/>
                <w:b w:val="0"/>
                <w:sz w:val="14"/>
              </w:rPr>
              <w:t>liveness/readiness and dependency status</w:t>
            </w:r>
          </w:p>
        </w:tc>
        <w:tc>
          <w:tcPr>
            <w:tcW w:type="dxa" w:w="3331"/>
            <w:vAlign w:val="center"/>
            <w:shd w:fill="F1F5F8"/>
          </w:tcPr>
          <w:p>
            <w:pPr>
              <w:spacing w:after="20"/>
            </w:pPr>
            <w:r/>
            <w:r>
              <w:rPr>
                <w:rFonts w:ascii="Aptos" w:hAnsi="Aptos"/>
                <w:b w:val="0"/>
                <w:sz w:val="14"/>
              </w:rPr>
              <w:t>Do not expose secrets or sensitive internals publicly.</w:t>
            </w:r>
          </w:p>
        </w:tc>
      </w:tr>
    </w:tbl>
    <w:p>
      <w:pPr>
        <w:spacing w:after="0"/>
      </w:pPr>
    </w:p>
    <w:p>
      <w:pPr>
        <w:pStyle w:val="Heading2"/>
      </w:pPr>
      <w:r>
        <w:t>13.1 API standards</w:t>
      </w:r>
    </w:p>
    <w:p>
      <w:pPr>
        <w:pStyle w:val="ListBullet"/>
      </w:pPr>
      <w:r>
        <w:t>Validate all input on the server and use allowlists for fields, sort keys and filter operators.</w:t>
      </w:r>
    </w:p>
    <w:p>
      <w:pPr>
        <w:pStyle w:val="ListBullet"/>
      </w:pPr>
      <w:r>
        <w:t>Use consistent error shape with stable machine-readable codes, safe message, request/correlation ID and field-level validation details where appropriate.</w:t>
      </w:r>
    </w:p>
    <w:p>
      <w:pPr>
        <w:pStyle w:val="ListBullet"/>
      </w:pPr>
      <w:r>
        <w:t>Use HTTP status codes consistently: 200/201/204 for success, 400 for malformed input, 401 unauthenticated, 403 forbidden, 404 not found or intentionally concealed, 409 conflict, 422 validation failure where adopted, 429 rate limit, 5xx server failure.</w:t>
      </w:r>
    </w:p>
    <w:p>
      <w:pPr>
        <w:pStyle w:val="ListBullet"/>
      </w:pPr>
      <w:r>
        <w:t>Paginate list endpoints; define maximum page size and stable sorting to avoid unbounded queries.</w:t>
      </w:r>
    </w:p>
    <w:p>
      <w:pPr>
        <w:pStyle w:val="ListBullet"/>
      </w:pPr>
      <w:r>
        <w:t>Make create/submit/retry operations idempotent where duplicate requests could create duplicate records or payments.</w:t>
      </w:r>
    </w:p>
    <w:p>
      <w:pPr>
        <w:pStyle w:val="ListBullet"/>
      </w:pPr>
      <w:r>
        <w:t>Do not return internal stack traces, private fields or other-tenant existence information.</w:t>
      </w:r>
    </w:p>
    <w:p>
      <w:pPr>
        <w:pStyle w:val="ListBullet"/>
      </w:pPr>
      <w:r>
        <w:t>Document request/response schemas, auth scopes, examples, errors, pagination and deprecation policy in OpenAPI.</w:t>
      </w:r>
    </w:p>
    <w:p>
      <w:pPr>
        <w:pStyle w:val="Heading1"/>
      </w:pPr>
      <w:r>
        <w:t>14. UX, Accessibility, SEO and Localization</w:t>
      </w:r>
    </w:p>
    <w:p>
      <w:pPr>
        <w:pStyle w:val="Heading2"/>
      </w:pPr>
      <w:r>
        <w:t>14.1 UX and visual system</w:t>
      </w:r>
    </w:p>
    <w:p>
      <w:r>
        <w:t>Design direction: editorial luxury, modern technology and educational warmth. Use strong typography, generous whitespace, meaningful photography, clear hierarchy, subtle motion and a reusable component system. Deep navy, warm white, neutral grey and a restrained accent may be a starter theme, but tenant branding remains configurable. Do not reproduce reference schools' branding or layouts.</w:t>
      </w:r>
    </w:p>
    <w:p>
      <w:pPr>
        <w:pStyle w:val="ListBullet"/>
      </w:pPr>
      <w:r>
        <w:t>Mobile-first layouts must keep navigation, admissions CTAs, form controls and status information usable on narrow screens.</w:t>
      </w:r>
    </w:p>
    <w:p>
      <w:pPr>
        <w:pStyle w:val="ListBullet"/>
      </w:pPr>
      <w:r>
        <w:t>Each important page should answer the user's likely question and provide a context-appropriate next action without excessive CTA competition.</w:t>
      </w:r>
    </w:p>
    <w:p>
      <w:pPr>
        <w:pStyle w:val="ListBullet"/>
      </w:pPr>
      <w:r>
        <w:t>Use consistent components for buttons, forms, cards, breadcrumbs, tables, filters, dialogs, notifications, loading/empty/error states and confirmations.</w:t>
      </w:r>
    </w:p>
    <w:p>
      <w:pPr>
        <w:pStyle w:val="ListBullet"/>
      </w:pPr>
      <w:r>
        <w:t>Provide visible feedback for save, publish, upload, submit, retry and failure actions; prevent accidental duplicate submissions.</w:t>
      </w:r>
    </w:p>
    <w:p>
      <w:pPr>
        <w:pStyle w:val="ListBullet"/>
      </w:pPr>
      <w:r>
        <w:t>Respect reduced-motion preferences and avoid animation that blocks reading or form completion.</w:t>
      </w:r>
    </w:p>
    <w:p>
      <w:pPr>
        <w:pStyle w:val="Heading2"/>
      </w:pPr>
      <w:r>
        <w:t>14.2 Accessibility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Requirement ID</w:t>
            </w:r>
          </w:p>
        </w:tc>
        <w:tc>
          <w:tcPr>
            <w:tcW w:type="dxa" w:w="3331"/>
            <w:vAlign w:val="center"/>
            <w:shd w:fill="16324F"/>
          </w:tcPr>
          <w:p>
            <w:pPr>
              <w:spacing w:after="20"/>
            </w:pPr>
            <w:r/>
            <w:r>
              <w:rPr>
                <w:rFonts w:ascii="Aptos" w:hAnsi="Aptos"/>
                <w:b/>
                <w:color w:val="FFFFFF"/>
                <w:sz w:val="15"/>
              </w:rPr>
              <w:t>Priority</w:t>
            </w:r>
          </w:p>
        </w:tc>
        <w:tc>
          <w:tcPr>
            <w:tcW w:type="dxa" w:w="3331"/>
            <w:vAlign w:val="center"/>
            <w:shd w:fill="16324F"/>
          </w:tcPr>
          <w:p>
            <w:pPr>
              <w:spacing w:after="20"/>
            </w:pPr>
            <w:r/>
            <w:r>
              <w:rPr>
                <w:rFonts w:ascii="Aptos" w:hAnsi="Aptos"/>
                <w:b/>
                <w:color w:val="FFFFFF"/>
                <w:sz w:val="15"/>
              </w:rPr>
              <w:t>Requirement / acceptance</w:t>
            </w:r>
          </w:p>
        </w:tc>
      </w:tr>
      <w:tr>
        <w:tc>
          <w:tcPr>
            <w:tcW w:type="dxa" w:w="3331"/>
            <w:vAlign w:val="center"/>
          </w:tcPr>
          <w:p>
            <w:pPr>
              <w:spacing w:after="20"/>
            </w:pPr>
            <w:r/>
            <w:r>
              <w:rPr>
                <w:rFonts w:ascii="Aptos" w:hAnsi="Aptos"/>
                <w:b w:val="0"/>
                <w:sz w:val="15"/>
              </w:rPr>
              <w:t>NFR-A11Y-001</w:t>
            </w:r>
          </w:p>
        </w:tc>
        <w:tc>
          <w:tcPr>
            <w:tcW w:type="dxa" w:w="3331"/>
            <w:vAlign w:val="center"/>
          </w:tcPr>
          <w:p>
            <w:pPr>
              <w:spacing w:after="20"/>
            </w:pPr>
            <w:r/>
            <w:r>
              <w:rPr>
                <w:rFonts w:ascii="Aptos" w:hAnsi="Aptos"/>
                <w:b w:val="0"/>
                <w:sz w:val="15"/>
              </w:rPr>
              <w:t>MUST</w:t>
            </w:r>
          </w:p>
        </w:tc>
        <w:tc>
          <w:tcPr>
            <w:tcW w:type="dxa" w:w="3331"/>
            <w:vAlign w:val="center"/>
          </w:tcPr>
          <w:p>
            <w:pPr>
              <w:spacing w:after="20"/>
            </w:pPr>
            <w:r/>
            <w:r>
              <w:rPr>
                <w:rFonts w:ascii="Aptos" w:hAnsi="Aptos"/>
                <w:b w:val="0"/>
                <w:sz w:val="15"/>
              </w:rPr>
              <w:t>Platform templates and critical user journeys target WCAG 2.2 AA. Validate with automated scanning plus manual keyboard, focus, screen-reader and zoom testing.</w:t>
            </w:r>
          </w:p>
        </w:tc>
      </w:tr>
      <w:tr>
        <w:tc>
          <w:tcPr>
            <w:tcW w:type="dxa" w:w="3331"/>
            <w:vAlign w:val="center"/>
            <w:shd w:fill="F1F5F8"/>
          </w:tcPr>
          <w:p>
            <w:pPr>
              <w:spacing w:after="20"/>
            </w:pPr>
            <w:r/>
            <w:r>
              <w:rPr>
                <w:rFonts w:ascii="Aptos" w:hAnsi="Aptos"/>
                <w:b w:val="0"/>
                <w:sz w:val="15"/>
              </w:rPr>
              <w:t>NFR-A11Y-002</w:t>
            </w:r>
          </w:p>
        </w:tc>
        <w:tc>
          <w:tcPr>
            <w:tcW w:type="dxa" w:w="3331"/>
            <w:vAlign w:val="center"/>
            <w:shd w:fill="F1F5F8"/>
          </w:tcPr>
          <w:p>
            <w:pPr>
              <w:spacing w:after="20"/>
            </w:pPr>
            <w:r/>
            <w:r>
              <w:rPr>
                <w:rFonts w:ascii="Aptos" w:hAnsi="Aptos"/>
                <w:b w:val="0"/>
                <w:sz w:val="15"/>
              </w:rPr>
              <w:t>MUST</w:t>
            </w:r>
          </w:p>
        </w:tc>
        <w:tc>
          <w:tcPr>
            <w:tcW w:type="dxa" w:w="3331"/>
            <w:vAlign w:val="center"/>
            <w:shd w:fill="F1F5F8"/>
          </w:tcPr>
          <w:p>
            <w:pPr>
              <w:spacing w:after="20"/>
            </w:pPr>
            <w:r/>
            <w:r>
              <w:rPr>
                <w:rFonts w:ascii="Aptos" w:hAnsi="Aptos"/>
                <w:b w:val="0"/>
                <w:sz w:val="15"/>
              </w:rPr>
              <w:t>All controls are keyboard operable, have visible focus, programmatic names/labels and logical focus order.</w:t>
            </w:r>
          </w:p>
        </w:tc>
      </w:tr>
      <w:tr>
        <w:tc>
          <w:tcPr>
            <w:tcW w:type="dxa" w:w="3331"/>
            <w:vAlign w:val="center"/>
          </w:tcPr>
          <w:p>
            <w:pPr>
              <w:spacing w:after="20"/>
            </w:pPr>
            <w:r/>
            <w:r>
              <w:rPr>
                <w:rFonts w:ascii="Aptos" w:hAnsi="Aptos"/>
                <w:b w:val="0"/>
                <w:sz w:val="15"/>
              </w:rPr>
              <w:t>NFR-A11Y-003</w:t>
            </w:r>
          </w:p>
        </w:tc>
        <w:tc>
          <w:tcPr>
            <w:tcW w:type="dxa" w:w="3331"/>
            <w:vAlign w:val="center"/>
          </w:tcPr>
          <w:p>
            <w:pPr>
              <w:spacing w:after="20"/>
            </w:pPr>
            <w:r/>
            <w:r>
              <w:rPr>
                <w:rFonts w:ascii="Aptos" w:hAnsi="Aptos"/>
                <w:b w:val="0"/>
                <w:sz w:val="15"/>
              </w:rPr>
              <w:t>MUST</w:t>
            </w:r>
          </w:p>
        </w:tc>
        <w:tc>
          <w:tcPr>
            <w:tcW w:type="dxa" w:w="3331"/>
            <w:vAlign w:val="center"/>
          </w:tcPr>
          <w:p>
            <w:pPr>
              <w:spacing w:after="20"/>
            </w:pPr>
            <w:r/>
            <w:r>
              <w:rPr>
                <w:rFonts w:ascii="Aptos" w:hAnsi="Aptos"/>
                <w:b w:val="0"/>
                <w:sz w:val="15"/>
              </w:rPr>
              <w:t>Forms identify errors in text, associate errors with fields, preserve entered data after validation failures and announce important status changes.</w:t>
            </w:r>
          </w:p>
        </w:tc>
      </w:tr>
      <w:tr>
        <w:tc>
          <w:tcPr>
            <w:tcW w:type="dxa" w:w="3331"/>
            <w:vAlign w:val="center"/>
            <w:shd w:fill="F1F5F8"/>
          </w:tcPr>
          <w:p>
            <w:pPr>
              <w:spacing w:after="20"/>
            </w:pPr>
            <w:r/>
            <w:r>
              <w:rPr>
                <w:rFonts w:ascii="Aptos" w:hAnsi="Aptos"/>
                <w:b w:val="0"/>
                <w:sz w:val="15"/>
              </w:rPr>
              <w:t>NFR-A11Y-004</w:t>
            </w:r>
          </w:p>
        </w:tc>
        <w:tc>
          <w:tcPr>
            <w:tcW w:type="dxa" w:w="3331"/>
            <w:vAlign w:val="center"/>
            <w:shd w:fill="F1F5F8"/>
          </w:tcPr>
          <w:p>
            <w:pPr>
              <w:spacing w:after="20"/>
            </w:pPr>
            <w:r/>
            <w:r>
              <w:rPr>
                <w:rFonts w:ascii="Aptos" w:hAnsi="Aptos"/>
                <w:b w:val="0"/>
                <w:sz w:val="15"/>
              </w:rPr>
              <w:t>MUST</w:t>
            </w:r>
          </w:p>
        </w:tc>
        <w:tc>
          <w:tcPr>
            <w:tcW w:type="dxa" w:w="3331"/>
            <w:vAlign w:val="center"/>
            <w:shd w:fill="F1F5F8"/>
          </w:tcPr>
          <w:p>
            <w:pPr>
              <w:spacing w:after="20"/>
            </w:pPr>
            <w:r/>
            <w:r>
              <w:rPr>
                <w:rFonts w:ascii="Aptos" w:hAnsi="Aptos"/>
                <w:b w:val="0"/>
                <w:sz w:val="15"/>
              </w:rPr>
              <w:t>Meaningful images have appropriate alt text; decorative images are ignored by assistive technology; video/audio alternatives are provided when applicable.</w:t>
            </w:r>
          </w:p>
        </w:tc>
      </w:tr>
      <w:tr>
        <w:tc>
          <w:tcPr>
            <w:tcW w:type="dxa" w:w="3331"/>
            <w:vAlign w:val="center"/>
          </w:tcPr>
          <w:p>
            <w:pPr>
              <w:spacing w:after="20"/>
            </w:pPr>
            <w:r/>
            <w:r>
              <w:rPr>
                <w:rFonts w:ascii="Aptos" w:hAnsi="Aptos"/>
                <w:b w:val="0"/>
                <w:sz w:val="15"/>
              </w:rPr>
              <w:t>NFR-A11Y-005</w:t>
            </w:r>
          </w:p>
        </w:tc>
        <w:tc>
          <w:tcPr>
            <w:tcW w:type="dxa" w:w="3331"/>
            <w:vAlign w:val="center"/>
          </w:tcPr>
          <w:p>
            <w:pPr>
              <w:spacing w:after="20"/>
            </w:pPr>
            <w:r/>
            <w:r>
              <w:rPr>
                <w:rFonts w:ascii="Aptos" w:hAnsi="Aptos"/>
                <w:b w:val="0"/>
                <w:sz w:val="15"/>
              </w:rPr>
              <w:t>MUST</w:t>
            </w:r>
          </w:p>
        </w:tc>
        <w:tc>
          <w:tcPr>
            <w:tcW w:type="dxa" w:w="3331"/>
            <w:vAlign w:val="center"/>
          </w:tcPr>
          <w:p>
            <w:pPr>
              <w:spacing w:after="20"/>
            </w:pPr>
            <w:r/>
            <w:r>
              <w:rPr>
                <w:rFonts w:ascii="Aptos" w:hAnsi="Aptos"/>
                <w:b w:val="0"/>
                <w:sz w:val="15"/>
              </w:rPr>
              <w:t>Text and UI contrast meet applicable WCAG 2.2 AA criteria; tenant colour choices are checked and warnings or constraints prevent unusable combinations.</w:t>
            </w:r>
          </w:p>
        </w:tc>
      </w:tr>
      <w:tr>
        <w:tc>
          <w:tcPr>
            <w:tcW w:type="dxa" w:w="3331"/>
            <w:vAlign w:val="center"/>
            <w:shd w:fill="F1F5F8"/>
          </w:tcPr>
          <w:p>
            <w:pPr>
              <w:spacing w:after="20"/>
            </w:pPr>
            <w:r/>
            <w:r>
              <w:rPr>
                <w:rFonts w:ascii="Aptos" w:hAnsi="Aptos"/>
                <w:b w:val="0"/>
                <w:sz w:val="15"/>
              </w:rPr>
              <w:t>NFR-A11Y-006</w:t>
            </w:r>
          </w:p>
        </w:tc>
        <w:tc>
          <w:tcPr>
            <w:tcW w:type="dxa" w:w="3331"/>
            <w:vAlign w:val="center"/>
            <w:shd w:fill="F1F5F8"/>
          </w:tcPr>
          <w:p>
            <w:pPr>
              <w:spacing w:after="20"/>
            </w:pPr>
            <w:r/>
            <w:r>
              <w:rPr>
                <w:rFonts w:ascii="Aptos" w:hAnsi="Aptos"/>
                <w:b w:val="0"/>
                <w:sz w:val="15"/>
              </w:rPr>
              <w:t>SHOULD</w:t>
            </w:r>
          </w:p>
        </w:tc>
        <w:tc>
          <w:tcPr>
            <w:tcW w:type="dxa" w:w="3331"/>
            <w:vAlign w:val="center"/>
            <w:shd w:fill="F1F5F8"/>
          </w:tcPr>
          <w:p>
            <w:pPr>
              <w:spacing w:after="20"/>
            </w:pPr>
            <w:r/>
            <w:r>
              <w:rPr>
                <w:rFonts w:ascii="Aptos" w:hAnsi="Aptos"/>
                <w:b w:val="0"/>
                <w:sz w:val="15"/>
              </w:rPr>
              <w:t>CMS should provide authoring hints for heading hierarchy, link text, alt text and document accessibility. Automated checks are not treated as proof of compliance.</w:t>
            </w:r>
          </w:p>
        </w:tc>
      </w:tr>
    </w:tbl>
    <w:p>
      <w:pPr>
        <w:spacing w:after="0"/>
      </w:pPr>
    </w:p>
    <w:p>
      <w:pPr>
        <w:pStyle w:val="Heading2"/>
      </w:pPr>
      <w:r>
        <w:t>14.3 SEO and performance content pipeline</w:t>
      </w:r>
    </w:p>
    <w:p>
      <w:r>
        <w:t>Every eligible public page should support SEO metadata, canonical URL, social preview, structured data when appropriate, responsive media and indexability controls. Performance budgets should be enforced in templates and media workflows. Avoid shipping unnecessary JavaScript or loading heavy media before it is needed.</w:t>
      </w:r>
    </w:p>
    <w:p>
      <w:pPr>
        <w:pStyle w:val="Heading2"/>
      </w:pPr>
      <w:r>
        <w:t>14.4 Localization</w:t>
      </w:r>
    </w:p>
    <w:p>
      <w:r>
        <w:t>Design the data model to support translated content for English, Amharic, Arabic, French, Chinese and additional tenant-selected languages. Store translations as locale-specific variants linked to a canonical content entity. Define fallback behaviour, locale-specific slugs/metadata, language switcher behaviour, right-to-left support where required, and translation status. MVP may launch in one language but must avoid hard-coded assumptions that make future localization prohibitively expensive.</w:t>
      </w:r>
    </w:p>
    <w:p>
      <w:pPr>
        <w:pStyle w:val="Heading1"/>
      </w:pPr>
      <w:r>
        <w:t>15. Security, Privacy and Audit</w:t>
      </w:r>
    </w:p>
    <w:p>
      <w:pPr>
        <w:pStyle w:val="Heading2"/>
      </w:pPr>
      <w:r>
        <w:t>15.1 Security requirements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4"/>
              </w:rPr>
              <w:t>ID</w:t>
            </w:r>
          </w:p>
        </w:tc>
        <w:tc>
          <w:tcPr>
            <w:tcW w:type="dxa" w:w="2498"/>
            <w:vAlign w:val="center"/>
            <w:shd w:fill="16324F"/>
          </w:tcPr>
          <w:p>
            <w:pPr>
              <w:spacing w:after="20"/>
            </w:pPr>
            <w:r/>
            <w:r>
              <w:rPr>
                <w:rFonts w:ascii="Aptos" w:hAnsi="Aptos"/>
                <w:b/>
                <w:color w:val="FFFFFF"/>
                <w:sz w:val="14"/>
              </w:rPr>
              <w:t>Priority</w:t>
            </w:r>
          </w:p>
        </w:tc>
        <w:tc>
          <w:tcPr>
            <w:tcW w:type="dxa" w:w="2498"/>
            <w:vAlign w:val="center"/>
            <w:shd w:fill="16324F"/>
          </w:tcPr>
          <w:p>
            <w:pPr>
              <w:spacing w:after="20"/>
            </w:pPr>
            <w:r/>
            <w:r>
              <w:rPr>
                <w:rFonts w:ascii="Aptos" w:hAnsi="Aptos"/>
                <w:b/>
                <w:color w:val="FFFFFF"/>
                <w:sz w:val="14"/>
              </w:rPr>
              <w:t>Requirement</w:t>
            </w:r>
          </w:p>
        </w:tc>
        <w:tc>
          <w:tcPr>
            <w:tcW w:type="dxa" w:w="2498"/>
            <w:vAlign w:val="center"/>
            <w:shd w:fill="16324F"/>
          </w:tcPr>
          <w:p>
            <w:pPr>
              <w:spacing w:after="20"/>
            </w:pPr>
            <w:r/>
            <w:r>
              <w:rPr>
                <w:rFonts w:ascii="Aptos" w:hAnsi="Aptos"/>
                <w:b/>
                <w:color w:val="FFFFFF"/>
                <w:sz w:val="14"/>
              </w:rPr>
              <w:t>Verification</w:t>
            </w:r>
          </w:p>
        </w:tc>
      </w:tr>
      <w:tr>
        <w:tc>
          <w:tcPr>
            <w:tcW w:type="dxa" w:w="2498"/>
            <w:vAlign w:val="center"/>
          </w:tcPr>
          <w:p>
            <w:pPr>
              <w:spacing w:after="20"/>
            </w:pPr>
            <w:r/>
            <w:r>
              <w:rPr>
                <w:rFonts w:ascii="Aptos" w:hAnsi="Aptos"/>
                <w:b w:val="0"/>
                <w:sz w:val="14"/>
              </w:rPr>
              <w:t>NFR-SEC-001</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All production traffic uses HTTPS; secure cookies and appropriate security headers are configured.</w:t>
            </w:r>
          </w:p>
        </w:tc>
        <w:tc>
          <w:tcPr>
            <w:tcW w:type="dxa" w:w="2498"/>
            <w:vAlign w:val="center"/>
          </w:tcPr>
          <w:p>
            <w:pPr>
              <w:spacing w:after="20"/>
            </w:pPr>
            <w:r/>
            <w:r>
              <w:rPr>
                <w:rFonts w:ascii="Aptos" w:hAnsi="Aptos"/>
                <w:b w:val="0"/>
                <w:sz w:val="14"/>
              </w:rPr>
              <w:t>Deployment/configuration review and automated checks.</w:t>
            </w:r>
          </w:p>
        </w:tc>
      </w:tr>
      <w:tr>
        <w:tc>
          <w:tcPr>
            <w:tcW w:type="dxa" w:w="2498"/>
            <w:vAlign w:val="center"/>
            <w:shd w:fill="F1F5F8"/>
          </w:tcPr>
          <w:p>
            <w:pPr>
              <w:spacing w:after="20"/>
            </w:pPr>
            <w:r/>
            <w:r>
              <w:rPr>
                <w:rFonts w:ascii="Aptos" w:hAnsi="Aptos"/>
                <w:b w:val="0"/>
                <w:sz w:val="14"/>
              </w:rPr>
              <w:t>NFR-SEC-002</w:t>
            </w:r>
          </w:p>
        </w:tc>
        <w:tc>
          <w:tcPr>
            <w:tcW w:type="dxa" w:w="2498"/>
            <w:vAlign w:val="center"/>
            <w:shd w:fill="F1F5F8"/>
          </w:tcPr>
          <w:p>
            <w:pPr>
              <w:spacing w:after="20"/>
            </w:pPr>
            <w:r/>
            <w:r>
              <w:rPr>
                <w:rFonts w:ascii="Aptos" w:hAnsi="Aptos"/>
                <w:b w:val="0"/>
                <w:sz w:val="14"/>
              </w:rPr>
              <w:t>MUST</w:t>
            </w:r>
          </w:p>
        </w:tc>
        <w:tc>
          <w:tcPr>
            <w:tcW w:type="dxa" w:w="2498"/>
            <w:vAlign w:val="center"/>
            <w:shd w:fill="F1F5F8"/>
          </w:tcPr>
          <w:p>
            <w:pPr>
              <w:spacing w:after="20"/>
            </w:pPr>
            <w:r/>
            <w:r>
              <w:rPr>
                <w:rFonts w:ascii="Aptos" w:hAnsi="Aptos"/>
                <w:b w:val="0"/>
                <w:sz w:val="14"/>
              </w:rPr>
              <w:t>Passwords are stored using a modern, purpose-built password hashing algorithm and safe parameters; secrets are never committed to source control.</w:t>
            </w:r>
          </w:p>
        </w:tc>
        <w:tc>
          <w:tcPr>
            <w:tcW w:type="dxa" w:w="2498"/>
            <w:vAlign w:val="center"/>
            <w:shd w:fill="F1F5F8"/>
          </w:tcPr>
          <w:p>
            <w:pPr>
              <w:spacing w:after="20"/>
            </w:pPr>
            <w:r/>
            <w:r>
              <w:rPr>
                <w:rFonts w:ascii="Aptos" w:hAnsi="Aptos"/>
                <w:b w:val="0"/>
                <w:sz w:val="14"/>
              </w:rPr>
              <w:t>Configuration review; repository secret scanning.</w:t>
            </w:r>
          </w:p>
        </w:tc>
      </w:tr>
      <w:tr>
        <w:tc>
          <w:tcPr>
            <w:tcW w:type="dxa" w:w="2498"/>
            <w:vAlign w:val="center"/>
          </w:tcPr>
          <w:p>
            <w:pPr>
              <w:spacing w:after="20"/>
            </w:pPr>
            <w:r/>
            <w:r>
              <w:rPr>
                <w:rFonts w:ascii="Aptos" w:hAnsi="Aptos"/>
                <w:b w:val="0"/>
                <w:sz w:val="14"/>
              </w:rPr>
              <w:t>NFR-SEC-003</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Authorization is enforced server-side for every tenant-scoped read/write and object-storage access.</w:t>
            </w:r>
          </w:p>
        </w:tc>
        <w:tc>
          <w:tcPr>
            <w:tcW w:type="dxa" w:w="2498"/>
            <w:vAlign w:val="center"/>
          </w:tcPr>
          <w:p>
            <w:pPr>
              <w:spacing w:after="20"/>
            </w:pPr>
            <w:r/>
            <w:r>
              <w:rPr>
                <w:rFonts w:ascii="Aptos" w:hAnsi="Aptos"/>
                <w:b w:val="0"/>
                <w:sz w:val="14"/>
              </w:rPr>
              <w:t>Automated authorization matrix and cross-tenant negative tests.</w:t>
            </w:r>
          </w:p>
        </w:tc>
      </w:tr>
      <w:tr>
        <w:tc>
          <w:tcPr>
            <w:tcW w:type="dxa" w:w="2498"/>
            <w:vAlign w:val="center"/>
            <w:shd w:fill="F1F5F8"/>
          </w:tcPr>
          <w:p>
            <w:pPr>
              <w:spacing w:after="20"/>
            </w:pPr>
            <w:r/>
            <w:r>
              <w:rPr>
                <w:rFonts w:ascii="Aptos" w:hAnsi="Aptos"/>
                <w:b w:val="0"/>
                <w:sz w:val="14"/>
              </w:rPr>
              <w:t>NFR-SEC-004</w:t>
            </w:r>
          </w:p>
        </w:tc>
        <w:tc>
          <w:tcPr>
            <w:tcW w:type="dxa" w:w="2498"/>
            <w:vAlign w:val="center"/>
            <w:shd w:fill="F1F5F8"/>
          </w:tcPr>
          <w:p>
            <w:pPr>
              <w:spacing w:after="20"/>
            </w:pPr>
            <w:r/>
            <w:r>
              <w:rPr>
                <w:rFonts w:ascii="Aptos" w:hAnsi="Aptos"/>
                <w:b w:val="0"/>
                <w:sz w:val="14"/>
              </w:rPr>
              <w:t>MUST</w:t>
            </w:r>
          </w:p>
        </w:tc>
        <w:tc>
          <w:tcPr>
            <w:tcW w:type="dxa" w:w="2498"/>
            <w:vAlign w:val="center"/>
            <w:shd w:fill="F1F5F8"/>
          </w:tcPr>
          <w:p>
            <w:pPr>
              <w:spacing w:after="20"/>
            </w:pPr>
            <w:r/>
            <w:r>
              <w:rPr>
                <w:rFonts w:ascii="Aptos" w:hAnsi="Aptos"/>
                <w:b w:val="0"/>
                <w:sz w:val="14"/>
              </w:rPr>
              <w:t>Input validation, output encoding, CSRF protection where relevant, rate limits and protections for common OWASP risks are implemented.</w:t>
            </w:r>
          </w:p>
        </w:tc>
        <w:tc>
          <w:tcPr>
            <w:tcW w:type="dxa" w:w="2498"/>
            <w:vAlign w:val="center"/>
            <w:shd w:fill="F1F5F8"/>
          </w:tcPr>
          <w:p>
            <w:pPr>
              <w:spacing w:after="20"/>
            </w:pPr>
            <w:r/>
            <w:r>
              <w:rPr>
                <w:rFonts w:ascii="Aptos" w:hAnsi="Aptos"/>
                <w:b w:val="0"/>
                <w:sz w:val="14"/>
              </w:rPr>
              <w:t>Threat-model-based security testing and dependency scanning.</w:t>
            </w:r>
          </w:p>
        </w:tc>
      </w:tr>
      <w:tr>
        <w:tc>
          <w:tcPr>
            <w:tcW w:type="dxa" w:w="2498"/>
            <w:vAlign w:val="center"/>
          </w:tcPr>
          <w:p>
            <w:pPr>
              <w:spacing w:after="20"/>
            </w:pPr>
            <w:r/>
            <w:r>
              <w:rPr>
                <w:rFonts w:ascii="Aptos" w:hAnsi="Aptos"/>
                <w:b w:val="0"/>
                <w:sz w:val="14"/>
              </w:rPr>
              <w:t>NFR-SEC-005</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Uploads are restricted by type/size, stored safely, and scanned or quarantined where feasible; executable content is not served inline.</w:t>
            </w:r>
          </w:p>
        </w:tc>
        <w:tc>
          <w:tcPr>
            <w:tcW w:type="dxa" w:w="2498"/>
            <w:vAlign w:val="center"/>
          </w:tcPr>
          <w:p>
            <w:pPr>
              <w:spacing w:after="20"/>
            </w:pPr>
            <w:r/>
            <w:r>
              <w:rPr>
                <w:rFonts w:ascii="Aptos" w:hAnsi="Aptos"/>
                <w:b w:val="0"/>
                <w:sz w:val="14"/>
              </w:rPr>
              <w:t>Malicious/oversized file tests and storage policy review.</w:t>
            </w:r>
          </w:p>
        </w:tc>
      </w:tr>
      <w:tr>
        <w:tc>
          <w:tcPr>
            <w:tcW w:type="dxa" w:w="2498"/>
            <w:vAlign w:val="center"/>
            <w:shd w:fill="F1F5F8"/>
          </w:tcPr>
          <w:p>
            <w:pPr>
              <w:spacing w:after="20"/>
            </w:pPr>
            <w:r/>
            <w:r>
              <w:rPr>
                <w:rFonts w:ascii="Aptos" w:hAnsi="Aptos"/>
                <w:b w:val="0"/>
                <w:sz w:val="14"/>
              </w:rPr>
              <w:t>NFR-SEC-006</w:t>
            </w:r>
          </w:p>
        </w:tc>
        <w:tc>
          <w:tcPr>
            <w:tcW w:type="dxa" w:w="2498"/>
            <w:vAlign w:val="center"/>
            <w:shd w:fill="F1F5F8"/>
          </w:tcPr>
          <w:p>
            <w:pPr>
              <w:spacing w:after="20"/>
            </w:pPr>
            <w:r/>
            <w:r>
              <w:rPr>
                <w:rFonts w:ascii="Aptos" w:hAnsi="Aptos"/>
                <w:b w:val="0"/>
                <w:sz w:val="14"/>
              </w:rPr>
              <w:t>MUST</w:t>
            </w:r>
          </w:p>
        </w:tc>
        <w:tc>
          <w:tcPr>
            <w:tcW w:type="dxa" w:w="2498"/>
            <w:vAlign w:val="center"/>
            <w:shd w:fill="F1F5F8"/>
          </w:tcPr>
          <w:p>
            <w:pPr>
              <w:spacing w:after="20"/>
            </w:pPr>
            <w:r/>
            <w:r>
              <w:rPr>
                <w:rFonts w:ascii="Aptos" w:hAnsi="Aptos"/>
                <w:b w:val="0"/>
                <w:sz w:val="14"/>
              </w:rPr>
              <w:t>Application documents and other private files require authorization; short-lived signed URLs are used only with appropriate scope and expiry.</w:t>
            </w:r>
          </w:p>
        </w:tc>
        <w:tc>
          <w:tcPr>
            <w:tcW w:type="dxa" w:w="2498"/>
            <w:vAlign w:val="center"/>
            <w:shd w:fill="F1F5F8"/>
          </w:tcPr>
          <w:p>
            <w:pPr>
              <w:spacing w:after="20"/>
            </w:pPr>
            <w:r/>
            <w:r>
              <w:rPr>
                <w:rFonts w:ascii="Aptos" w:hAnsi="Aptos"/>
                <w:b w:val="0"/>
                <w:sz w:val="14"/>
              </w:rPr>
              <w:t>Anonymous, expired-link and cross-tenant tests.</w:t>
            </w:r>
          </w:p>
        </w:tc>
      </w:tr>
      <w:tr>
        <w:tc>
          <w:tcPr>
            <w:tcW w:type="dxa" w:w="2498"/>
            <w:vAlign w:val="center"/>
          </w:tcPr>
          <w:p>
            <w:pPr>
              <w:spacing w:after="20"/>
            </w:pPr>
            <w:r/>
            <w:r>
              <w:rPr>
                <w:rFonts w:ascii="Aptos" w:hAnsi="Aptos"/>
                <w:b w:val="0"/>
                <w:sz w:val="14"/>
              </w:rPr>
              <w:t>NFR-SEC-007</w:t>
            </w:r>
          </w:p>
        </w:tc>
        <w:tc>
          <w:tcPr>
            <w:tcW w:type="dxa" w:w="2498"/>
            <w:vAlign w:val="center"/>
          </w:tcPr>
          <w:p>
            <w:pPr>
              <w:spacing w:after="20"/>
            </w:pPr>
            <w:r/>
            <w:r>
              <w:rPr>
                <w:rFonts w:ascii="Aptos" w:hAnsi="Aptos"/>
                <w:b w:val="0"/>
                <w:sz w:val="14"/>
              </w:rPr>
              <w:t>MUST</w:t>
            </w:r>
          </w:p>
        </w:tc>
        <w:tc>
          <w:tcPr>
            <w:tcW w:type="dxa" w:w="2498"/>
            <w:vAlign w:val="center"/>
          </w:tcPr>
          <w:p>
            <w:pPr>
              <w:spacing w:after="20"/>
            </w:pPr>
            <w:r/>
            <w:r>
              <w:rPr>
                <w:rFonts w:ascii="Aptos" w:hAnsi="Aptos"/>
                <w:b w:val="0"/>
                <w:sz w:val="14"/>
              </w:rPr>
              <w:t>Audit logs record sensitive administrative actions, role changes, application status decisions and relevant access/security events.</w:t>
            </w:r>
          </w:p>
        </w:tc>
        <w:tc>
          <w:tcPr>
            <w:tcW w:type="dxa" w:w="2498"/>
            <w:vAlign w:val="center"/>
          </w:tcPr>
          <w:p>
            <w:pPr>
              <w:spacing w:after="20"/>
            </w:pPr>
            <w:r/>
            <w:r>
              <w:rPr>
                <w:rFonts w:ascii="Aptos" w:hAnsi="Aptos"/>
                <w:b w:val="0"/>
                <w:sz w:val="14"/>
              </w:rPr>
              <w:t>Test action produces actor, tenant, time, target and outcome record.</w:t>
            </w:r>
          </w:p>
        </w:tc>
      </w:tr>
      <w:tr>
        <w:tc>
          <w:tcPr>
            <w:tcW w:type="dxa" w:w="2498"/>
            <w:vAlign w:val="center"/>
            <w:shd w:fill="F1F5F8"/>
          </w:tcPr>
          <w:p>
            <w:pPr>
              <w:spacing w:after="20"/>
            </w:pPr>
            <w:r/>
            <w:r>
              <w:rPr>
                <w:rFonts w:ascii="Aptos" w:hAnsi="Aptos"/>
                <w:b w:val="0"/>
                <w:sz w:val="14"/>
              </w:rPr>
              <w:t>NFR-SEC-008</w:t>
            </w:r>
          </w:p>
        </w:tc>
        <w:tc>
          <w:tcPr>
            <w:tcW w:type="dxa" w:w="2498"/>
            <w:vAlign w:val="center"/>
            <w:shd w:fill="F1F5F8"/>
          </w:tcPr>
          <w:p>
            <w:pPr>
              <w:spacing w:after="20"/>
            </w:pPr>
            <w:r/>
            <w:r>
              <w:rPr>
                <w:rFonts w:ascii="Aptos" w:hAnsi="Aptos"/>
                <w:b w:val="0"/>
                <w:sz w:val="14"/>
              </w:rPr>
              <w:t>MUST</w:t>
            </w:r>
          </w:p>
        </w:tc>
        <w:tc>
          <w:tcPr>
            <w:tcW w:type="dxa" w:w="2498"/>
            <w:vAlign w:val="center"/>
            <w:shd w:fill="F1F5F8"/>
          </w:tcPr>
          <w:p>
            <w:pPr>
              <w:spacing w:after="20"/>
            </w:pPr>
            <w:r/>
            <w:r>
              <w:rPr>
                <w:rFonts w:ascii="Aptos" w:hAnsi="Aptos"/>
                <w:b w:val="0"/>
                <w:sz w:val="14"/>
              </w:rPr>
              <w:t>Backups are encrypted where supported, access-controlled and periodically restored in a test environment.</w:t>
            </w:r>
          </w:p>
        </w:tc>
        <w:tc>
          <w:tcPr>
            <w:tcW w:type="dxa" w:w="2498"/>
            <w:vAlign w:val="center"/>
            <w:shd w:fill="F1F5F8"/>
          </w:tcPr>
          <w:p>
            <w:pPr>
              <w:spacing w:after="20"/>
            </w:pPr>
            <w:r/>
            <w:r>
              <w:rPr>
                <w:rFonts w:ascii="Aptos" w:hAnsi="Aptos"/>
                <w:b w:val="0"/>
                <w:sz w:val="14"/>
              </w:rPr>
              <w:t>Documented restore drill and recovery evidence.</w:t>
            </w:r>
          </w:p>
        </w:tc>
      </w:tr>
      <w:tr>
        <w:tc>
          <w:tcPr>
            <w:tcW w:type="dxa" w:w="2498"/>
            <w:vAlign w:val="center"/>
          </w:tcPr>
          <w:p>
            <w:pPr>
              <w:spacing w:after="20"/>
            </w:pPr>
            <w:r/>
            <w:r>
              <w:rPr>
                <w:rFonts w:ascii="Aptos" w:hAnsi="Aptos"/>
                <w:b w:val="0"/>
                <w:sz w:val="14"/>
              </w:rPr>
              <w:t>NFR-SEC-009</w:t>
            </w:r>
          </w:p>
        </w:tc>
        <w:tc>
          <w:tcPr>
            <w:tcW w:type="dxa" w:w="2498"/>
            <w:vAlign w:val="center"/>
          </w:tcPr>
          <w:p>
            <w:pPr>
              <w:spacing w:after="20"/>
            </w:pPr>
            <w:r/>
            <w:r>
              <w:rPr>
                <w:rFonts w:ascii="Aptos" w:hAnsi="Aptos"/>
                <w:b w:val="0"/>
                <w:sz w:val="14"/>
              </w:rPr>
              <w:t>SHOULD</w:t>
            </w:r>
          </w:p>
        </w:tc>
        <w:tc>
          <w:tcPr>
            <w:tcW w:type="dxa" w:w="2498"/>
            <w:vAlign w:val="center"/>
          </w:tcPr>
          <w:p>
            <w:pPr>
              <w:spacing w:after="20"/>
            </w:pPr>
            <w:r/>
            <w:r>
              <w:rPr>
                <w:rFonts w:ascii="Aptos" w:hAnsi="Aptos"/>
                <w:b w:val="0"/>
                <w:sz w:val="14"/>
              </w:rPr>
              <w:t>Privileged users should use MFA; administrative sessions should have documented idle/absolute expiry and re-authentication policy for sensitive actions.</w:t>
            </w:r>
          </w:p>
        </w:tc>
        <w:tc>
          <w:tcPr>
            <w:tcW w:type="dxa" w:w="2498"/>
            <w:vAlign w:val="center"/>
          </w:tcPr>
          <w:p>
            <w:pPr>
              <w:spacing w:after="20"/>
            </w:pPr>
            <w:r/>
            <w:r>
              <w:rPr>
                <w:rFonts w:ascii="Aptos" w:hAnsi="Aptos"/>
                <w:b w:val="0"/>
                <w:sz w:val="14"/>
              </w:rPr>
              <w:t>Configuration and session tests.</w:t>
            </w:r>
          </w:p>
        </w:tc>
      </w:tr>
      <w:tr>
        <w:tc>
          <w:tcPr>
            <w:tcW w:type="dxa" w:w="2498"/>
            <w:vAlign w:val="center"/>
            <w:shd w:fill="F1F5F8"/>
          </w:tcPr>
          <w:p>
            <w:pPr>
              <w:spacing w:after="20"/>
            </w:pPr>
            <w:r/>
            <w:r>
              <w:rPr>
                <w:rFonts w:ascii="Aptos" w:hAnsi="Aptos"/>
                <w:b w:val="0"/>
                <w:sz w:val="14"/>
              </w:rPr>
              <w:t>NFR-SEC-010</w:t>
            </w:r>
          </w:p>
        </w:tc>
        <w:tc>
          <w:tcPr>
            <w:tcW w:type="dxa" w:w="2498"/>
            <w:vAlign w:val="center"/>
            <w:shd w:fill="F1F5F8"/>
          </w:tcPr>
          <w:p>
            <w:pPr>
              <w:spacing w:after="20"/>
            </w:pPr>
            <w:r/>
            <w:r>
              <w:rPr>
                <w:rFonts w:ascii="Aptos" w:hAnsi="Aptos"/>
                <w:b w:val="0"/>
                <w:sz w:val="14"/>
              </w:rPr>
              <w:t>MUST</w:t>
            </w:r>
          </w:p>
        </w:tc>
        <w:tc>
          <w:tcPr>
            <w:tcW w:type="dxa" w:w="2498"/>
            <w:vAlign w:val="center"/>
            <w:shd w:fill="F1F5F8"/>
          </w:tcPr>
          <w:p>
            <w:pPr>
              <w:spacing w:after="20"/>
            </w:pPr>
            <w:r/>
            <w:r>
              <w:rPr>
                <w:rFonts w:ascii="Aptos" w:hAnsi="Aptos"/>
                <w:b w:val="0"/>
                <w:sz w:val="14"/>
              </w:rPr>
              <w:t>Production secrets, tokens and personal data are excluded from logs; logs have access controls and retention policies.</w:t>
            </w:r>
          </w:p>
        </w:tc>
        <w:tc>
          <w:tcPr>
            <w:tcW w:type="dxa" w:w="2498"/>
            <w:vAlign w:val="center"/>
            <w:shd w:fill="F1F5F8"/>
          </w:tcPr>
          <w:p>
            <w:pPr>
              <w:spacing w:after="20"/>
            </w:pPr>
            <w:r/>
            <w:r>
              <w:rPr>
                <w:rFonts w:ascii="Aptos" w:hAnsi="Aptos"/>
                <w:b w:val="0"/>
                <w:sz w:val="14"/>
              </w:rPr>
              <w:t>Log review and automated secret checks.</w:t>
            </w:r>
          </w:p>
        </w:tc>
      </w:tr>
    </w:tbl>
    <w:p>
      <w:pPr>
        <w:spacing w:after="0"/>
      </w:pPr>
    </w:p>
    <w:p>
      <w:pPr>
        <w:pStyle w:val="Heading2"/>
      </w:pPr>
      <w:r>
        <w:t>15.2 Privacy and governance</w:t>
      </w:r>
    </w:p>
    <w:p>
      <w:pPr>
        <w:pStyle w:val="ListBullet"/>
      </w:pPr>
      <w:r>
        <w:t>Document what personal data is collected, why it is needed, who can access it, how long it is retained and how it can be exported/deleted.</w:t>
      </w:r>
    </w:p>
    <w:p>
      <w:pPr>
        <w:pStyle w:val="ListBullet"/>
      </w:pPr>
      <w:r>
        <w:t>Support privacy notice and consent records where appropriate to the processing purpose and applicable law; consent must not be used as a substitute for identifying a lawful basis where one is required.</w:t>
      </w:r>
    </w:p>
    <w:p>
      <w:pPr>
        <w:pStyle w:val="ListBullet"/>
      </w:pPr>
      <w:r>
        <w:t>Minimize student/minor data in public pages, analytics, notifications and logs. Public staff/student stories and images require institution-approved publication rights.</w:t>
      </w:r>
    </w:p>
    <w:p>
      <w:pPr>
        <w:pStyle w:val="ListBullet"/>
      </w:pPr>
      <w:r>
        <w:t>Define procedures for access requests, correction, deletion, breach response and legal holds according to deployment jurisdiction and institutional policy.</w:t>
      </w:r>
    </w:p>
    <w:p>
      <w:pPr>
        <w:pStyle w:val="ListBullet"/>
      </w:pPr>
      <w:r>
        <w:t>Review applicable laws with qualified local counsel for each deployment; potentially relevant regimes may differ by country, institution type, user location and data residency.</w:t>
      </w:r>
    </w:p>
    <w:p>
      <w:pPr>
        <w:pStyle w:val="ListBullet"/>
      </w:pPr>
      <w:r>
        <w:t>Do not assume one privacy law applies universally or claim legal compliance solely because technical controls exist.</w:t>
      </w:r>
    </w:p>
    <w:p>
      <w:pPr>
        <w:pStyle w:val="Heading2"/>
      </w:pPr>
      <w:r>
        <w:t>15.3 Audit events</w:t>
      </w:r>
    </w:p>
    <w:p>
      <w:r>
        <w:t>At minimum audit: user/role/permission changes; tenant/domain/module changes; content publication and archive actions where material; application submission and status/decision changes; access to sensitive records where required; export/download of restricted data; security setting changes; and support impersonation or elevated access. Do not log passwords, full tokens, document contents or unnecessary sensitive values.</w:t>
      </w:r>
    </w:p>
    <w:p>
      <w:pPr>
        <w:pStyle w:val="Heading1"/>
      </w:pPr>
      <w:r>
        <w:t>16.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4"/>
              </w:rPr>
              <w:t>ID / area</w:t>
            </w:r>
          </w:p>
        </w:tc>
        <w:tc>
          <w:tcPr>
            <w:tcW w:type="dxa" w:w="4997"/>
            <w:vAlign w:val="center"/>
            <w:shd w:fill="16324F"/>
          </w:tcPr>
          <w:p>
            <w:pPr>
              <w:spacing w:after="20"/>
            </w:pPr>
            <w:r/>
            <w:r>
              <w:rPr>
                <w:rFonts w:ascii="Aptos" w:hAnsi="Aptos"/>
                <w:b/>
                <w:color w:val="FFFFFF"/>
                <w:sz w:val="14"/>
              </w:rPr>
              <w:t>Requirement and measurable target</w:t>
            </w:r>
          </w:p>
        </w:tc>
      </w:tr>
      <w:tr>
        <w:tc>
          <w:tcPr>
            <w:tcW w:type="dxa" w:w="4997"/>
            <w:vAlign w:val="center"/>
          </w:tcPr>
          <w:p>
            <w:pPr>
              <w:spacing w:after="20"/>
            </w:pPr>
            <w:r/>
            <w:r>
              <w:rPr>
                <w:rFonts w:ascii="Aptos" w:hAnsi="Aptos"/>
                <w:b w:val="0"/>
                <w:sz w:val="14"/>
              </w:rPr>
              <w:t>NFR-PERF-001 Performance</w:t>
            </w:r>
          </w:p>
        </w:tc>
        <w:tc>
          <w:tcPr>
            <w:tcW w:type="dxa" w:w="4997"/>
            <w:vAlign w:val="center"/>
          </w:tcPr>
          <w:p>
            <w:pPr>
              <w:spacing w:after="20"/>
            </w:pPr>
            <w:r/>
            <w:r>
              <w:rPr>
                <w:rFonts w:ascii="Aptos" w:hAnsi="Aptos"/>
                <w:b w:val="0"/>
                <w:sz w:val="14"/>
              </w:rPr>
              <w:t>For public pages, target LCP ≤2.5 s, INP ≤200 ms and CLS ≤0.1 at the 75th percentile when sufficient field data exists. Validate representative routes on realistic devices/networks; do not treat lab-only scores as proof of field performance.</w:t>
            </w:r>
          </w:p>
        </w:tc>
      </w:tr>
      <w:tr>
        <w:tc>
          <w:tcPr>
            <w:tcW w:type="dxa" w:w="4997"/>
            <w:vAlign w:val="center"/>
            <w:shd w:fill="F1F5F8"/>
          </w:tcPr>
          <w:p>
            <w:pPr>
              <w:spacing w:after="20"/>
            </w:pPr>
            <w:r/>
            <w:r>
              <w:rPr>
                <w:rFonts w:ascii="Aptos" w:hAnsi="Aptos"/>
                <w:b w:val="0"/>
                <w:sz w:val="14"/>
              </w:rPr>
              <w:t>NFR-PERF-002 Performance</w:t>
            </w:r>
          </w:p>
        </w:tc>
        <w:tc>
          <w:tcPr>
            <w:tcW w:type="dxa" w:w="4997"/>
            <w:vAlign w:val="center"/>
            <w:shd w:fill="F1F5F8"/>
          </w:tcPr>
          <w:p>
            <w:pPr>
              <w:spacing w:after="20"/>
            </w:pPr>
            <w:r/>
            <w:r>
              <w:rPr>
                <w:rFonts w:ascii="Aptos" w:hAnsi="Aptos"/>
                <w:b w:val="0"/>
                <w:sz w:val="14"/>
              </w:rPr>
              <w:t>Paginated standard read APIs should meet a provisional p95 response time ≤500 ms under the agreed pilot load, excluding external provider latency. Confirm load profile and revise based on measurements.</w:t>
            </w:r>
          </w:p>
        </w:tc>
      </w:tr>
      <w:tr>
        <w:tc>
          <w:tcPr>
            <w:tcW w:type="dxa" w:w="4997"/>
            <w:vAlign w:val="center"/>
          </w:tcPr>
          <w:p>
            <w:pPr>
              <w:spacing w:after="20"/>
            </w:pPr>
            <w:r/>
            <w:r>
              <w:rPr>
                <w:rFonts w:ascii="Aptos" w:hAnsi="Aptos"/>
                <w:b w:val="0"/>
                <w:sz w:val="14"/>
              </w:rPr>
              <w:t>NFR-PERF-003 Media</w:t>
            </w:r>
          </w:p>
        </w:tc>
        <w:tc>
          <w:tcPr>
            <w:tcW w:type="dxa" w:w="4997"/>
            <w:vAlign w:val="center"/>
          </w:tcPr>
          <w:p>
            <w:pPr>
              <w:spacing w:after="20"/>
            </w:pPr>
            <w:r/>
            <w:r>
              <w:rPr>
                <w:rFonts w:ascii="Aptos" w:hAnsi="Aptos"/>
                <w:b w:val="0"/>
                <w:sz w:val="14"/>
              </w:rPr>
              <w:t>Responsive image variants, explicit dimensions, compression and lazy loading for below-the-fold media are required where appropriate.</w:t>
            </w:r>
          </w:p>
        </w:tc>
      </w:tr>
      <w:tr>
        <w:tc>
          <w:tcPr>
            <w:tcW w:type="dxa" w:w="4997"/>
            <w:vAlign w:val="center"/>
            <w:shd w:fill="F1F5F8"/>
          </w:tcPr>
          <w:p>
            <w:pPr>
              <w:spacing w:after="20"/>
            </w:pPr>
            <w:r/>
            <w:r>
              <w:rPr>
                <w:rFonts w:ascii="Aptos" w:hAnsi="Aptos"/>
                <w:b w:val="0"/>
                <w:sz w:val="14"/>
              </w:rPr>
              <w:t>NFR-AVAIL-001 Availability</w:t>
            </w:r>
          </w:p>
        </w:tc>
        <w:tc>
          <w:tcPr>
            <w:tcW w:type="dxa" w:w="4997"/>
            <w:vAlign w:val="center"/>
            <w:shd w:fill="F1F5F8"/>
          </w:tcPr>
          <w:p>
            <w:pPr>
              <w:spacing w:after="20"/>
            </w:pPr>
            <w:r/>
            <w:r>
              <w:rPr>
                <w:rFonts w:ascii="Aptos" w:hAnsi="Aptos"/>
                <w:b w:val="0"/>
                <w:sz w:val="14"/>
              </w:rPr>
              <w:t>Initial target: 99.5% monthly availability for production public site, excluding agreed maintenance and force majeure; hosting/provider choices must support this target.</w:t>
            </w:r>
          </w:p>
        </w:tc>
      </w:tr>
      <w:tr>
        <w:tc>
          <w:tcPr>
            <w:tcW w:type="dxa" w:w="4997"/>
            <w:vAlign w:val="center"/>
          </w:tcPr>
          <w:p>
            <w:pPr>
              <w:spacing w:after="20"/>
            </w:pPr>
            <w:r/>
            <w:r>
              <w:rPr>
                <w:rFonts w:ascii="Aptos" w:hAnsi="Aptos"/>
                <w:b w:val="0"/>
                <w:sz w:val="14"/>
              </w:rPr>
              <w:t>NFR-REL-001 Reliability</w:t>
            </w:r>
          </w:p>
        </w:tc>
        <w:tc>
          <w:tcPr>
            <w:tcW w:type="dxa" w:w="4997"/>
            <w:vAlign w:val="center"/>
          </w:tcPr>
          <w:p>
            <w:pPr>
              <w:spacing w:after="20"/>
            </w:pPr>
            <w:r/>
            <w:r>
              <w:rPr>
                <w:rFonts w:ascii="Aptos" w:hAnsi="Aptos"/>
                <w:b w:val="0"/>
                <w:sz w:val="14"/>
              </w:rPr>
              <w:t>Critical data writes use transactions and defined retry/idempotency rules; failed external notifications do not corrupt authoritative records.</w:t>
            </w:r>
          </w:p>
        </w:tc>
      </w:tr>
      <w:tr>
        <w:tc>
          <w:tcPr>
            <w:tcW w:type="dxa" w:w="4997"/>
            <w:vAlign w:val="center"/>
            <w:shd w:fill="F1F5F8"/>
          </w:tcPr>
          <w:p>
            <w:pPr>
              <w:spacing w:after="20"/>
            </w:pPr>
            <w:r/>
            <w:r>
              <w:rPr>
                <w:rFonts w:ascii="Aptos" w:hAnsi="Aptos"/>
                <w:b w:val="0"/>
                <w:sz w:val="14"/>
              </w:rPr>
              <w:t>NFR-SCALE-001 Scalability</w:t>
            </w:r>
          </w:p>
        </w:tc>
        <w:tc>
          <w:tcPr>
            <w:tcW w:type="dxa" w:w="4997"/>
            <w:vAlign w:val="center"/>
            <w:shd w:fill="F1F5F8"/>
          </w:tcPr>
          <w:p>
            <w:pPr>
              <w:spacing w:after="20"/>
            </w:pPr>
            <w:r/>
            <w:r>
              <w:rPr>
                <w:rFonts w:ascii="Aptos" w:hAnsi="Aptos"/>
                <w:b w:val="0"/>
                <w:sz w:val="14"/>
              </w:rPr>
              <w:t>Initial architecture should support multiple tenants and growth by horizontal application scaling and database tuning without a microservices requirement. Establish load assumptions before launch.</w:t>
            </w:r>
          </w:p>
        </w:tc>
      </w:tr>
      <w:tr>
        <w:tc>
          <w:tcPr>
            <w:tcW w:type="dxa" w:w="4997"/>
            <w:vAlign w:val="center"/>
          </w:tcPr>
          <w:p>
            <w:pPr>
              <w:spacing w:after="20"/>
            </w:pPr>
            <w:r/>
            <w:r>
              <w:rPr>
                <w:rFonts w:ascii="Aptos" w:hAnsi="Aptos"/>
                <w:b w:val="0"/>
                <w:sz w:val="14"/>
              </w:rPr>
              <w:t>NFR-MAINT-001 Maintainability</w:t>
            </w:r>
          </w:p>
        </w:tc>
        <w:tc>
          <w:tcPr>
            <w:tcW w:type="dxa" w:w="4997"/>
            <w:vAlign w:val="center"/>
          </w:tcPr>
          <w:p>
            <w:pPr>
              <w:spacing w:after="20"/>
            </w:pPr>
            <w:r/>
            <w:r>
              <w:rPr>
                <w:rFonts w:ascii="Aptos" w:hAnsi="Aptos"/>
                <w:b w:val="0"/>
                <w:sz w:val="14"/>
              </w:rPr>
              <w:t>Backend modules have explicit responsibilities, documented interfaces, automated tests for critical business/security rules and a repeatable deployment process.</w:t>
            </w:r>
          </w:p>
        </w:tc>
      </w:tr>
      <w:tr>
        <w:tc>
          <w:tcPr>
            <w:tcW w:type="dxa" w:w="4997"/>
            <w:vAlign w:val="center"/>
            <w:shd w:fill="F1F5F8"/>
          </w:tcPr>
          <w:p>
            <w:pPr>
              <w:spacing w:after="20"/>
            </w:pPr>
            <w:r/>
            <w:r>
              <w:rPr>
                <w:rFonts w:ascii="Aptos" w:hAnsi="Aptos"/>
                <w:b w:val="0"/>
                <w:sz w:val="14"/>
              </w:rPr>
              <w:t>NFR-OBS-001 Observability</w:t>
            </w:r>
          </w:p>
        </w:tc>
        <w:tc>
          <w:tcPr>
            <w:tcW w:type="dxa" w:w="4997"/>
            <w:vAlign w:val="center"/>
            <w:shd w:fill="F1F5F8"/>
          </w:tcPr>
          <w:p>
            <w:pPr>
              <w:spacing w:after="20"/>
            </w:pPr>
            <w:r/>
            <w:r>
              <w:rPr>
                <w:rFonts w:ascii="Aptos" w:hAnsi="Aptos"/>
                <w:b w:val="0"/>
                <w:sz w:val="14"/>
              </w:rPr>
              <w:t>Production includes structured logs, error monitoring, health/readiness checks and correlation IDs; alerts cover availability, error spikes, job failures and storage/email failures.</w:t>
            </w:r>
          </w:p>
        </w:tc>
      </w:tr>
      <w:tr>
        <w:tc>
          <w:tcPr>
            <w:tcW w:type="dxa" w:w="4997"/>
            <w:vAlign w:val="center"/>
          </w:tcPr>
          <w:p>
            <w:pPr>
              <w:spacing w:after="20"/>
            </w:pPr>
            <w:r/>
            <w:r>
              <w:rPr>
                <w:rFonts w:ascii="Aptos" w:hAnsi="Aptos"/>
                <w:b w:val="0"/>
                <w:sz w:val="14"/>
              </w:rPr>
              <w:t>NFR-COMP-001 Compatibility</w:t>
            </w:r>
          </w:p>
        </w:tc>
        <w:tc>
          <w:tcPr>
            <w:tcW w:type="dxa" w:w="4997"/>
            <w:vAlign w:val="center"/>
          </w:tcPr>
          <w:p>
            <w:pPr>
              <w:spacing w:after="20"/>
            </w:pPr>
            <w:r/>
            <w:r>
              <w:rPr>
                <w:rFonts w:ascii="Aptos" w:hAnsi="Aptos"/>
                <w:b w:val="0"/>
                <w:sz w:val="14"/>
              </w:rPr>
              <w:t>Support current and previous major versions of agreed mainstream browsers where technically feasible; define a tested device/browser matrix before launch.</w:t>
            </w:r>
          </w:p>
        </w:tc>
      </w:tr>
      <w:tr>
        <w:tc>
          <w:tcPr>
            <w:tcW w:type="dxa" w:w="4997"/>
            <w:vAlign w:val="center"/>
            <w:shd w:fill="F1F5F8"/>
          </w:tcPr>
          <w:p>
            <w:pPr>
              <w:spacing w:after="20"/>
            </w:pPr>
            <w:r/>
            <w:r>
              <w:rPr>
                <w:rFonts w:ascii="Aptos" w:hAnsi="Aptos"/>
                <w:b w:val="0"/>
                <w:sz w:val="14"/>
              </w:rPr>
              <w:t>NFR-BACK-001 Backup/recovery</w:t>
            </w:r>
          </w:p>
        </w:tc>
        <w:tc>
          <w:tcPr>
            <w:tcW w:type="dxa" w:w="4997"/>
            <w:vAlign w:val="center"/>
            <w:shd w:fill="F1F5F8"/>
          </w:tcPr>
          <w:p>
            <w:pPr>
              <w:spacing w:after="20"/>
            </w:pPr>
            <w:r/>
            <w:r>
              <w:rPr>
                <w:rFonts w:ascii="Aptos" w:hAnsi="Aptos"/>
                <w:b w:val="0"/>
                <w:sz w:val="14"/>
              </w:rPr>
              <w:t>Define RPO/RTO with the owner. Provisional target for MVP: RPO ≤24 hours and RTO ≤8 hours, subject to infrastructure budget and restore testing.</w:t>
            </w:r>
          </w:p>
        </w:tc>
      </w:tr>
      <w:tr>
        <w:tc>
          <w:tcPr>
            <w:tcW w:type="dxa" w:w="4997"/>
            <w:vAlign w:val="center"/>
          </w:tcPr>
          <w:p>
            <w:pPr>
              <w:spacing w:after="20"/>
            </w:pPr>
            <w:r/>
            <w:r>
              <w:rPr>
                <w:rFonts w:ascii="Aptos" w:hAnsi="Aptos"/>
                <w:b w:val="0"/>
                <w:sz w:val="14"/>
              </w:rPr>
              <w:t>NFR-SEO-001 SEO</w:t>
            </w:r>
          </w:p>
        </w:tc>
        <w:tc>
          <w:tcPr>
            <w:tcW w:type="dxa" w:w="4997"/>
            <w:vAlign w:val="center"/>
          </w:tcPr>
          <w:p>
            <w:pPr>
              <w:spacing w:after="20"/>
            </w:pPr>
            <w:r/>
            <w:r>
              <w:rPr>
                <w:rFonts w:ascii="Aptos" w:hAnsi="Aptos"/>
                <w:b w:val="0"/>
                <w:sz w:val="14"/>
              </w:rPr>
              <w:t>Public pages use semantic markup, unique metadata where configured, clean URLs, canonical rules and tenant-specific sitemap/robots behaviour.</w:t>
            </w:r>
          </w:p>
        </w:tc>
      </w:tr>
      <w:tr>
        <w:tc>
          <w:tcPr>
            <w:tcW w:type="dxa" w:w="4997"/>
            <w:vAlign w:val="center"/>
            <w:shd w:fill="F1F5F8"/>
          </w:tcPr>
          <w:p>
            <w:pPr>
              <w:spacing w:after="20"/>
            </w:pPr>
            <w:r/>
            <w:r>
              <w:rPr>
                <w:rFonts w:ascii="Aptos" w:hAnsi="Aptos"/>
                <w:b w:val="0"/>
                <w:sz w:val="14"/>
              </w:rPr>
              <w:t>NFR-PRIV-001 Privacy</w:t>
            </w:r>
          </w:p>
        </w:tc>
        <w:tc>
          <w:tcPr>
            <w:tcW w:type="dxa" w:w="4997"/>
            <w:vAlign w:val="center"/>
            <w:shd w:fill="F1F5F8"/>
          </w:tcPr>
          <w:p>
            <w:pPr>
              <w:spacing w:after="20"/>
            </w:pPr>
            <w:r/>
            <w:r>
              <w:rPr>
                <w:rFonts w:ascii="Aptos" w:hAnsi="Aptos"/>
                <w:b w:val="0"/>
                <w:sz w:val="14"/>
              </w:rPr>
              <w:t>Collect only necessary personal data; define retention per category; restrict exports and sensitive analytics to authorized roles.</w:t>
            </w:r>
          </w:p>
        </w:tc>
      </w:tr>
      <w:tr>
        <w:tc>
          <w:tcPr>
            <w:tcW w:type="dxa" w:w="4997"/>
            <w:vAlign w:val="center"/>
          </w:tcPr>
          <w:p>
            <w:pPr>
              <w:spacing w:after="20"/>
            </w:pPr>
            <w:r/>
            <w:r>
              <w:rPr>
                <w:rFonts w:ascii="Aptos" w:hAnsi="Aptos"/>
                <w:b w:val="0"/>
                <w:sz w:val="14"/>
              </w:rPr>
              <w:t>NFR-LOC-001 Localization</w:t>
            </w:r>
          </w:p>
        </w:tc>
        <w:tc>
          <w:tcPr>
            <w:tcW w:type="dxa" w:w="4997"/>
            <w:vAlign w:val="center"/>
          </w:tcPr>
          <w:p>
            <w:pPr>
              <w:spacing w:after="20"/>
            </w:pPr>
            <w:r/>
            <w:r>
              <w:rPr>
                <w:rFonts w:ascii="Aptos" w:hAnsi="Aptos"/>
                <w:b w:val="0"/>
                <w:sz w:val="14"/>
              </w:rPr>
              <w:t>Locale-aware formatting for dates, times and numbers; translations are not concatenated into one field where separate locale variants are required.</w:t>
            </w:r>
          </w:p>
        </w:tc>
      </w:tr>
      <w:tr>
        <w:tc>
          <w:tcPr>
            <w:tcW w:type="dxa" w:w="4997"/>
            <w:vAlign w:val="center"/>
            <w:shd w:fill="F1F5F8"/>
          </w:tcPr>
          <w:p>
            <w:pPr>
              <w:spacing w:after="20"/>
            </w:pPr>
            <w:r/>
            <w:r>
              <w:rPr>
                <w:rFonts w:ascii="Aptos" w:hAnsi="Aptos"/>
                <w:b w:val="0"/>
                <w:sz w:val="14"/>
              </w:rPr>
              <w:t>NFR-UX-001 Usability</w:t>
            </w:r>
          </w:p>
        </w:tc>
        <w:tc>
          <w:tcPr>
            <w:tcW w:type="dxa" w:w="4997"/>
            <w:vAlign w:val="center"/>
            <w:shd w:fill="F1F5F8"/>
          </w:tcPr>
          <w:p>
            <w:pPr>
              <w:spacing w:after="20"/>
            </w:pPr>
            <w:r/>
            <w:r>
              <w:rPr>
                <w:rFonts w:ascii="Aptos" w:hAnsi="Aptos"/>
                <w:b w:val="0"/>
                <w:sz w:val="14"/>
              </w:rPr>
              <w:t>A trained non-developer editor should complete agreed routine tasks (edit page, publish news, add event, update programme) after onboarding with ≥90% success in pilot usability testing.</w:t>
            </w:r>
          </w:p>
        </w:tc>
      </w:tr>
      <w:tr>
        <w:tc>
          <w:tcPr>
            <w:tcW w:type="dxa" w:w="4997"/>
            <w:vAlign w:val="center"/>
          </w:tcPr>
          <w:p>
            <w:pPr>
              <w:spacing w:after="20"/>
            </w:pPr>
            <w:r/>
            <w:r>
              <w:rPr>
                <w:rFonts w:ascii="Aptos" w:hAnsi="Aptos"/>
                <w:b w:val="0"/>
                <w:sz w:val="14"/>
              </w:rPr>
              <w:t>NFR-RESP-001 Responsive design</w:t>
            </w:r>
          </w:p>
        </w:tc>
        <w:tc>
          <w:tcPr>
            <w:tcW w:type="dxa" w:w="4997"/>
            <w:vAlign w:val="center"/>
          </w:tcPr>
          <w:p>
            <w:pPr>
              <w:spacing w:after="20"/>
            </w:pPr>
            <w:r/>
            <w:r>
              <w:rPr>
                <w:rFonts w:ascii="Aptos" w:hAnsi="Aptos"/>
                <w:b w:val="0"/>
                <w:sz w:val="14"/>
              </w:rPr>
              <w:t>Critical public and admin workflows remain usable at 320 CSS pixels and common tablet/desktop widths without loss of required functionality.</w:t>
            </w:r>
          </w:p>
        </w:tc>
      </w:tr>
      <w:tr>
        <w:tc>
          <w:tcPr>
            <w:tcW w:type="dxa" w:w="4997"/>
            <w:vAlign w:val="center"/>
            <w:shd w:fill="F1F5F8"/>
          </w:tcPr>
          <w:p>
            <w:pPr>
              <w:spacing w:after="20"/>
            </w:pPr>
            <w:r/>
            <w:r>
              <w:rPr>
                <w:rFonts w:ascii="Aptos" w:hAnsi="Aptos"/>
                <w:b w:val="0"/>
                <w:sz w:val="14"/>
              </w:rPr>
              <w:t>NFR-SEC-011 Security operations</w:t>
            </w:r>
          </w:p>
        </w:tc>
        <w:tc>
          <w:tcPr>
            <w:tcW w:type="dxa" w:w="4997"/>
            <w:vAlign w:val="center"/>
            <w:shd w:fill="F1F5F8"/>
          </w:tcPr>
          <w:p>
            <w:pPr>
              <w:spacing w:after="20"/>
            </w:pPr>
            <w:r/>
            <w:r>
              <w:rPr>
                <w:rFonts w:ascii="Aptos" w:hAnsi="Aptos"/>
                <w:b w:val="0"/>
                <w:sz w:val="14"/>
              </w:rPr>
              <w:t>Dependency updates, vulnerability triage, access reviews and incident response procedures are documented; critical findings block production release until resolved or formally accepted.</w:t>
            </w:r>
          </w:p>
        </w:tc>
      </w:tr>
    </w:tbl>
    <w:p>
      <w:pPr>
        <w:spacing w:after="0"/>
      </w:pPr>
    </w:p>
    <w:p>
      <w:pPr>
        <w:pStyle w:val="Heading1"/>
      </w:pPr>
      <w:r>
        <w:t>17. Architecture and Integrations</w:t>
      </w:r>
    </w:p>
    <w:p>
      <w:pPr>
        <w:pStyle w:val="Heading2"/>
      </w:pPr>
      <w:r>
        <w:t>17.1 Recommended architecture</w:t>
      </w:r>
    </w:p>
    <w:p>
      <w:r>
        <w:t>Recommended baseline: a multi-tenant modular monolith with clear internal module boundaries. Microservices are not recommended for the MVP because they introduce deployment, observability, data consistency and operational overhead without a demonstrated scale or team need.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Layer</w:t>
            </w:r>
          </w:p>
        </w:tc>
        <w:tc>
          <w:tcPr>
            <w:tcW w:type="dxa" w:w="3331"/>
            <w:vAlign w:val="center"/>
            <w:shd w:fill="16324F"/>
          </w:tcPr>
          <w:p>
            <w:pPr>
              <w:spacing w:after="20"/>
            </w:pPr>
            <w:r/>
            <w:r>
              <w:rPr>
                <w:rFonts w:ascii="Aptos" w:hAnsi="Aptos"/>
                <w:b/>
                <w:color w:val="FFFFFF"/>
                <w:sz w:val="14"/>
              </w:rPr>
              <w:t>Recommended direction</w:t>
            </w:r>
          </w:p>
        </w:tc>
        <w:tc>
          <w:tcPr>
            <w:tcW w:type="dxa" w:w="3331"/>
            <w:vAlign w:val="center"/>
            <w:shd w:fill="16324F"/>
          </w:tcPr>
          <w:p>
            <w:pPr>
              <w:spacing w:after="20"/>
            </w:pPr>
            <w:r/>
            <w:r>
              <w:rPr>
                <w:rFonts w:ascii="Aptos" w:hAnsi="Aptos"/>
                <w:b/>
                <w:color w:val="FFFFFF"/>
                <w:sz w:val="14"/>
              </w:rPr>
              <w:t>Boundary / responsibility</w:t>
            </w:r>
          </w:p>
        </w:tc>
      </w:tr>
      <w:tr>
        <w:tc>
          <w:tcPr>
            <w:tcW w:type="dxa" w:w="3331"/>
            <w:vAlign w:val="center"/>
          </w:tcPr>
          <w:p>
            <w:pPr>
              <w:spacing w:after="20"/>
            </w:pPr>
            <w:r/>
            <w:r>
              <w:rPr>
                <w:rFonts w:ascii="Aptos" w:hAnsi="Aptos"/>
                <w:b w:val="0"/>
                <w:sz w:val="14"/>
              </w:rPr>
              <w:t>Public frontend</w:t>
            </w:r>
          </w:p>
        </w:tc>
        <w:tc>
          <w:tcPr>
            <w:tcW w:type="dxa" w:w="3331"/>
            <w:vAlign w:val="center"/>
          </w:tcPr>
          <w:p>
            <w:pPr>
              <w:spacing w:after="20"/>
            </w:pPr>
            <w:r/>
            <w:r>
              <w:rPr>
                <w:rFonts w:ascii="Aptos" w:hAnsi="Aptos"/>
                <w:b w:val="0"/>
                <w:sz w:val="14"/>
              </w:rPr>
              <w:t>React with Next.js or an equivalent server-rendering-capable framework</w:t>
            </w:r>
          </w:p>
        </w:tc>
        <w:tc>
          <w:tcPr>
            <w:tcW w:type="dxa" w:w="3331"/>
            <w:vAlign w:val="center"/>
          </w:tcPr>
          <w:p>
            <w:pPr>
              <w:spacing w:after="20"/>
            </w:pPr>
            <w:r/>
            <w:r>
              <w:rPr>
                <w:rFonts w:ascii="Aptos" w:hAnsi="Aptos"/>
                <w:b w:val="0"/>
                <w:sz w:val="14"/>
              </w:rPr>
              <w:t>Responsive public pages, tenant theme, metadata, accessible components and visitor journeys. Final framework decision should account for hosting and developer skill.</w:t>
            </w:r>
          </w:p>
        </w:tc>
      </w:tr>
      <w:tr>
        <w:tc>
          <w:tcPr>
            <w:tcW w:type="dxa" w:w="3331"/>
            <w:vAlign w:val="center"/>
            <w:shd w:fill="F1F5F8"/>
          </w:tcPr>
          <w:p>
            <w:pPr>
              <w:spacing w:after="20"/>
            </w:pPr>
            <w:r/>
            <w:r>
              <w:rPr>
                <w:rFonts w:ascii="Aptos" w:hAnsi="Aptos"/>
                <w:b w:val="0"/>
                <w:sz w:val="14"/>
              </w:rPr>
              <w:t>Admin frontend</w:t>
            </w:r>
          </w:p>
        </w:tc>
        <w:tc>
          <w:tcPr>
            <w:tcW w:type="dxa" w:w="3331"/>
            <w:vAlign w:val="center"/>
            <w:shd w:fill="F1F5F8"/>
          </w:tcPr>
          <w:p>
            <w:pPr>
              <w:spacing w:after="20"/>
            </w:pPr>
            <w:r/>
            <w:r>
              <w:rPr>
                <w:rFonts w:ascii="Aptos" w:hAnsi="Aptos"/>
                <w:b w:val="0"/>
                <w:sz w:val="14"/>
              </w:rPr>
              <w:t>React-based protected application, possibly within same frontend repo</w:t>
            </w:r>
          </w:p>
        </w:tc>
        <w:tc>
          <w:tcPr>
            <w:tcW w:type="dxa" w:w="3331"/>
            <w:vAlign w:val="center"/>
            <w:shd w:fill="F1F5F8"/>
          </w:tcPr>
          <w:p>
            <w:pPr>
              <w:spacing w:after="20"/>
            </w:pPr>
            <w:r/>
            <w:r>
              <w:rPr>
                <w:rFonts w:ascii="Aptos" w:hAnsi="Aptos"/>
                <w:b w:val="0"/>
                <w:sz w:val="14"/>
              </w:rPr>
              <w:t>CMS, configuration, user administration, admissions workflows in later release.</w:t>
            </w:r>
          </w:p>
        </w:tc>
      </w:tr>
      <w:tr>
        <w:tc>
          <w:tcPr>
            <w:tcW w:type="dxa" w:w="3331"/>
            <w:vAlign w:val="center"/>
          </w:tcPr>
          <w:p>
            <w:pPr>
              <w:spacing w:after="20"/>
            </w:pPr>
            <w:r/>
            <w:r>
              <w:rPr>
                <w:rFonts w:ascii="Aptos" w:hAnsi="Aptos"/>
                <w:b w:val="0"/>
                <w:sz w:val="14"/>
              </w:rPr>
              <w:t>Backend</w:t>
            </w:r>
          </w:p>
        </w:tc>
        <w:tc>
          <w:tcPr>
            <w:tcW w:type="dxa" w:w="3331"/>
            <w:vAlign w:val="center"/>
          </w:tcPr>
          <w:p>
            <w:pPr>
              <w:spacing w:after="20"/>
            </w:pPr>
            <w:r/>
            <w:r>
              <w:rPr>
                <w:rFonts w:ascii="Aptos" w:hAnsi="Aptos"/>
                <w:b w:val="0"/>
                <w:sz w:val="14"/>
              </w:rPr>
              <w:t>Node.js with Express.js REST API and modular domain folders</w:t>
            </w:r>
          </w:p>
        </w:tc>
        <w:tc>
          <w:tcPr>
            <w:tcW w:type="dxa" w:w="3331"/>
            <w:vAlign w:val="center"/>
          </w:tcPr>
          <w:p>
            <w:pPr>
              <w:spacing w:after="20"/>
            </w:pPr>
            <w:r/>
            <w:r>
              <w:rPr>
                <w:rFonts w:ascii="Aptos" w:hAnsi="Aptos"/>
                <w:b w:val="0"/>
                <w:sz w:val="14"/>
              </w:rPr>
              <w:t>Authentication, authorization, business rules, tenant context, validation and integrations.</w:t>
            </w:r>
          </w:p>
        </w:tc>
      </w:tr>
      <w:tr>
        <w:tc>
          <w:tcPr>
            <w:tcW w:type="dxa" w:w="3331"/>
            <w:vAlign w:val="center"/>
            <w:shd w:fill="F1F5F8"/>
          </w:tcPr>
          <w:p>
            <w:pPr>
              <w:spacing w:after="20"/>
            </w:pPr>
            <w:r/>
            <w:r>
              <w:rPr>
                <w:rFonts w:ascii="Aptos" w:hAnsi="Aptos"/>
                <w:b w:val="0"/>
                <w:sz w:val="14"/>
              </w:rPr>
              <w:t>Database</w:t>
            </w:r>
          </w:p>
        </w:tc>
        <w:tc>
          <w:tcPr>
            <w:tcW w:type="dxa" w:w="3331"/>
            <w:vAlign w:val="center"/>
            <w:shd w:fill="F1F5F8"/>
          </w:tcPr>
          <w:p>
            <w:pPr>
              <w:spacing w:after="20"/>
            </w:pPr>
            <w:r/>
            <w:r>
              <w:rPr>
                <w:rFonts w:ascii="Aptos" w:hAnsi="Aptos"/>
                <w:b w:val="0"/>
                <w:sz w:val="14"/>
              </w:rPr>
              <w:t>PostgreSQL with Prisma ORM</w:t>
            </w:r>
          </w:p>
        </w:tc>
        <w:tc>
          <w:tcPr>
            <w:tcW w:type="dxa" w:w="3331"/>
            <w:vAlign w:val="center"/>
            <w:shd w:fill="F1F5F8"/>
          </w:tcPr>
          <w:p>
            <w:pPr>
              <w:spacing w:after="20"/>
            </w:pPr>
            <w:r/>
            <w:r>
              <w:rPr>
                <w:rFonts w:ascii="Aptos" w:hAnsi="Aptos"/>
                <w:b w:val="0"/>
                <w:sz w:val="14"/>
              </w:rPr>
              <w:t>Relational integrity, tenant-owned records, transactions, indexes and migrations.</w:t>
            </w:r>
          </w:p>
        </w:tc>
      </w:tr>
      <w:tr>
        <w:tc>
          <w:tcPr>
            <w:tcW w:type="dxa" w:w="3331"/>
            <w:vAlign w:val="center"/>
          </w:tcPr>
          <w:p>
            <w:pPr>
              <w:spacing w:after="20"/>
            </w:pPr>
            <w:r/>
            <w:r>
              <w:rPr>
                <w:rFonts w:ascii="Aptos" w:hAnsi="Aptos"/>
                <w:b w:val="0"/>
                <w:sz w:val="14"/>
              </w:rPr>
              <w:t>Media storage</w:t>
            </w:r>
          </w:p>
        </w:tc>
        <w:tc>
          <w:tcPr>
            <w:tcW w:type="dxa" w:w="3331"/>
            <w:vAlign w:val="center"/>
          </w:tcPr>
          <w:p>
            <w:pPr>
              <w:spacing w:after="20"/>
            </w:pPr>
            <w:r/>
            <w:r>
              <w:rPr>
                <w:rFonts w:ascii="Aptos" w:hAnsi="Aptos"/>
                <w:b w:val="0"/>
                <w:sz w:val="14"/>
              </w:rPr>
              <w:t>Object storage with private buckets/containers and CDN for public assets</w:t>
            </w:r>
          </w:p>
        </w:tc>
        <w:tc>
          <w:tcPr>
            <w:tcW w:type="dxa" w:w="3331"/>
            <w:vAlign w:val="center"/>
          </w:tcPr>
          <w:p>
            <w:pPr>
              <w:spacing w:after="20"/>
            </w:pPr>
            <w:r/>
            <w:r>
              <w:rPr>
                <w:rFonts w:ascii="Aptos" w:hAnsi="Aptos"/>
                <w:b w:val="0"/>
                <w:sz w:val="14"/>
              </w:rPr>
              <w:t>Public media delivery separated from private application documents.</w:t>
            </w:r>
          </w:p>
        </w:tc>
      </w:tr>
      <w:tr>
        <w:tc>
          <w:tcPr>
            <w:tcW w:type="dxa" w:w="3331"/>
            <w:vAlign w:val="center"/>
            <w:shd w:fill="F1F5F8"/>
          </w:tcPr>
          <w:p>
            <w:pPr>
              <w:spacing w:after="20"/>
            </w:pPr>
            <w:r/>
            <w:r>
              <w:rPr>
                <w:rFonts w:ascii="Aptos" w:hAnsi="Aptos"/>
                <w:b w:val="0"/>
                <w:sz w:val="14"/>
              </w:rPr>
              <w:t>Background work</w:t>
            </w:r>
          </w:p>
        </w:tc>
        <w:tc>
          <w:tcPr>
            <w:tcW w:type="dxa" w:w="3331"/>
            <w:vAlign w:val="center"/>
            <w:shd w:fill="F1F5F8"/>
          </w:tcPr>
          <w:p>
            <w:pPr>
              <w:spacing w:after="20"/>
            </w:pPr>
            <w:r/>
            <w:r>
              <w:rPr>
                <w:rFonts w:ascii="Aptos" w:hAnsi="Aptos"/>
                <w:b w:val="0"/>
                <w:sz w:val="14"/>
              </w:rPr>
              <w:t>Simple job queue/worker when asynchronous tasks justify it</w:t>
            </w:r>
          </w:p>
        </w:tc>
        <w:tc>
          <w:tcPr>
            <w:tcW w:type="dxa" w:w="3331"/>
            <w:vAlign w:val="center"/>
            <w:shd w:fill="F1F5F8"/>
          </w:tcPr>
          <w:p>
            <w:pPr>
              <w:spacing w:after="20"/>
            </w:pPr>
            <w:r/>
            <w:r>
              <w:rPr>
                <w:rFonts w:ascii="Aptos" w:hAnsi="Aptos"/>
                <w:b w:val="0"/>
                <w:sz w:val="14"/>
              </w:rPr>
              <w:t>Email delivery, image processing, scheduled publication and retryable jobs.</w:t>
            </w:r>
          </w:p>
        </w:tc>
      </w:tr>
      <w:tr>
        <w:tc>
          <w:tcPr>
            <w:tcW w:type="dxa" w:w="3331"/>
            <w:vAlign w:val="center"/>
          </w:tcPr>
          <w:p>
            <w:pPr>
              <w:spacing w:after="20"/>
            </w:pPr>
            <w:r/>
            <w:r>
              <w:rPr>
                <w:rFonts w:ascii="Aptos" w:hAnsi="Aptos"/>
                <w:b w:val="0"/>
                <w:sz w:val="14"/>
              </w:rPr>
              <w:t>Observability</w:t>
            </w:r>
          </w:p>
        </w:tc>
        <w:tc>
          <w:tcPr>
            <w:tcW w:type="dxa" w:w="3331"/>
            <w:vAlign w:val="center"/>
          </w:tcPr>
          <w:p>
            <w:pPr>
              <w:spacing w:after="20"/>
            </w:pPr>
            <w:r/>
            <w:r>
              <w:rPr>
                <w:rFonts w:ascii="Aptos" w:hAnsi="Aptos"/>
                <w:b w:val="0"/>
                <w:sz w:val="14"/>
              </w:rPr>
              <w:t>Structured logs, error monitoring, metrics, health checks</w:t>
            </w:r>
          </w:p>
        </w:tc>
        <w:tc>
          <w:tcPr>
            <w:tcW w:type="dxa" w:w="3331"/>
            <w:vAlign w:val="center"/>
          </w:tcPr>
          <w:p>
            <w:pPr>
              <w:spacing w:after="20"/>
            </w:pPr>
            <w:r/>
            <w:r>
              <w:rPr>
                <w:rFonts w:ascii="Aptos" w:hAnsi="Aptos"/>
                <w:b w:val="0"/>
                <w:sz w:val="14"/>
              </w:rPr>
              <w:t>Detect faults without logging sensitive payloads.</w:t>
            </w:r>
          </w:p>
        </w:tc>
      </w:tr>
      <w:tr>
        <w:tc>
          <w:tcPr>
            <w:tcW w:type="dxa" w:w="3331"/>
            <w:vAlign w:val="center"/>
            <w:shd w:fill="F1F5F8"/>
          </w:tcPr>
          <w:p>
            <w:pPr>
              <w:spacing w:after="20"/>
            </w:pPr>
            <w:r/>
            <w:r>
              <w:rPr>
                <w:rFonts w:ascii="Aptos" w:hAnsi="Aptos"/>
                <w:b w:val="0"/>
                <w:sz w:val="14"/>
              </w:rPr>
              <w:t>Optional providers</w:t>
            </w:r>
          </w:p>
        </w:tc>
        <w:tc>
          <w:tcPr>
            <w:tcW w:type="dxa" w:w="3331"/>
            <w:vAlign w:val="center"/>
            <w:shd w:fill="F1F5F8"/>
          </w:tcPr>
          <w:p>
            <w:pPr>
              <w:spacing w:after="20"/>
            </w:pPr>
            <w:r/>
            <w:r>
              <w:rPr>
                <w:rFonts w:ascii="Aptos" w:hAnsi="Aptos"/>
                <w:b w:val="0"/>
                <w:sz w:val="14"/>
              </w:rPr>
              <w:t>Email, analytics, calendar, payment, SIS/LMS, search</w:t>
            </w:r>
          </w:p>
        </w:tc>
        <w:tc>
          <w:tcPr>
            <w:tcW w:type="dxa" w:w="3331"/>
            <w:vAlign w:val="center"/>
            <w:shd w:fill="F1F5F8"/>
          </w:tcPr>
          <w:p>
            <w:pPr>
              <w:spacing w:after="20"/>
            </w:pPr>
            <w:r/>
            <w:r>
              <w:rPr>
                <w:rFonts w:ascii="Aptos" w:hAnsi="Aptos"/>
                <w:b w:val="0"/>
                <w:sz w:val="14"/>
              </w:rPr>
              <w:t>Adapters with scoped credentials, timeouts, retries and clear failure behaviour.</w:t>
            </w:r>
          </w:p>
        </w:tc>
      </w:tr>
    </w:tbl>
    <w:p>
      <w:pPr>
        <w:spacing w:after="0"/>
      </w:pPr>
    </w:p>
    <w:p>
      <w:pPr>
        <w:pStyle w:val="Heading2"/>
      </w:pPr>
      <w:r>
        <w:t>17.2 Backend module boundaries</w:t>
      </w:r>
    </w:p>
    <w:p>
      <w:pPr>
        <w:pStyle w:val="ListBullet"/>
      </w:pPr>
      <w:r>
        <w:t>Auth and sessions</w:t>
      </w:r>
    </w:p>
    <w:p>
      <w:pPr>
        <w:pStyle w:val="ListBullet"/>
      </w:pPr>
      <w:r>
        <w:t>Tenants, domains, branding and feature configuration</w:t>
      </w:r>
    </w:p>
    <w:p>
      <w:pPr>
        <w:pStyle w:val="ListBullet"/>
      </w:pPr>
      <w:r>
        <w:t>Users, memberships, roles and permissions</w:t>
      </w:r>
    </w:p>
    <w:p>
      <w:pPr>
        <w:pStyle w:val="ListBullet"/>
      </w:pPr>
      <w:r>
        <w:t>CMS pages, navigation and publishing</w:t>
      </w:r>
    </w:p>
    <w:p>
      <w:pPr>
        <w:pStyle w:val="ListBullet"/>
      </w:pPr>
      <w:r>
        <w:t>Academic catalogue and staff directory</w:t>
      </w:r>
    </w:p>
    <w:p>
      <w:pPr>
        <w:pStyle w:val="ListBullet"/>
      </w:pPr>
      <w:r>
        <w:t>Media and documents</w:t>
      </w:r>
    </w:p>
    <w:p>
      <w:pPr>
        <w:pStyle w:val="ListBullet"/>
      </w:pPr>
      <w:r>
        <w:t>News, announcements, events and FAQs</w:t>
      </w:r>
    </w:p>
    <w:p>
      <w:pPr>
        <w:pStyle w:val="ListBullet"/>
      </w:pPr>
      <w:r>
        <w:t>Contact/enquiries</w:t>
      </w:r>
    </w:p>
    <w:p>
      <w:pPr>
        <w:pStyle w:val="ListBullet"/>
      </w:pPr>
      <w:r>
        <w:t>Admissions and applications (Release 2)</w:t>
      </w:r>
    </w:p>
    <w:p>
      <w:pPr>
        <w:pStyle w:val="ListBullet"/>
      </w:pPr>
      <w:r>
        <w:t>Notifications and delivery tracking</w:t>
      </w:r>
    </w:p>
    <w:p>
      <w:pPr>
        <w:pStyle w:val="ListBullet"/>
      </w:pPr>
      <w:r>
        <w:t>Analytics and reporting</w:t>
      </w:r>
    </w:p>
    <w:p>
      <w:pPr>
        <w:pStyle w:val="ListBullet"/>
      </w:pPr>
      <w:r>
        <w:t>Audit and system settings</w:t>
      </w:r>
    </w:p>
    <w:p>
      <w:pPr>
        <w:pStyle w:val="Heading2"/>
      </w:pPr>
      <w:r>
        <w:t>17.3 Integration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Integration</w:t>
            </w:r>
          </w:p>
        </w:tc>
        <w:tc>
          <w:tcPr>
            <w:tcW w:type="dxa" w:w="3331"/>
            <w:vAlign w:val="center"/>
            <w:shd w:fill="16324F"/>
          </w:tcPr>
          <w:p>
            <w:pPr>
              <w:spacing w:after="20"/>
            </w:pPr>
            <w:r/>
            <w:r>
              <w:rPr>
                <w:rFonts w:ascii="Aptos" w:hAnsi="Aptos"/>
                <w:b/>
                <w:color w:val="FFFFFF"/>
                <w:sz w:val="14"/>
              </w:rPr>
              <w:t>Requirement</w:t>
            </w:r>
          </w:p>
        </w:tc>
        <w:tc>
          <w:tcPr>
            <w:tcW w:type="dxa" w:w="3331"/>
            <w:vAlign w:val="center"/>
            <w:shd w:fill="16324F"/>
          </w:tcPr>
          <w:p>
            <w:pPr>
              <w:spacing w:after="20"/>
            </w:pPr>
            <w:r/>
            <w:r>
              <w:rPr>
                <w:rFonts w:ascii="Aptos" w:hAnsi="Aptos"/>
                <w:b/>
                <w:color w:val="FFFFFF"/>
                <w:sz w:val="14"/>
              </w:rPr>
              <w:t>Failure behaviour</w:t>
            </w:r>
          </w:p>
        </w:tc>
      </w:tr>
      <w:tr>
        <w:tc>
          <w:tcPr>
            <w:tcW w:type="dxa" w:w="3331"/>
            <w:vAlign w:val="center"/>
          </w:tcPr>
          <w:p>
            <w:pPr>
              <w:spacing w:after="20"/>
            </w:pPr>
            <w:r/>
            <w:r>
              <w:rPr>
                <w:rFonts w:ascii="Aptos" w:hAnsi="Aptos"/>
                <w:b w:val="0"/>
                <w:sz w:val="14"/>
              </w:rPr>
              <w:t>Email provider</w:t>
            </w:r>
          </w:p>
        </w:tc>
        <w:tc>
          <w:tcPr>
            <w:tcW w:type="dxa" w:w="3331"/>
            <w:vAlign w:val="center"/>
          </w:tcPr>
          <w:p>
            <w:pPr>
              <w:spacing w:after="20"/>
            </w:pPr>
            <w:r/>
            <w:r>
              <w:rPr>
                <w:rFonts w:ascii="Aptos" w:hAnsi="Aptos"/>
                <w:b w:val="0"/>
                <w:sz w:val="14"/>
              </w:rPr>
              <w:t>Transactional email, verified sender/domain, delivery status/webhook where available.</w:t>
            </w:r>
          </w:p>
        </w:tc>
        <w:tc>
          <w:tcPr>
            <w:tcW w:type="dxa" w:w="3331"/>
            <w:vAlign w:val="center"/>
          </w:tcPr>
          <w:p>
            <w:pPr>
              <w:spacing w:after="20"/>
            </w:pPr>
            <w:r/>
            <w:r>
              <w:rPr>
                <w:rFonts w:ascii="Aptos" w:hAnsi="Aptos"/>
                <w:b w:val="0"/>
                <w:sz w:val="14"/>
              </w:rPr>
              <w:t>Retry transient failures; show permanent failures; never roll back authoritative application/content state solely because email failed.</w:t>
            </w:r>
          </w:p>
        </w:tc>
      </w:tr>
      <w:tr>
        <w:tc>
          <w:tcPr>
            <w:tcW w:type="dxa" w:w="3331"/>
            <w:vAlign w:val="center"/>
            <w:shd w:fill="F1F5F8"/>
          </w:tcPr>
          <w:p>
            <w:pPr>
              <w:spacing w:after="20"/>
            </w:pPr>
            <w:r/>
            <w:r>
              <w:rPr>
                <w:rFonts w:ascii="Aptos" w:hAnsi="Aptos"/>
                <w:b w:val="0"/>
                <w:sz w:val="14"/>
              </w:rPr>
              <w:t>Object storage/CDN</w:t>
            </w:r>
          </w:p>
        </w:tc>
        <w:tc>
          <w:tcPr>
            <w:tcW w:type="dxa" w:w="3331"/>
            <w:vAlign w:val="center"/>
            <w:shd w:fill="F1F5F8"/>
          </w:tcPr>
          <w:p>
            <w:pPr>
              <w:spacing w:after="20"/>
            </w:pPr>
            <w:r/>
            <w:r>
              <w:rPr>
                <w:rFonts w:ascii="Aptos" w:hAnsi="Aptos"/>
                <w:b w:val="0"/>
                <w:sz w:val="14"/>
              </w:rPr>
              <w:t>Separate public and private asset policies; short-lived scoped access for private documents.</w:t>
            </w:r>
          </w:p>
        </w:tc>
        <w:tc>
          <w:tcPr>
            <w:tcW w:type="dxa" w:w="3331"/>
            <w:vAlign w:val="center"/>
            <w:shd w:fill="F1F5F8"/>
          </w:tcPr>
          <w:p>
            <w:pPr>
              <w:spacing w:after="20"/>
            </w:pPr>
            <w:r/>
            <w:r>
              <w:rPr>
                <w:rFonts w:ascii="Aptos" w:hAnsi="Aptos"/>
                <w:b w:val="0"/>
                <w:sz w:val="14"/>
              </w:rPr>
              <w:t>Uploads are resumable/retryable where practical; failed upload remains clearly incomplete.</w:t>
            </w:r>
          </w:p>
        </w:tc>
      </w:tr>
      <w:tr>
        <w:tc>
          <w:tcPr>
            <w:tcW w:type="dxa" w:w="3331"/>
            <w:vAlign w:val="center"/>
          </w:tcPr>
          <w:p>
            <w:pPr>
              <w:spacing w:after="20"/>
            </w:pPr>
            <w:r/>
            <w:r>
              <w:rPr>
                <w:rFonts w:ascii="Aptos" w:hAnsi="Aptos"/>
                <w:b w:val="0"/>
                <w:sz w:val="14"/>
              </w:rPr>
              <w:t>Analytics</w:t>
            </w:r>
          </w:p>
        </w:tc>
        <w:tc>
          <w:tcPr>
            <w:tcW w:type="dxa" w:w="3331"/>
            <w:vAlign w:val="center"/>
          </w:tcPr>
          <w:p>
            <w:pPr>
              <w:spacing w:after="20"/>
            </w:pPr>
            <w:r/>
            <w:r>
              <w:rPr>
                <w:rFonts w:ascii="Aptos" w:hAnsi="Aptos"/>
                <w:b w:val="0"/>
                <w:sz w:val="14"/>
              </w:rPr>
              <w:t>Use consent/privacy-aware configuration and aggregate reports.</w:t>
            </w:r>
          </w:p>
        </w:tc>
        <w:tc>
          <w:tcPr>
            <w:tcW w:type="dxa" w:w="3331"/>
            <w:vAlign w:val="center"/>
          </w:tcPr>
          <w:p>
            <w:pPr>
              <w:spacing w:after="20"/>
            </w:pPr>
            <w:r/>
            <w:r>
              <w:rPr>
                <w:rFonts w:ascii="Aptos" w:hAnsi="Aptos"/>
                <w:b w:val="0"/>
                <w:sz w:val="14"/>
              </w:rPr>
              <w:t>Core site works if analytics provider is unavailable.</w:t>
            </w:r>
          </w:p>
        </w:tc>
      </w:tr>
      <w:tr>
        <w:tc>
          <w:tcPr>
            <w:tcW w:type="dxa" w:w="3331"/>
            <w:vAlign w:val="center"/>
            <w:shd w:fill="F1F5F8"/>
          </w:tcPr>
          <w:p>
            <w:pPr>
              <w:spacing w:after="20"/>
            </w:pPr>
            <w:r/>
            <w:r>
              <w:rPr>
                <w:rFonts w:ascii="Aptos" w:hAnsi="Aptos"/>
                <w:b w:val="0"/>
                <w:sz w:val="14"/>
              </w:rPr>
              <w:t>Calendar</w:t>
            </w:r>
          </w:p>
        </w:tc>
        <w:tc>
          <w:tcPr>
            <w:tcW w:type="dxa" w:w="3331"/>
            <w:vAlign w:val="center"/>
            <w:shd w:fill="F1F5F8"/>
          </w:tcPr>
          <w:p>
            <w:pPr>
              <w:spacing w:after="20"/>
            </w:pPr>
            <w:r/>
            <w:r>
              <w:rPr>
                <w:rFonts w:ascii="Aptos" w:hAnsi="Aptos"/>
                <w:b w:val="0"/>
                <w:sz w:val="14"/>
              </w:rPr>
              <w:t>Optional export or provider integration.</w:t>
            </w:r>
          </w:p>
        </w:tc>
        <w:tc>
          <w:tcPr>
            <w:tcW w:type="dxa" w:w="3331"/>
            <w:vAlign w:val="center"/>
            <w:shd w:fill="F1F5F8"/>
          </w:tcPr>
          <w:p>
            <w:pPr>
              <w:spacing w:after="20"/>
            </w:pPr>
            <w:r/>
            <w:r>
              <w:rPr>
                <w:rFonts w:ascii="Aptos" w:hAnsi="Aptos"/>
                <w:b w:val="0"/>
                <w:sz w:val="14"/>
              </w:rPr>
              <w:t>Internal event remains authoritative; integration error is surfaced without duplicate events.</w:t>
            </w:r>
          </w:p>
        </w:tc>
      </w:tr>
      <w:tr>
        <w:tc>
          <w:tcPr>
            <w:tcW w:type="dxa" w:w="3331"/>
            <w:vAlign w:val="center"/>
          </w:tcPr>
          <w:p>
            <w:pPr>
              <w:spacing w:after="20"/>
            </w:pPr>
            <w:r/>
            <w:r>
              <w:rPr>
                <w:rFonts w:ascii="Aptos" w:hAnsi="Aptos"/>
                <w:b w:val="0"/>
                <w:sz w:val="14"/>
              </w:rPr>
              <w:t>Payments</w:t>
            </w:r>
          </w:p>
        </w:tc>
        <w:tc>
          <w:tcPr>
            <w:tcW w:type="dxa" w:w="3331"/>
            <w:vAlign w:val="center"/>
          </w:tcPr>
          <w:p>
            <w:pPr>
              <w:spacing w:after="20"/>
            </w:pPr>
            <w:r/>
            <w:r>
              <w:rPr>
                <w:rFonts w:ascii="Aptos" w:hAnsi="Aptos"/>
                <w:b w:val="0"/>
                <w:sz w:val="14"/>
              </w:rPr>
              <w:t>Future optional integration only after business, reconciliation, refunds and local payment availability are validated.</w:t>
            </w:r>
          </w:p>
        </w:tc>
        <w:tc>
          <w:tcPr>
            <w:tcW w:type="dxa" w:w="3331"/>
            <w:vAlign w:val="center"/>
          </w:tcPr>
          <w:p>
            <w:pPr>
              <w:spacing w:after="20"/>
            </w:pPr>
            <w:r/>
            <w:r>
              <w:rPr>
                <w:rFonts w:ascii="Aptos" w:hAnsi="Aptos"/>
                <w:b w:val="0"/>
                <w:sz w:val="14"/>
              </w:rPr>
              <w:t>Use idempotency, webhook verification and auditable reconciliation; do not store raw payment card data.</w:t>
            </w:r>
          </w:p>
        </w:tc>
      </w:tr>
      <w:tr>
        <w:tc>
          <w:tcPr>
            <w:tcW w:type="dxa" w:w="3331"/>
            <w:vAlign w:val="center"/>
            <w:shd w:fill="F1F5F8"/>
          </w:tcPr>
          <w:p>
            <w:pPr>
              <w:spacing w:after="20"/>
            </w:pPr>
            <w:r/>
            <w:r>
              <w:rPr>
                <w:rFonts w:ascii="Aptos" w:hAnsi="Aptos"/>
                <w:b w:val="0"/>
                <w:sz w:val="14"/>
              </w:rPr>
              <w:t>External SIS/LMS</w:t>
            </w:r>
          </w:p>
        </w:tc>
        <w:tc>
          <w:tcPr>
            <w:tcW w:type="dxa" w:w="3331"/>
            <w:vAlign w:val="center"/>
            <w:shd w:fill="F1F5F8"/>
          </w:tcPr>
          <w:p>
            <w:pPr>
              <w:spacing w:after="20"/>
            </w:pPr>
            <w:r/>
            <w:r>
              <w:rPr>
                <w:rFonts w:ascii="Aptos" w:hAnsi="Aptos"/>
                <w:b w:val="0"/>
                <w:sz w:val="14"/>
              </w:rPr>
              <w:t>Future integration via documented APIs/import/export with field mapping and data ownership rules.</w:t>
            </w:r>
          </w:p>
        </w:tc>
        <w:tc>
          <w:tcPr>
            <w:tcW w:type="dxa" w:w="3331"/>
            <w:vAlign w:val="center"/>
            <w:shd w:fill="F1F5F8"/>
          </w:tcPr>
          <w:p>
            <w:pPr>
              <w:spacing w:after="20"/>
            </w:pPr>
            <w:r/>
            <w:r>
              <w:rPr>
                <w:rFonts w:ascii="Aptos" w:hAnsi="Aptos"/>
                <w:b w:val="0"/>
                <w:sz w:val="14"/>
              </w:rPr>
              <w:t>Integration errors are observable; avoid silent overwrites and define source of truth per field.</w:t>
            </w:r>
          </w:p>
        </w:tc>
      </w:tr>
    </w:tbl>
    <w:p>
      <w:pPr>
        <w:spacing w:after="0"/>
      </w:pPr>
    </w:p>
    <w:p>
      <w:pPr>
        <w:pStyle w:val="Heading1"/>
      </w:pPr>
      <w:r>
        <w:t>18. Release Scope and Product Packaging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6324F"/>
          </w:tcPr>
          <w:p>
            <w:pPr>
              <w:spacing w:after="20"/>
            </w:pPr>
            <w:r/>
            <w:r>
              <w:rPr>
                <w:rFonts w:ascii="Aptos" w:hAnsi="Aptos"/>
                <w:b/>
                <w:color w:val="FFFFFF"/>
                <w:sz w:val="15"/>
              </w:rPr>
              <w:t>Capability</w:t>
            </w:r>
          </w:p>
        </w:tc>
        <w:tc>
          <w:tcPr>
            <w:tcW w:type="dxa" w:w="2498"/>
            <w:vAlign w:val="center"/>
            <w:shd w:fill="16324F"/>
          </w:tcPr>
          <w:p>
            <w:pPr>
              <w:spacing w:after="20"/>
            </w:pPr>
            <w:r/>
            <w:r>
              <w:rPr>
                <w:rFonts w:ascii="Aptos" w:hAnsi="Aptos"/>
                <w:b/>
                <w:color w:val="FFFFFF"/>
                <w:sz w:val="15"/>
              </w:rPr>
              <w:t>Essential</w:t>
            </w:r>
          </w:p>
        </w:tc>
        <w:tc>
          <w:tcPr>
            <w:tcW w:type="dxa" w:w="2498"/>
            <w:vAlign w:val="center"/>
            <w:shd w:fill="16324F"/>
          </w:tcPr>
          <w:p>
            <w:pPr>
              <w:spacing w:after="20"/>
            </w:pPr>
            <w:r/>
            <w:r>
              <w:rPr>
                <w:rFonts w:ascii="Aptos" w:hAnsi="Aptos"/>
                <w:b/>
                <w:color w:val="FFFFFF"/>
                <w:sz w:val="15"/>
              </w:rPr>
              <w:t>Professional</w:t>
            </w:r>
          </w:p>
        </w:tc>
        <w:tc>
          <w:tcPr>
            <w:tcW w:type="dxa" w:w="2498"/>
            <w:vAlign w:val="center"/>
            <w:shd w:fill="16324F"/>
          </w:tcPr>
          <w:p>
            <w:pPr>
              <w:spacing w:after="20"/>
            </w:pPr>
            <w:r/>
            <w:r>
              <w:rPr>
                <w:rFonts w:ascii="Aptos" w:hAnsi="Aptos"/>
                <w:b/>
                <w:color w:val="FFFFFF"/>
                <w:sz w:val="15"/>
              </w:rPr>
              <w:t>Enterprise / future</w:t>
            </w:r>
          </w:p>
        </w:tc>
      </w:tr>
      <w:tr>
        <w:tc>
          <w:tcPr>
            <w:tcW w:type="dxa" w:w="2498"/>
            <w:vAlign w:val="center"/>
          </w:tcPr>
          <w:p>
            <w:pPr>
              <w:spacing w:after="20"/>
            </w:pPr>
            <w:r/>
            <w:r>
              <w:rPr>
                <w:rFonts w:ascii="Aptos" w:hAnsi="Aptos"/>
                <w:b w:val="0"/>
                <w:sz w:val="15"/>
              </w:rPr>
              <w:t>Premium public website + tenant branding</w:t>
            </w:r>
          </w:p>
        </w:tc>
        <w:tc>
          <w:tcPr>
            <w:tcW w:type="dxa" w:w="2498"/>
            <w:vAlign w:val="center"/>
          </w:tcPr>
          <w:p>
            <w:pPr>
              <w:spacing w:after="20"/>
            </w:pPr>
            <w:r/>
            <w:r>
              <w:rPr>
                <w:rFonts w:ascii="Aptos" w:hAnsi="Aptos"/>
                <w:b w:val="0"/>
                <w:sz w:val="15"/>
              </w:rPr>
              <w:t>MVP</w:t>
            </w:r>
          </w:p>
        </w:tc>
        <w:tc>
          <w:tcPr>
            <w:tcW w:type="dxa" w:w="2498"/>
            <w:vAlign w:val="center"/>
          </w:tcPr>
          <w:p>
            <w:pPr>
              <w:spacing w:after="20"/>
            </w:pPr>
            <w:r/>
            <w:r>
              <w:rPr>
                <w:rFonts w:ascii="Aptos" w:hAnsi="Aptos"/>
                <w:b w:val="0"/>
                <w:sz w:val="15"/>
              </w:rPr>
              <w:t>Included</w:t>
            </w:r>
          </w:p>
        </w:tc>
        <w:tc>
          <w:tcPr>
            <w:tcW w:type="dxa" w:w="2498"/>
            <w:vAlign w:val="center"/>
          </w:tcPr>
          <w:p>
            <w:pPr>
              <w:spacing w:after="20"/>
            </w:pPr>
            <w:r/>
            <w:r>
              <w:rPr>
                <w:rFonts w:ascii="Aptos" w:hAnsi="Aptos"/>
                <w:b w:val="0"/>
                <w:sz w:val="15"/>
              </w:rPr>
              <w:t>Included</w:t>
            </w:r>
          </w:p>
        </w:tc>
      </w:tr>
      <w:tr>
        <w:tc>
          <w:tcPr>
            <w:tcW w:type="dxa" w:w="2498"/>
            <w:vAlign w:val="center"/>
            <w:shd w:fill="F1F5F8"/>
          </w:tcPr>
          <w:p>
            <w:pPr>
              <w:spacing w:after="20"/>
            </w:pPr>
            <w:r/>
            <w:r>
              <w:rPr>
                <w:rFonts w:ascii="Aptos" w:hAnsi="Aptos"/>
                <w:b w:val="0"/>
                <w:sz w:val="15"/>
              </w:rPr>
              <w:t>CMS, pages, programmes, staff, news/events/media</w:t>
            </w:r>
          </w:p>
        </w:tc>
        <w:tc>
          <w:tcPr>
            <w:tcW w:type="dxa" w:w="2498"/>
            <w:vAlign w:val="center"/>
            <w:shd w:fill="F1F5F8"/>
          </w:tcPr>
          <w:p>
            <w:pPr>
              <w:spacing w:after="20"/>
            </w:pPr>
            <w:r/>
            <w:r>
              <w:rPr>
                <w:rFonts w:ascii="Aptos" w:hAnsi="Aptos"/>
                <w:b w:val="0"/>
                <w:sz w:val="15"/>
              </w:rPr>
              <w:t>MVP</w:t>
            </w:r>
          </w:p>
        </w:tc>
        <w:tc>
          <w:tcPr>
            <w:tcW w:type="dxa" w:w="2498"/>
            <w:vAlign w:val="center"/>
            <w:shd w:fill="F1F5F8"/>
          </w:tcPr>
          <w:p>
            <w:pPr>
              <w:spacing w:after="20"/>
            </w:pPr>
            <w:r/>
            <w:r>
              <w:rPr>
                <w:rFonts w:ascii="Aptos" w:hAnsi="Aptos"/>
                <w:b w:val="0"/>
                <w:sz w:val="15"/>
              </w:rPr>
              <w:t>Included</w:t>
            </w:r>
          </w:p>
        </w:tc>
        <w:tc>
          <w:tcPr>
            <w:tcW w:type="dxa" w:w="2498"/>
            <w:vAlign w:val="center"/>
            <w:shd w:fill="F1F5F8"/>
          </w:tcPr>
          <w:p>
            <w:pPr>
              <w:spacing w:after="20"/>
            </w:pPr>
            <w:r/>
            <w:r>
              <w:rPr>
                <w:rFonts w:ascii="Aptos" w:hAnsi="Aptos"/>
                <w:b w:val="0"/>
                <w:sz w:val="15"/>
              </w:rPr>
              <w:t>Included</w:t>
            </w:r>
          </w:p>
        </w:tc>
      </w:tr>
      <w:tr>
        <w:tc>
          <w:tcPr>
            <w:tcW w:type="dxa" w:w="2498"/>
            <w:vAlign w:val="center"/>
          </w:tcPr>
          <w:p>
            <w:pPr>
              <w:spacing w:after="20"/>
            </w:pPr>
            <w:r/>
            <w:r>
              <w:rPr>
                <w:rFonts w:ascii="Aptos" w:hAnsi="Aptos"/>
                <w:b w:val="0"/>
                <w:sz w:val="15"/>
              </w:rPr>
              <w:t>SEO, accessibility controls, baseline analytics</w:t>
            </w:r>
          </w:p>
        </w:tc>
        <w:tc>
          <w:tcPr>
            <w:tcW w:type="dxa" w:w="2498"/>
            <w:vAlign w:val="center"/>
          </w:tcPr>
          <w:p>
            <w:pPr>
              <w:spacing w:after="20"/>
            </w:pPr>
            <w:r/>
            <w:r>
              <w:rPr>
                <w:rFonts w:ascii="Aptos" w:hAnsi="Aptos"/>
                <w:b w:val="0"/>
                <w:sz w:val="15"/>
              </w:rPr>
              <w:t>MVP</w:t>
            </w:r>
          </w:p>
        </w:tc>
        <w:tc>
          <w:tcPr>
            <w:tcW w:type="dxa" w:w="2498"/>
            <w:vAlign w:val="center"/>
          </w:tcPr>
          <w:p>
            <w:pPr>
              <w:spacing w:after="20"/>
            </w:pPr>
            <w:r/>
            <w:r>
              <w:rPr>
                <w:rFonts w:ascii="Aptos" w:hAnsi="Aptos"/>
                <w:b w:val="0"/>
                <w:sz w:val="15"/>
              </w:rPr>
              <w:t>Included</w:t>
            </w:r>
          </w:p>
        </w:tc>
        <w:tc>
          <w:tcPr>
            <w:tcW w:type="dxa" w:w="2498"/>
            <w:vAlign w:val="center"/>
          </w:tcPr>
          <w:p>
            <w:pPr>
              <w:spacing w:after="20"/>
            </w:pPr>
            <w:r/>
            <w:r>
              <w:rPr>
                <w:rFonts w:ascii="Aptos" w:hAnsi="Aptos"/>
                <w:b w:val="0"/>
                <w:sz w:val="15"/>
              </w:rPr>
              <w:t>Included</w:t>
            </w:r>
          </w:p>
        </w:tc>
      </w:tr>
      <w:tr>
        <w:tc>
          <w:tcPr>
            <w:tcW w:type="dxa" w:w="2498"/>
            <w:vAlign w:val="center"/>
            <w:shd w:fill="F1F5F8"/>
          </w:tcPr>
          <w:p>
            <w:pPr>
              <w:spacing w:after="20"/>
            </w:pPr>
            <w:r/>
            <w:r>
              <w:rPr>
                <w:rFonts w:ascii="Aptos" w:hAnsi="Aptos"/>
                <w:b w:val="0"/>
                <w:sz w:val="15"/>
              </w:rPr>
              <w:t>Enquiry forms and routing</w:t>
            </w:r>
          </w:p>
        </w:tc>
        <w:tc>
          <w:tcPr>
            <w:tcW w:type="dxa" w:w="2498"/>
            <w:vAlign w:val="center"/>
            <w:shd w:fill="F1F5F8"/>
          </w:tcPr>
          <w:p>
            <w:pPr>
              <w:spacing w:after="20"/>
            </w:pPr>
            <w:r/>
            <w:r>
              <w:rPr>
                <w:rFonts w:ascii="Aptos" w:hAnsi="Aptos"/>
                <w:b w:val="0"/>
                <w:sz w:val="15"/>
              </w:rPr>
              <w:t>MVP baseline</w:t>
            </w:r>
          </w:p>
        </w:tc>
        <w:tc>
          <w:tcPr>
            <w:tcW w:type="dxa" w:w="2498"/>
            <w:vAlign w:val="center"/>
            <w:shd w:fill="F1F5F8"/>
          </w:tcPr>
          <w:p>
            <w:pPr>
              <w:spacing w:after="20"/>
            </w:pPr>
            <w:r/>
            <w:r>
              <w:rPr>
                <w:rFonts w:ascii="Aptos" w:hAnsi="Aptos"/>
                <w:b w:val="0"/>
                <w:sz w:val="15"/>
              </w:rPr>
              <w:t>Enhanced workflows</w:t>
            </w:r>
          </w:p>
        </w:tc>
        <w:tc>
          <w:tcPr>
            <w:tcW w:type="dxa" w:w="2498"/>
            <w:vAlign w:val="center"/>
            <w:shd w:fill="F1F5F8"/>
          </w:tcPr>
          <w:p>
            <w:pPr>
              <w:spacing w:after="20"/>
            </w:pPr>
            <w:r/>
            <w:r>
              <w:rPr>
                <w:rFonts w:ascii="Aptos" w:hAnsi="Aptos"/>
                <w:b w:val="0"/>
                <w:sz w:val="15"/>
              </w:rPr>
              <w:t>Advanced routing/communications</w:t>
            </w:r>
          </w:p>
        </w:tc>
      </w:tr>
      <w:tr>
        <w:tc>
          <w:tcPr>
            <w:tcW w:type="dxa" w:w="2498"/>
            <w:vAlign w:val="center"/>
          </w:tcPr>
          <w:p>
            <w:pPr>
              <w:spacing w:after="20"/>
            </w:pPr>
            <w:r/>
            <w:r>
              <w:rPr>
                <w:rFonts w:ascii="Aptos" w:hAnsi="Aptos"/>
                <w:b w:val="0"/>
                <w:sz w:val="15"/>
              </w:rPr>
              <w:t>Online applications and tracking</w:t>
            </w:r>
          </w:p>
        </w:tc>
        <w:tc>
          <w:tcPr>
            <w:tcW w:type="dxa" w:w="2498"/>
            <w:vAlign w:val="center"/>
          </w:tcPr>
          <w:p>
            <w:pPr>
              <w:spacing w:after="20"/>
            </w:pPr>
            <w:r/>
            <w:r>
              <w:rPr>
                <w:rFonts w:ascii="Aptos" w:hAnsi="Aptos"/>
                <w:b w:val="0"/>
                <w:sz w:val="15"/>
              </w:rPr>
              <w:t>Later / not included</w:t>
            </w:r>
          </w:p>
        </w:tc>
        <w:tc>
          <w:tcPr>
            <w:tcW w:type="dxa" w:w="2498"/>
            <w:vAlign w:val="center"/>
          </w:tcPr>
          <w:p>
            <w:pPr>
              <w:spacing w:after="20"/>
            </w:pPr>
            <w:r/>
            <w:r>
              <w:rPr>
                <w:rFonts w:ascii="Aptos" w:hAnsi="Aptos"/>
                <w:b w:val="0"/>
                <w:sz w:val="15"/>
              </w:rPr>
              <w:t>Release 2</w:t>
            </w:r>
          </w:p>
        </w:tc>
        <w:tc>
          <w:tcPr>
            <w:tcW w:type="dxa" w:w="2498"/>
            <w:vAlign w:val="center"/>
          </w:tcPr>
          <w:p>
            <w:pPr>
              <w:spacing w:after="20"/>
            </w:pPr>
            <w:r/>
            <w:r>
              <w:rPr>
                <w:rFonts w:ascii="Aptos" w:hAnsi="Aptos"/>
                <w:b w:val="0"/>
                <w:sz w:val="15"/>
              </w:rPr>
              <w:t>Included with advanced options</w:t>
            </w:r>
          </w:p>
        </w:tc>
      </w:tr>
      <w:tr>
        <w:tc>
          <w:tcPr>
            <w:tcW w:type="dxa" w:w="2498"/>
            <w:vAlign w:val="center"/>
            <w:shd w:fill="F1F5F8"/>
          </w:tcPr>
          <w:p>
            <w:pPr>
              <w:spacing w:after="20"/>
            </w:pPr>
            <w:r/>
            <w:r>
              <w:rPr>
                <w:rFonts w:ascii="Aptos" w:hAnsi="Aptos"/>
                <w:b w:val="0"/>
                <w:sz w:val="15"/>
              </w:rPr>
              <w:t>Parent/student portal</w:t>
            </w:r>
          </w:p>
        </w:tc>
        <w:tc>
          <w:tcPr>
            <w:tcW w:type="dxa" w:w="2498"/>
            <w:vAlign w:val="center"/>
            <w:shd w:fill="F1F5F8"/>
          </w:tcPr>
          <w:p>
            <w:pPr>
              <w:spacing w:after="20"/>
            </w:pPr>
            <w:r/>
            <w:r>
              <w:rPr>
                <w:rFonts w:ascii="Aptos" w:hAnsi="Aptos"/>
                <w:b w:val="0"/>
                <w:sz w:val="15"/>
              </w:rPr>
              <w:t>Not included</w:t>
            </w:r>
          </w:p>
        </w:tc>
        <w:tc>
          <w:tcPr>
            <w:tcW w:type="dxa" w:w="2498"/>
            <w:vAlign w:val="center"/>
            <w:shd w:fill="F1F5F8"/>
          </w:tcPr>
          <w:p>
            <w:pPr>
              <w:spacing w:after="20"/>
            </w:pPr>
            <w:r/>
            <w:r>
              <w:rPr>
                <w:rFonts w:ascii="Aptos" w:hAnsi="Aptos"/>
                <w:b w:val="0"/>
                <w:sz w:val="15"/>
              </w:rPr>
              <w:t>Optional add-on</w:t>
            </w:r>
          </w:p>
        </w:tc>
        <w:tc>
          <w:tcPr>
            <w:tcW w:type="dxa" w:w="2498"/>
            <w:vAlign w:val="center"/>
            <w:shd w:fill="F1F5F8"/>
          </w:tcPr>
          <w:p>
            <w:pPr>
              <w:spacing w:after="20"/>
            </w:pPr>
            <w:r/>
            <w:r>
              <w:rPr>
                <w:rFonts w:ascii="Aptos" w:hAnsi="Aptos"/>
                <w:b w:val="0"/>
                <w:sz w:val="15"/>
              </w:rPr>
              <w:t>Release 3 / premium</w:t>
            </w:r>
          </w:p>
        </w:tc>
      </w:tr>
      <w:tr>
        <w:tc>
          <w:tcPr>
            <w:tcW w:type="dxa" w:w="2498"/>
            <w:vAlign w:val="center"/>
          </w:tcPr>
          <w:p>
            <w:pPr>
              <w:spacing w:after="20"/>
            </w:pPr>
            <w:r/>
            <w:r>
              <w:rPr>
                <w:rFonts w:ascii="Aptos" w:hAnsi="Aptos"/>
                <w:b w:val="0"/>
                <w:sz w:val="15"/>
              </w:rPr>
              <w:t>Payments, multiple campuses, advanced reporting</w:t>
            </w:r>
          </w:p>
        </w:tc>
        <w:tc>
          <w:tcPr>
            <w:tcW w:type="dxa" w:w="2498"/>
            <w:vAlign w:val="center"/>
          </w:tcPr>
          <w:p>
            <w:pPr>
              <w:spacing w:after="20"/>
            </w:pPr>
            <w:r/>
            <w:r>
              <w:rPr>
                <w:rFonts w:ascii="Aptos" w:hAnsi="Aptos"/>
                <w:b w:val="0"/>
                <w:sz w:val="15"/>
              </w:rPr>
              <w:t>Not included</w:t>
            </w:r>
          </w:p>
        </w:tc>
        <w:tc>
          <w:tcPr>
            <w:tcW w:type="dxa" w:w="2498"/>
            <w:vAlign w:val="center"/>
          </w:tcPr>
          <w:p>
            <w:pPr>
              <w:spacing w:after="20"/>
            </w:pPr>
            <w:r/>
            <w:r>
              <w:rPr>
                <w:rFonts w:ascii="Aptos" w:hAnsi="Aptos"/>
                <w:b w:val="0"/>
                <w:sz w:val="15"/>
              </w:rPr>
              <w:t>Not included unless separately scoped</w:t>
            </w:r>
          </w:p>
        </w:tc>
        <w:tc>
          <w:tcPr>
            <w:tcW w:type="dxa" w:w="2498"/>
            <w:vAlign w:val="center"/>
          </w:tcPr>
          <w:p>
            <w:pPr>
              <w:spacing w:after="20"/>
            </w:pPr>
            <w:r/>
            <w:r>
              <w:rPr>
                <w:rFonts w:ascii="Aptos" w:hAnsi="Aptos"/>
                <w:b w:val="0"/>
                <w:sz w:val="15"/>
              </w:rPr>
              <w:t>Future / validated enterprise scope</w:t>
            </w:r>
          </w:p>
        </w:tc>
      </w:tr>
      <w:tr>
        <w:tc>
          <w:tcPr>
            <w:tcW w:type="dxa" w:w="2498"/>
            <w:vAlign w:val="center"/>
            <w:shd w:fill="F1F5F8"/>
          </w:tcPr>
          <w:p>
            <w:pPr>
              <w:spacing w:after="20"/>
            </w:pPr>
            <w:r/>
            <w:r>
              <w:rPr>
                <w:rFonts w:ascii="Aptos" w:hAnsi="Aptos"/>
                <w:b w:val="0"/>
                <w:sz w:val="15"/>
              </w:rPr>
              <w:t>SIS/LMS, attendance, grades, timetable</w:t>
            </w:r>
          </w:p>
        </w:tc>
        <w:tc>
          <w:tcPr>
            <w:tcW w:type="dxa" w:w="2498"/>
            <w:vAlign w:val="center"/>
            <w:shd w:fill="F1F5F8"/>
          </w:tcPr>
          <w:p>
            <w:pPr>
              <w:spacing w:after="20"/>
            </w:pPr>
            <w:r/>
            <w:r>
              <w:rPr>
                <w:rFonts w:ascii="Aptos" w:hAnsi="Aptos"/>
                <w:b w:val="0"/>
                <w:sz w:val="15"/>
              </w:rPr>
              <w:t>Out of scope</w:t>
            </w:r>
          </w:p>
        </w:tc>
        <w:tc>
          <w:tcPr>
            <w:tcW w:type="dxa" w:w="2498"/>
            <w:vAlign w:val="center"/>
            <w:shd w:fill="F1F5F8"/>
          </w:tcPr>
          <w:p>
            <w:pPr>
              <w:spacing w:after="20"/>
            </w:pPr>
            <w:r/>
            <w:r>
              <w:rPr>
                <w:rFonts w:ascii="Aptos" w:hAnsi="Aptos"/>
                <w:b w:val="0"/>
                <w:sz w:val="15"/>
              </w:rPr>
              <w:t>Out of scope</w:t>
            </w:r>
          </w:p>
        </w:tc>
        <w:tc>
          <w:tcPr>
            <w:tcW w:type="dxa" w:w="2498"/>
            <w:vAlign w:val="center"/>
            <w:shd w:fill="F1F5F8"/>
          </w:tcPr>
          <w:p>
            <w:pPr>
              <w:spacing w:after="20"/>
            </w:pPr>
            <w:r/>
            <w:r>
              <w:rPr>
                <w:rFonts w:ascii="Aptos" w:hAnsi="Aptos"/>
                <w:b w:val="0"/>
                <w:sz w:val="15"/>
              </w:rPr>
              <w:t>Integration/future product decision</w:t>
            </w:r>
          </w:p>
        </w:tc>
      </w:tr>
    </w:tbl>
    <w:p>
      <w:pPr>
        <w:spacing w:after="0"/>
      </w:pPr>
    </w:p>
    <w:p>
      <w:r>
        <w:t>Packaging is a commercial decision, not a separate architecture. Use feature flags/configuration to enable modules, but do not create separate codebases for each package unless later evidence justifies that approach.</w:t>
      </w:r>
    </w:p>
    <w:p>
      <w:pPr>
        <w:pStyle w:val="Heading1"/>
      </w:pPr>
      <w:r>
        <w:t>19. Acceptance Strategy, Risks and Dependencies</w:t>
      </w:r>
    </w:p>
    <w:p>
      <w:pPr>
        <w:pStyle w:val="Heading2"/>
      </w:pPr>
      <w:r>
        <w:t>19.1 MVP acceptance gates</w:t>
      </w:r>
    </w:p>
    <w:p>
      <w:pPr>
        <w:pStyle w:val="ListBullet"/>
      </w:pPr>
      <w:r>
        <w:t>Tenant onboarding can create a school profile, assign a domain, set branding, invite users and configure enabled modules.</w:t>
      </w:r>
    </w:p>
    <w:p>
      <w:pPr>
        <w:pStyle w:val="ListBullet"/>
      </w:pPr>
      <w:r>
        <w:t>Public site routes resolve the correct tenant and render responsive, published content only.</w:t>
      </w:r>
    </w:p>
    <w:p>
      <w:pPr>
        <w:pStyle w:val="ListBullet"/>
      </w:pPr>
      <w:r>
        <w:t>An authorized editor can create, preview, publish and archive a page, programme, staff profile, news article, announcement and event.</w:t>
      </w:r>
    </w:p>
    <w:p>
      <w:pPr>
        <w:pStyle w:val="ListBullet"/>
      </w:pPr>
      <w:r>
        <w:t>Search returns only public eligible records from the current tenant.</w:t>
      </w:r>
    </w:p>
    <w:p>
      <w:pPr>
        <w:pStyle w:val="ListBullet"/>
      </w:pPr>
      <w:r>
        <w:t>Enquiry form validates input, applies spam/rate controls, stores the record and returns a safe confirmation.</w:t>
      </w:r>
    </w:p>
    <w:p>
      <w:pPr>
        <w:pStyle w:val="ListBullet"/>
      </w:pPr>
      <w:r>
        <w:t>Role/permission tests cover positive and negative access paths; cross-tenant access attempts fail.</w:t>
      </w:r>
    </w:p>
    <w:p>
      <w:pPr>
        <w:pStyle w:val="ListBullet"/>
      </w:pPr>
      <w:r>
        <w:t>Private media access, backups/restores, audit logging, error monitoring and operational runbooks are tested.</w:t>
      </w:r>
    </w:p>
    <w:p>
      <w:pPr>
        <w:pStyle w:val="ListBullet"/>
      </w:pPr>
      <w:r>
        <w:t>Accessibility review includes automated checks and manual keyboard/focus/screen-reader testing of critical paths.</w:t>
      </w:r>
    </w:p>
    <w:p>
      <w:pPr>
        <w:pStyle w:val="ListBullet"/>
      </w:pPr>
      <w:r>
        <w:t>Performance is measured against agreed representative routes, devices and load profile.</w:t>
      </w:r>
    </w:p>
    <w:p>
      <w:pPr>
        <w:pStyle w:val="ListBullet"/>
      </w:pPr>
      <w:r>
        <w:t>SEO metadata, sitemap, robots behaviour and canonical URL rules are verified for multiple tenant domains.</w:t>
      </w:r>
    </w:p>
    <w:p>
      <w:pPr>
        <w:pStyle w:val="Heading2"/>
      </w:pPr>
      <w:r>
        <w:t>19.2 Key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Risk</w:t>
            </w:r>
          </w:p>
        </w:tc>
        <w:tc>
          <w:tcPr>
            <w:tcW w:type="dxa" w:w="3331"/>
            <w:vAlign w:val="center"/>
            <w:shd w:fill="16324F"/>
          </w:tcPr>
          <w:p>
            <w:pPr>
              <w:spacing w:after="20"/>
            </w:pPr>
            <w:r/>
            <w:r>
              <w:rPr>
                <w:rFonts w:ascii="Aptos" w:hAnsi="Aptos"/>
                <w:b/>
                <w:color w:val="FFFFFF"/>
                <w:sz w:val="14"/>
              </w:rPr>
              <w:t>Impact</w:t>
            </w:r>
          </w:p>
        </w:tc>
        <w:tc>
          <w:tcPr>
            <w:tcW w:type="dxa" w:w="3331"/>
            <w:vAlign w:val="center"/>
            <w:shd w:fill="16324F"/>
          </w:tcPr>
          <w:p>
            <w:pPr>
              <w:spacing w:after="20"/>
            </w:pPr>
            <w:r/>
            <w:r>
              <w:rPr>
                <w:rFonts w:ascii="Aptos" w:hAnsi="Aptos"/>
                <w:b/>
                <w:color w:val="FFFFFF"/>
                <w:sz w:val="14"/>
              </w:rPr>
              <w:t>Mitigation</w:t>
            </w:r>
          </w:p>
        </w:tc>
      </w:tr>
      <w:tr>
        <w:tc>
          <w:tcPr>
            <w:tcW w:type="dxa" w:w="3331"/>
            <w:vAlign w:val="center"/>
          </w:tcPr>
          <w:p>
            <w:pPr>
              <w:spacing w:after="20"/>
            </w:pPr>
            <w:r/>
            <w:r>
              <w:rPr>
                <w:rFonts w:ascii="Aptos" w:hAnsi="Aptos"/>
                <w:b w:val="0"/>
                <w:sz w:val="14"/>
              </w:rPr>
              <w:t>Scope creep into full SIS</w:t>
            </w:r>
          </w:p>
        </w:tc>
        <w:tc>
          <w:tcPr>
            <w:tcW w:type="dxa" w:w="3331"/>
            <w:vAlign w:val="center"/>
          </w:tcPr>
          <w:p>
            <w:pPr>
              <w:spacing w:after="20"/>
            </w:pPr>
            <w:r/>
            <w:r>
              <w:rPr>
                <w:rFonts w:ascii="Aptos" w:hAnsi="Aptos"/>
                <w:b w:val="0"/>
                <w:sz w:val="14"/>
              </w:rPr>
              <w:t>MVP delay and operational complexity.</w:t>
            </w:r>
          </w:p>
        </w:tc>
        <w:tc>
          <w:tcPr>
            <w:tcW w:type="dxa" w:w="3331"/>
            <w:vAlign w:val="center"/>
          </w:tcPr>
          <w:p>
            <w:pPr>
              <w:spacing w:after="20"/>
            </w:pPr>
            <w:r/>
            <w:r>
              <w:rPr>
                <w:rFonts w:ascii="Aptos" w:hAnsi="Aptos"/>
                <w:b w:val="0"/>
                <w:sz w:val="14"/>
              </w:rPr>
              <w:t>Strict release boundary; treat academic records, attendance, finance and LMS as future/integration decisions.</w:t>
            </w:r>
          </w:p>
        </w:tc>
      </w:tr>
      <w:tr>
        <w:tc>
          <w:tcPr>
            <w:tcW w:type="dxa" w:w="3331"/>
            <w:vAlign w:val="center"/>
            <w:shd w:fill="F1F5F8"/>
          </w:tcPr>
          <w:p>
            <w:pPr>
              <w:spacing w:after="20"/>
            </w:pPr>
            <w:r/>
            <w:r>
              <w:rPr>
                <w:rFonts w:ascii="Aptos" w:hAnsi="Aptos"/>
                <w:b w:val="0"/>
                <w:sz w:val="14"/>
              </w:rPr>
              <w:t>Cross-tenant data exposure</w:t>
            </w:r>
          </w:p>
        </w:tc>
        <w:tc>
          <w:tcPr>
            <w:tcW w:type="dxa" w:w="3331"/>
            <w:vAlign w:val="center"/>
            <w:shd w:fill="F1F5F8"/>
          </w:tcPr>
          <w:p>
            <w:pPr>
              <w:spacing w:after="20"/>
            </w:pPr>
            <w:r/>
            <w:r>
              <w:rPr>
                <w:rFonts w:ascii="Aptos" w:hAnsi="Aptos"/>
                <w:b w:val="0"/>
                <w:sz w:val="14"/>
              </w:rPr>
              <w:t>Severe privacy/security and commercial risk.</w:t>
            </w:r>
          </w:p>
        </w:tc>
        <w:tc>
          <w:tcPr>
            <w:tcW w:type="dxa" w:w="3331"/>
            <w:vAlign w:val="center"/>
            <w:shd w:fill="F1F5F8"/>
          </w:tcPr>
          <w:p>
            <w:pPr>
              <w:spacing w:after="20"/>
            </w:pPr>
            <w:r/>
            <w:r>
              <w:rPr>
                <w:rFonts w:ascii="Aptos" w:hAnsi="Aptos"/>
                <w:b w:val="0"/>
                <w:sz w:val="14"/>
              </w:rPr>
              <w:t>Tenant context enforced centrally, database constraints/defence in depth, negative tests and storage/search/job isolation.</w:t>
            </w:r>
          </w:p>
        </w:tc>
      </w:tr>
      <w:tr>
        <w:tc>
          <w:tcPr>
            <w:tcW w:type="dxa" w:w="3331"/>
            <w:vAlign w:val="center"/>
          </w:tcPr>
          <w:p>
            <w:pPr>
              <w:spacing w:after="20"/>
            </w:pPr>
            <w:r/>
            <w:r>
              <w:rPr>
                <w:rFonts w:ascii="Aptos" w:hAnsi="Aptos"/>
                <w:b w:val="0"/>
                <w:sz w:val="14"/>
              </w:rPr>
              <w:t>CMS too complex for school staff</w:t>
            </w:r>
          </w:p>
        </w:tc>
        <w:tc>
          <w:tcPr>
            <w:tcW w:type="dxa" w:w="3331"/>
            <w:vAlign w:val="center"/>
          </w:tcPr>
          <w:p>
            <w:pPr>
              <w:spacing w:after="20"/>
            </w:pPr>
            <w:r/>
            <w:r>
              <w:rPr>
                <w:rFonts w:ascii="Aptos" w:hAnsi="Aptos"/>
                <w:b w:val="0"/>
                <w:sz w:val="14"/>
              </w:rPr>
              <w:t>Poor adoption; continued developer dependence.</w:t>
            </w:r>
          </w:p>
        </w:tc>
        <w:tc>
          <w:tcPr>
            <w:tcW w:type="dxa" w:w="3331"/>
            <w:vAlign w:val="center"/>
          </w:tcPr>
          <w:p>
            <w:pPr>
              <w:spacing w:after="20"/>
            </w:pPr>
            <w:r/>
            <w:r>
              <w:rPr>
                <w:rFonts w:ascii="Aptos" w:hAnsi="Aptos"/>
                <w:b w:val="0"/>
                <w:sz w:val="14"/>
              </w:rPr>
              <w:t>Task-based usability tests with non-technical editors; constrained page sections and good defaults.</w:t>
            </w:r>
          </w:p>
        </w:tc>
      </w:tr>
      <w:tr>
        <w:tc>
          <w:tcPr>
            <w:tcW w:type="dxa" w:w="3331"/>
            <w:vAlign w:val="center"/>
            <w:shd w:fill="F1F5F8"/>
          </w:tcPr>
          <w:p>
            <w:pPr>
              <w:spacing w:after="20"/>
            </w:pPr>
            <w:r/>
            <w:r>
              <w:rPr>
                <w:rFonts w:ascii="Aptos" w:hAnsi="Aptos"/>
                <w:b w:val="0"/>
                <w:sz w:val="14"/>
              </w:rPr>
              <w:t>Different institution structures</w:t>
            </w:r>
          </w:p>
        </w:tc>
        <w:tc>
          <w:tcPr>
            <w:tcW w:type="dxa" w:w="3331"/>
            <w:vAlign w:val="center"/>
            <w:shd w:fill="F1F5F8"/>
          </w:tcPr>
          <w:p>
            <w:pPr>
              <w:spacing w:after="20"/>
            </w:pPr>
            <w:r/>
            <w:r>
              <w:rPr>
                <w:rFonts w:ascii="Aptos" w:hAnsi="Aptos"/>
                <w:b w:val="0"/>
                <w:sz w:val="14"/>
              </w:rPr>
              <w:t>Rigid model fails some customers.</w:t>
            </w:r>
          </w:p>
        </w:tc>
        <w:tc>
          <w:tcPr>
            <w:tcW w:type="dxa" w:w="3331"/>
            <w:vAlign w:val="center"/>
            <w:shd w:fill="F1F5F8"/>
          </w:tcPr>
          <w:p>
            <w:pPr>
              <w:spacing w:after="20"/>
            </w:pPr>
            <w:r/>
            <w:r>
              <w:rPr>
                <w:rFonts w:ascii="Aptos" w:hAnsi="Aptos"/>
                <w:b w:val="0"/>
                <w:sz w:val="14"/>
              </w:rPr>
              <w:t>Optional relationships and configurable taxonomy; validate with representative kindergarten, school, college and TVET users.</w:t>
            </w:r>
          </w:p>
        </w:tc>
      </w:tr>
      <w:tr>
        <w:tc>
          <w:tcPr>
            <w:tcW w:type="dxa" w:w="3331"/>
            <w:vAlign w:val="center"/>
          </w:tcPr>
          <w:p>
            <w:pPr>
              <w:spacing w:after="20"/>
            </w:pPr>
            <w:r/>
            <w:r>
              <w:rPr>
                <w:rFonts w:ascii="Aptos" w:hAnsi="Aptos"/>
                <w:b w:val="0"/>
                <w:sz w:val="14"/>
              </w:rPr>
              <w:t>Accessibility treated as automated overlay</w:t>
            </w:r>
          </w:p>
        </w:tc>
        <w:tc>
          <w:tcPr>
            <w:tcW w:type="dxa" w:w="3331"/>
            <w:vAlign w:val="center"/>
          </w:tcPr>
          <w:p>
            <w:pPr>
              <w:spacing w:after="20"/>
            </w:pPr>
            <w:r/>
            <w:r>
              <w:rPr>
                <w:rFonts w:ascii="Aptos" w:hAnsi="Aptos"/>
                <w:b w:val="0"/>
                <w:sz w:val="14"/>
              </w:rPr>
              <w:t>Critical barriers remain.</w:t>
            </w:r>
          </w:p>
        </w:tc>
        <w:tc>
          <w:tcPr>
            <w:tcW w:type="dxa" w:w="3331"/>
            <w:vAlign w:val="center"/>
          </w:tcPr>
          <w:p>
            <w:pPr>
              <w:spacing w:after="20"/>
            </w:pPr>
            <w:r/>
            <w:r>
              <w:rPr>
                <w:rFonts w:ascii="Aptos" w:hAnsi="Aptos"/>
                <w:b w:val="0"/>
                <w:sz w:val="14"/>
              </w:rPr>
              <w:t>Semantic components, manual testing, editor guidance and continuous review; no claim that a toolbar alone guarantees compliance.</w:t>
            </w:r>
          </w:p>
        </w:tc>
      </w:tr>
      <w:tr>
        <w:tc>
          <w:tcPr>
            <w:tcW w:type="dxa" w:w="3331"/>
            <w:vAlign w:val="center"/>
            <w:shd w:fill="F1F5F8"/>
          </w:tcPr>
          <w:p>
            <w:pPr>
              <w:spacing w:after="20"/>
            </w:pPr>
            <w:r/>
            <w:r>
              <w:rPr>
                <w:rFonts w:ascii="Aptos" w:hAnsi="Aptos"/>
                <w:b w:val="0"/>
                <w:sz w:val="14"/>
              </w:rPr>
              <w:t>Sensitive student data over-collected</w:t>
            </w:r>
          </w:p>
        </w:tc>
        <w:tc>
          <w:tcPr>
            <w:tcW w:type="dxa" w:w="3331"/>
            <w:vAlign w:val="center"/>
            <w:shd w:fill="F1F5F8"/>
          </w:tcPr>
          <w:p>
            <w:pPr>
              <w:spacing w:after="20"/>
            </w:pPr>
            <w:r/>
            <w:r>
              <w:rPr>
                <w:rFonts w:ascii="Aptos" w:hAnsi="Aptos"/>
                <w:b w:val="0"/>
                <w:sz w:val="14"/>
              </w:rPr>
              <w:t>Privacy and breach impact.</w:t>
            </w:r>
          </w:p>
        </w:tc>
        <w:tc>
          <w:tcPr>
            <w:tcW w:type="dxa" w:w="3331"/>
            <w:vAlign w:val="center"/>
            <w:shd w:fill="F1F5F8"/>
          </w:tcPr>
          <w:p>
            <w:pPr>
              <w:spacing w:after="20"/>
            </w:pPr>
            <w:r/>
            <w:r>
              <w:rPr>
                <w:rFonts w:ascii="Aptos" w:hAnsi="Aptos"/>
                <w:b w:val="0"/>
                <w:sz w:val="14"/>
              </w:rPr>
              <w:t>Data minimization, purpose review, retention policy and private-by-default access.</w:t>
            </w:r>
          </w:p>
        </w:tc>
      </w:tr>
      <w:tr>
        <w:tc>
          <w:tcPr>
            <w:tcW w:type="dxa" w:w="3331"/>
            <w:vAlign w:val="center"/>
          </w:tcPr>
          <w:p>
            <w:pPr>
              <w:spacing w:after="20"/>
            </w:pPr>
            <w:r/>
            <w:r>
              <w:rPr>
                <w:rFonts w:ascii="Aptos" w:hAnsi="Aptos"/>
                <w:b w:val="0"/>
                <w:sz w:val="14"/>
              </w:rPr>
              <w:t>Provider outage or email failure</w:t>
            </w:r>
          </w:p>
        </w:tc>
        <w:tc>
          <w:tcPr>
            <w:tcW w:type="dxa" w:w="3331"/>
            <w:vAlign w:val="center"/>
          </w:tcPr>
          <w:p>
            <w:pPr>
              <w:spacing w:after="20"/>
            </w:pPr>
            <w:r/>
            <w:r>
              <w:rPr>
                <w:rFonts w:ascii="Aptos" w:hAnsi="Aptos"/>
                <w:b w:val="0"/>
                <w:sz w:val="14"/>
              </w:rPr>
              <w:t>Lost notifications or incomplete workflows.</w:t>
            </w:r>
          </w:p>
        </w:tc>
        <w:tc>
          <w:tcPr>
            <w:tcW w:type="dxa" w:w="3331"/>
            <w:vAlign w:val="center"/>
          </w:tcPr>
          <w:p>
            <w:pPr>
              <w:spacing w:after="20"/>
            </w:pPr>
            <w:r/>
            <w:r>
              <w:rPr>
                <w:rFonts w:ascii="Aptos" w:hAnsi="Aptos"/>
                <w:b w:val="0"/>
                <w:sz w:val="14"/>
              </w:rPr>
              <w:t>Decouple delivery from authoritative state; retries, status visibility and manual recovery procedures.</w:t>
            </w:r>
          </w:p>
        </w:tc>
      </w:tr>
      <w:tr>
        <w:tc>
          <w:tcPr>
            <w:tcW w:type="dxa" w:w="3331"/>
            <w:vAlign w:val="center"/>
            <w:shd w:fill="F1F5F8"/>
          </w:tcPr>
          <w:p>
            <w:pPr>
              <w:spacing w:after="20"/>
            </w:pPr>
            <w:r/>
            <w:r>
              <w:rPr>
                <w:rFonts w:ascii="Aptos" w:hAnsi="Aptos"/>
                <w:b w:val="0"/>
                <w:sz w:val="14"/>
              </w:rPr>
              <w:t>Low-quality or stale content</w:t>
            </w:r>
          </w:p>
        </w:tc>
        <w:tc>
          <w:tcPr>
            <w:tcW w:type="dxa" w:w="3331"/>
            <w:vAlign w:val="center"/>
            <w:shd w:fill="F1F5F8"/>
          </w:tcPr>
          <w:p>
            <w:pPr>
              <w:spacing w:after="20"/>
            </w:pPr>
            <w:r/>
            <w:r>
              <w:rPr>
                <w:rFonts w:ascii="Aptos" w:hAnsi="Aptos"/>
                <w:b w:val="0"/>
                <w:sz w:val="14"/>
              </w:rPr>
              <w:t>Poor trust and admissions conversion.</w:t>
            </w:r>
          </w:p>
        </w:tc>
        <w:tc>
          <w:tcPr>
            <w:tcW w:type="dxa" w:w="3331"/>
            <w:vAlign w:val="center"/>
            <w:shd w:fill="F1F5F8"/>
          </w:tcPr>
          <w:p>
            <w:pPr>
              <w:spacing w:after="20"/>
            </w:pPr>
            <w:r/>
            <w:r>
              <w:rPr>
                <w:rFonts w:ascii="Aptos" w:hAnsi="Aptos"/>
                <w:b w:val="0"/>
                <w:sz w:val="14"/>
              </w:rPr>
              <w:t>Content ownership, review dates, expiry for announcements and editorial governance.</w:t>
            </w:r>
          </w:p>
        </w:tc>
      </w:tr>
      <w:tr>
        <w:tc>
          <w:tcPr>
            <w:tcW w:type="dxa" w:w="3331"/>
            <w:vAlign w:val="center"/>
          </w:tcPr>
          <w:p>
            <w:pPr>
              <w:spacing w:after="20"/>
            </w:pPr>
            <w:r/>
            <w:r>
              <w:rPr>
                <w:rFonts w:ascii="Aptos" w:hAnsi="Aptos"/>
                <w:b w:val="0"/>
                <w:sz w:val="14"/>
              </w:rPr>
              <w:t>Hosting/domain/email constraints vary by market</w:t>
            </w:r>
          </w:p>
        </w:tc>
        <w:tc>
          <w:tcPr>
            <w:tcW w:type="dxa" w:w="3331"/>
            <w:vAlign w:val="center"/>
          </w:tcPr>
          <w:p>
            <w:pPr>
              <w:spacing w:after="20"/>
            </w:pPr>
            <w:r/>
            <w:r>
              <w:rPr>
                <w:rFonts w:ascii="Aptos" w:hAnsi="Aptos"/>
                <w:b w:val="0"/>
                <w:sz w:val="14"/>
              </w:rPr>
              <w:t>Launch or deliverability problems.</w:t>
            </w:r>
          </w:p>
        </w:tc>
        <w:tc>
          <w:tcPr>
            <w:tcW w:type="dxa" w:w="3331"/>
            <w:vAlign w:val="center"/>
          </w:tcPr>
          <w:p>
            <w:pPr>
              <w:spacing w:after="20"/>
            </w:pPr>
            <w:r/>
            <w:r>
              <w:rPr>
                <w:rFonts w:ascii="Aptos" w:hAnsi="Aptos"/>
                <w:b w:val="0"/>
                <w:sz w:val="14"/>
              </w:rPr>
              <w:t>Validate DNS, TLS, data residency, email provider and payment availability before customer commitments.</w:t>
            </w:r>
          </w:p>
        </w:tc>
      </w:tr>
    </w:tbl>
    <w:p>
      <w:pPr>
        <w:spacing w:after="0"/>
      </w:pPr>
    </w:p>
    <w:p>
      <w:pPr>
        <w:pStyle w:val="Heading2"/>
      </w:pPr>
      <w:r>
        <w:t>19.3 Dependencies</w:t>
      </w:r>
    </w:p>
    <w:p>
      <w:pPr>
        <w:pStyle w:val="ListBullet"/>
      </w:pPr>
      <w:r>
        <w:t>Product owner decisions on initial customer segment, supported languages, pricing, domain model and release boundaries.</w:t>
      </w:r>
    </w:p>
    <w:p>
      <w:pPr>
        <w:pStyle w:val="ListBullet"/>
      </w:pPr>
      <w:r>
        <w:t>Hosting, database, object storage, email and monitoring provider selection.</w:t>
      </w:r>
    </w:p>
    <w:p>
      <w:pPr>
        <w:pStyle w:val="ListBullet"/>
      </w:pPr>
      <w:r>
        <w:t>Brand/content assets and editorial ownership from pilot institutions.</w:t>
      </w:r>
    </w:p>
    <w:p>
      <w:pPr>
        <w:pStyle w:val="ListBullet"/>
      </w:pPr>
      <w:r>
        <w:t>Legal/privacy review for each deployment jurisdiction and data category.</w:t>
      </w:r>
    </w:p>
    <w:p>
      <w:pPr>
        <w:pStyle w:val="ListBullet"/>
      </w:pPr>
      <w:r>
        <w:t>Security review and documented backup, incident response and support-access processes.</w:t>
      </w:r>
    </w:p>
    <w:p>
      <w:pPr>
        <w:pStyle w:val="ListBullet"/>
      </w:pPr>
      <w:r>
        <w:t>Defined load profile and availability budget before making production service-level commitments.</w:t>
      </w:r>
    </w:p>
    <w:p>
      <w:pPr>
        <w:pStyle w:val="Heading1"/>
      </w:pPr>
      <w:r>
        <w:t>20. Assumptions, Open Questions and Traceability</w:t>
      </w:r>
    </w:p>
    <w:p>
      <w:pPr>
        <w:pStyle w:val="Heading2"/>
      </w:pPr>
      <w:r>
        <w:t>20.1 Assumptions to validate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5"/>
              </w:rPr>
              <w:t>ID</w:t>
            </w:r>
          </w:p>
        </w:tc>
        <w:tc>
          <w:tcPr>
            <w:tcW w:type="dxa" w:w="3331"/>
            <w:vAlign w:val="center"/>
            <w:shd w:fill="16324F"/>
          </w:tcPr>
          <w:p>
            <w:pPr>
              <w:spacing w:after="20"/>
            </w:pPr>
            <w:r/>
            <w:r>
              <w:rPr>
                <w:rFonts w:ascii="Aptos" w:hAnsi="Aptos"/>
                <w:b/>
                <w:color w:val="FFFFFF"/>
                <w:sz w:val="15"/>
              </w:rPr>
              <w:t>Assumption</w:t>
            </w:r>
          </w:p>
        </w:tc>
        <w:tc>
          <w:tcPr>
            <w:tcW w:type="dxa" w:w="3331"/>
            <w:vAlign w:val="center"/>
            <w:shd w:fill="16324F"/>
          </w:tcPr>
          <w:p>
            <w:pPr>
              <w:spacing w:after="20"/>
            </w:pPr>
            <w:r/>
            <w:r>
              <w:rPr>
                <w:rFonts w:ascii="Aptos" w:hAnsi="Aptos"/>
                <w:b/>
                <w:color w:val="FFFFFF"/>
                <w:sz w:val="15"/>
              </w:rPr>
              <w:t>Validation owner / timing</w:t>
            </w:r>
          </w:p>
        </w:tc>
      </w:tr>
      <w:tr>
        <w:tc>
          <w:tcPr>
            <w:tcW w:type="dxa" w:w="3331"/>
            <w:vAlign w:val="center"/>
          </w:tcPr>
          <w:p>
            <w:pPr>
              <w:spacing w:after="20"/>
            </w:pPr>
            <w:r/>
            <w:r>
              <w:rPr>
                <w:rFonts w:ascii="Aptos" w:hAnsi="Aptos"/>
                <w:b w:val="0"/>
                <w:sz w:val="15"/>
              </w:rPr>
              <w:t>ASM-001</w:t>
            </w:r>
          </w:p>
        </w:tc>
        <w:tc>
          <w:tcPr>
            <w:tcW w:type="dxa" w:w="3331"/>
            <w:vAlign w:val="center"/>
          </w:tcPr>
          <w:p>
            <w:pPr>
              <w:spacing w:after="20"/>
            </w:pPr>
            <w:r/>
            <w:r>
              <w:rPr>
                <w:rFonts w:ascii="Aptos" w:hAnsi="Aptos"/>
                <w:b w:val="0"/>
                <w:sz w:val="15"/>
              </w:rPr>
              <w:t>The first sellable release prioritizes public website + CMS over online applications.</w:t>
            </w:r>
          </w:p>
        </w:tc>
        <w:tc>
          <w:tcPr>
            <w:tcW w:type="dxa" w:w="3331"/>
            <w:vAlign w:val="center"/>
          </w:tcPr>
          <w:p>
            <w:pPr>
              <w:spacing w:after="20"/>
            </w:pPr>
            <w:r/>
            <w:r>
              <w:rPr>
                <w:rFonts w:ascii="Aptos" w:hAnsi="Aptos"/>
                <w:b w:val="0"/>
                <w:sz w:val="15"/>
              </w:rPr>
              <w:t>Product owner before MVP backlog lock.</w:t>
            </w:r>
          </w:p>
        </w:tc>
      </w:tr>
      <w:tr>
        <w:tc>
          <w:tcPr>
            <w:tcW w:type="dxa" w:w="3331"/>
            <w:vAlign w:val="center"/>
            <w:shd w:fill="F1F5F8"/>
          </w:tcPr>
          <w:p>
            <w:pPr>
              <w:spacing w:after="20"/>
            </w:pPr>
            <w:r/>
            <w:r>
              <w:rPr>
                <w:rFonts w:ascii="Aptos" w:hAnsi="Aptos"/>
                <w:b w:val="0"/>
                <w:sz w:val="15"/>
              </w:rPr>
              <w:t>ASM-002</w:t>
            </w:r>
          </w:p>
        </w:tc>
        <w:tc>
          <w:tcPr>
            <w:tcW w:type="dxa" w:w="3331"/>
            <w:vAlign w:val="center"/>
            <w:shd w:fill="F1F5F8"/>
          </w:tcPr>
          <w:p>
            <w:pPr>
              <w:spacing w:after="20"/>
            </w:pPr>
            <w:r/>
            <w:r>
              <w:rPr>
                <w:rFonts w:ascii="Aptos" w:hAnsi="Aptos"/>
                <w:b w:val="0"/>
                <w:sz w:val="15"/>
              </w:rPr>
              <w:t>A shared PostgreSQL database with tenant-scoped records is acceptable for initial scale, subject to threat model and customer requirements.</w:t>
            </w:r>
          </w:p>
        </w:tc>
        <w:tc>
          <w:tcPr>
            <w:tcW w:type="dxa" w:w="3331"/>
            <w:vAlign w:val="center"/>
            <w:shd w:fill="F1F5F8"/>
          </w:tcPr>
          <w:p>
            <w:pPr>
              <w:spacing w:after="20"/>
            </w:pPr>
            <w:r/>
            <w:r>
              <w:rPr>
                <w:rFonts w:ascii="Aptos" w:hAnsi="Aptos"/>
                <w:b w:val="0"/>
                <w:sz w:val="15"/>
              </w:rPr>
              <w:t>Solution architect/security review.</w:t>
            </w:r>
          </w:p>
        </w:tc>
      </w:tr>
      <w:tr>
        <w:tc>
          <w:tcPr>
            <w:tcW w:type="dxa" w:w="3331"/>
            <w:vAlign w:val="center"/>
          </w:tcPr>
          <w:p>
            <w:pPr>
              <w:spacing w:after="20"/>
            </w:pPr>
            <w:r/>
            <w:r>
              <w:rPr>
                <w:rFonts w:ascii="Aptos" w:hAnsi="Aptos"/>
                <w:b w:val="0"/>
                <w:sz w:val="15"/>
              </w:rPr>
              <w:t>ASM-003</w:t>
            </w:r>
          </w:p>
        </w:tc>
        <w:tc>
          <w:tcPr>
            <w:tcW w:type="dxa" w:w="3331"/>
            <w:vAlign w:val="center"/>
          </w:tcPr>
          <w:p>
            <w:pPr>
              <w:spacing w:after="20"/>
            </w:pPr>
            <w:r/>
            <w:r>
              <w:rPr>
                <w:rFonts w:ascii="Aptos" w:hAnsi="Aptos"/>
                <w:b w:val="0"/>
                <w:sz w:val="15"/>
              </w:rPr>
              <w:t>One tenant initially represents one institution; multi-campus hierarchy can be deferred.</w:t>
            </w:r>
          </w:p>
        </w:tc>
        <w:tc>
          <w:tcPr>
            <w:tcW w:type="dxa" w:w="3331"/>
            <w:vAlign w:val="center"/>
          </w:tcPr>
          <w:p>
            <w:pPr>
              <w:spacing w:after="20"/>
            </w:pPr>
            <w:r/>
            <w:r>
              <w:rPr>
                <w:rFonts w:ascii="Aptos" w:hAnsi="Aptos"/>
                <w:b w:val="0"/>
                <w:sz w:val="15"/>
              </w:rPr>
              <w:t>Product owner/pilot schools.</w:t>
            </w:r>
          </w:p>
        </w:tc>
      </w:tr>
      <w:tr>
        <w:tc>
          <w:tcPr>
            <w:tcW w:type="dxa" w:w="3331"/>
            <w:vAlign w:val="center"/>
            <w:shd w:fill="F1F5F8"/>
          </w:tcPr>
          <w:p>
            <w:pPr>
              <w:spacing w:after="20"/>
            </w:pPr>
            <w:r/>
            <w:r>
              <w:rPr>
                <w:rFonts w:ascii="Aptos" w:hAnsi="Aptos"/>
                <w:b w:val="0"/>
                <w:sz w:val="15"/>
              </w:rPr>
              <w:t>ASM-004</w:t>
            </w:r>
          </w:p>
        </w:tc>
        <w:tc>
          <w:tcPr>
            <w:tcW w:type="dxa" w:w="3331"/>
            <w:vAlign w:val="center"/>
            <w:shd w:fill="F1F5F8"/>
          </w:tcPr>
          <w:p>
            <w:pPr>
              <w:spacing w:after="20"/>
            </w:pPr>
            <w:r/>
            <w:r>
              <w:rPr>
                <w:rFonts w:ascii="Aptos" w:hAnsi="Aptos"/>
                <w:b w:val="0"/>
                <w:sz w:val="15"/>
              </w:rPr>
              <w:t>English may be the initial launch language, while architecture supports later localization.</w:t>
            </w:r>
          </w:p>
        </w:tc>
        <w:tc>
          <w:tcPr>
            <w:tcW w:type="dxa" w:w="3331"/>
            <w:vAlign w:val="center"/>
            <w:shd w:fill="F1F5F8"/>
          </w:tcPr>
          <w:p>
            <w:pPr>
              <w:spacing w:after="20"/>
            </w:pPr>
            <w:r/>
            <w:r>
              <w:rPr>
                <w:rFonts w:ascii="Aptos" w:hAnsi="Aptos"/>
                <w:b w:val="0"/>
                <w:sz w:val="15"/>
              </w:rPr>
              <w:t>Product owner and pilot customers.</w:t>
            </w:r>
          </w:p>
        </w:tc>
      </w:tr>
      <w:tr>
        <w:tc>
          <w:tcPr>
            <w:tcW w:type="dxa" w:w="3331"/>
            <w:vAlign w:val="center"/>
          </w:tcPr>
          <w:p>
            <w:pPr>
              <w:spacing w:after="20"/>
            </w:pPr>
            <w:r/>
            <w:r>
              <w:rPr>
                <w:rFonts w:ascii="Aptos" w:hAnsi="Aptos"/>
                <w:b w:val="0"/>
                <w:sz w:val="15"/>
              </w:rPr>
              <w:t>ASM-005</w:t>
            </w:r>
          </w:p>
        </w:tc>
        <w:tc>
          <w:tcPr>
            <w:tcW w:type="dxa" w:w="3331"/>
            <w:vAlign w:val="center"/>
          </w:tcPr>
          <w:p>
            <w:pPr>
              <w:spacing w:after="20"/>
            </w:pPr>
            <w:r/>
            <w:r>
              <w:rPr>
                <w:rFonts w:ascii="Aptos" w:hAnsi="Aptos"/>
                <w:b w:val="0"/>
                <w:sz w:val="15"/>
              </w:rPr>
              <w:t>Payments, full SIS/LMS and native apps are not MVP requirements.</w:t>
            </w:r>
          </w:p>
        </w:tc>
        <w:tc>
          <w:tcPr>
            <w:tcW w:type="dxa" w:w="3331"/>
            <w:vAlign w:val="center"/>
          </w:tcPr>
          <w:p>
            <w:pPr>
              <w:spacing w:after="20"/>
            </w:pPr>
            <w:r/>
            <w:r>
              <w:rPr>
                <w:rFonts w:ascii="Aptos" w:hAnsi="Aptos"/>
                <w:b w:val="0"/>
                <w:sz w:val="15"/>
              </w:rPr>
              <w:t>Product owner and commercial discovery.</w:t>
            </w:r>
          </w:p>
        </w:tc>
      </w:tr>
      <w:tr>
        <w:tc>
          <w:tcPr>
            <w:tcW w:type="dxa" w:w="3331"/>
            <w:vAlign w:val="center"/>
            <w:shd w:fill="F1F5F8"/>
          </w:tcPr>
          <w:p>
            <w:pPr>
              <w:spacing w:after="20"/>
            </w:pPr>
            <w:r/>
            <w:r>
              <w:rPr>
                <w:rFonts w:ascii="Aptos" w:hAnsi="Aptos"/>
                <w:b w:val="0"/>
                <w:sz w:val="15"/>
              </w:rPr>
              <w:t>ASM-006</w:t>
            </w:r>
          </w:p>
        </w:tc>
        <w:tc>
          <w:tcPr>
            <w:tcW w:type="dxa" w:w="3331"/>
            <w:vAlign w:val="center"/>
            <w:shd w:fill="F1F5F8"/>
          </w:tcPr>
          <w:p>
            <w:pPr>
              <w:spacing w:after="20"/>
            </w:pPr>
            <w:r/>
            <w:r>
              <w:rPr>
                <w:rFonts w:ascii="Aptos" w:hAnsi="Aptos"/>
                <w:b w:val="0"/>
                <w:sz w:val="15"/>
              </w:rPr>
              <w:t>The school is responsible for validating published tuition, admissions rules, policies and consent to publish media.</w:t>
            </w:r>
          </w:p>
        </w:tc>
        <w:tc>
          <w:tcPr>
            <w:tcW w:type="dxa" w:w="3331"/>
            <w:vAlign w:val="center"/>
            <w:shd w:fill="F1F5F8"/>
          </w:tcPr>
          <w:p>
            <w:pPr>
              <w:spacing w:after="20"/>
            </w:pPr>
            <w:r/>
            <w:r>
              <w:rPr>
                <w:rFonts w:ascii="Aptos" w:hAnsi="Aptos"/>
                <w:b w:val="0"/>
                <w:sz w:val="15"/>
              </w:rPr>
              <w:t>Customer onboarding agreement.</w:t>
            </w:r>
          </w:p>
        </w:tc>
      </w:tr>
      <w:tr>
        <w:tc>
          <w:tcPr>
            <w:tcW w:type="dxa" w:w="3331"/>
            <w:vAlign w:val="center"/>
          </w:tcPr>
          <w:p>
            <w:pPr>
              <w:spacing w:after="20"/>
            </w:pPr>
            <w:r/>
            <w:r>
              <w:rPr>
                <w:rFonts w:ascii="Aptos" w:hAnsi="Aptos"/>
                <w:b w:val="0"/>
                <w:sz w:val="15"/>
              </w:rPr>
              <w:t>ASM-007</w:t>
            </w:r>
          </w:p>
        </w:tc>
        <w:tc>
          <w:tcPr>
            <w:tcW w:type="dxa" w:w="3331"/>
            <w:vAlign w:val="center"/>
          </w:tcPr>
          <w:p>
            <w:pPr>
              <w:spacing w:after="20"/>
            </w:pPr>
            <w:r/>
            <w:r>
              <w:rPr>
                <w:rFonts w:ascii="Aptos" w:hAnsi="Aptos"/>
                <w:b w:val="0"/>
                <w:sz w:val="15"/>
              </w:rPr>
              <w:t>Performance/availability targets are provisional until hosting budget and traffic profile are confirmed.</w:t>
            </w:r>
          </w:p>
        </w:tc>
        <w:tc>
          <w:tcPr>
            <w:tcW w:type="dxa" w:w="3331"/>
            <w:vAlign w:val="center"/>
          </w:tcPr>
          <w:p>
            <w:pPr>
              <w:spacing w:after="20"/>
            </w:pPr>
            <w:r/>
            <w:r>
              <w:rPr>
                <w:rFonts w:ascii="Aptos" w:hAnsi="Aptos"/>
                <w:b w:val="0"/>
                <w:sz w:val="15"/>
              </w:rPr>
              <w:t>Engineering/operations.</w:t>
            </w:r>
          </w:p>
        </w:tc>
      </w:tr>
    </w:tbl>
    <w:p>
      <w:pPr>
        <w:spacing w:after="0"/>
      </w:pPr>
    </w:p>
    <w:p>
      <w:pPr>
        <w:pStyle w:val="Heading2"/>
      </w:pPr>
      <w:r>
        <w:t>20.2 Open questions</w:t>
      </w:r>
    </w:p>
    <w:p>
      <w:pPr>
        <w:pStyle w:val="ListNumber"/>
      </w:pPr>
      <w:r>
        <w:t>Which institution type and customer segment is the first pilot: secondary school, college, kindergarten or a mixed pilot?</w:t>
      </w:r>
    </w:p>
    <w:p>
      <w:pPr>
        <w:pStyle w:val="ListNumber"/>
      </w:pPr>
      <w:r>
        <w:t>Will tenants receive custom domains, subdomains, or both at launch? Who manages DNS and domain verification?</w:t>
      </w:r>
    </w:p>
    <w:p>
      <w:pPr>
        <w:pStyle w:val="ListNumber"/>
      </w:pPr>
      <w:r>
        <w:t>Will the first release require public enquiry storage in the platform, or is email forwarding sufficient for a pilot?</w:t>
      </w:r>
    </w:p>
    <w:p>
      <w:pPr>
        <w:pStyle w:val="ListNumber"/>
      </w:pPr>
      <w:r>
        <w:t>Which language(s) are required at launch, including right-to-left support and translation ownership?</w:t>
      </w:r>
    </w:p>
    <w:p>
      <w:pPr>
        <w:pStyle w:val="ListNumber"/>
      </w:pPr>
      <w:r>
        <w:t>What are the expected tenant count, peak concurrent users, media volume, retention and availability budget?</w:t>
      </w:r>
    </w:p>
    <w:p>
      <w:pPr>
        <w:pStyle w:val="ListNumber"/>
      </w:pPr>
      <w:r>
        <w:t>Which jurisdictions apply to applicant/student data, and what data residency or contractual obligations exist?</w:t>
      </w:r>
    </w:p>
    <w:p>
      <w:pPr>
        <w:pStyle w:val="ListNumber"/>
      </w:pPr>
      <w:r>
        <w:t>Will applicants need parent/guardian-linked accounts, or can a single applicant account manage guardian details in Release 2?</w:t>
      </w:r>
    </w:p>
    <w:p>
      <w:pPr>
        <w:pStyle w:val="ListNumber"/>
      </w:pPr>
      <w:r>
        <w:t>What are the exact admissions status transitions, required documents, review steps and retention rules for the pilot institution?</w:t>
      </w:r>
    </w:p>
    <w:p>
      <w:pPr>
        <w:pStyle w:val="ListNumber"/>
      </w:pPr>
      <w:r>
        <w:t>Which analytics provider and consent approach are acceptable to target customers?</w:t>
      </w:r>
    </w:p>
    <w:p>
      <w:pPr>
        <w:pStyle w:val="ListNumber"/>
      </w:pPr>
      <w:r>
        <w:t>What level of support access, audit visibility and tenant data export is required by the commercial agreement?</w:t>
      </w:r>
    </w:p>
    <w:p>
      <w:pPr>
        <w:pStyle w:val="Heading2"/>
      </w:pPr>
      <w:r>
        <w:t>20.3 Traceability matrix (high-level)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6324F"/>
          </w:tcPr>
          <w:p>
            <w:pPr>
              <w:spacing w:after="20"/>
            </w:pPr>
            <w:r/>
            <w:r>
              <w:rPr>
                <w:rFonts w:ascii="Aptos" w:hAnsi="Aptos"/>
                <w:b/>
                <w:color w:val="FFFFFF"/>
                <w:sz w:val="14"/>
              </w:rPr>
              <w:t>Product goal</w:t>
            </w:r>
          </w:p>
        </w:tc>
        <w:tc>
          <w:tcPr>
            <w:tcW w:type="dxa" w:w="3331"/>
            <w:vAlign w:val="center"/>
            <w:shd w:fill="16324F"/>
          </w:tcPr>
          <w:p>
            <w:pPr>
              <w:spacing w:after="20"/>
            </w:pPr>
            <w:r/>
            <w:r>
              <w:rPr>
                <w:rFonts w:ascii="Aptos" w:hAnsi="Aptos"/>
                <w:b/>
                <w:color w:val="FFFFFF"/>
                <w:sz w:val="14"/>
              </w:rPr>
              <w:t>Requirements / sections</w:t>
            </w:r>
          </w:p>
        </w:tc>
        <w:tc>
          <w:tcPr>
            <w:tcW w:type="dxa" w:w="3331"/>
            <w:vAlign w:val="center"/>
            <w:shd w:fill="16324F"/>
          </w:tcPr>
          <w:p>
            <w:pPr>
              <w:spacing w:after="20"/>
            </w:pPr>
            <w:r/>
            <w:r>
              <w:rPr>
                <w:rFonts w:ascii="Aptos" w:hAnsi="Aptos"/>
                <w:b/>
                <w:color w:val="FFFFFF"/>
                <w:sz w:val="14"/>
              </w:rPr>
              <w:t>Verification evidence</w:t>
            </w:r>
          </w:p>
        </w:tc>
      </w:tr>
      <w:tr>
        <w:tc>
          <w:tcPr>
            <w:tcW w:type="dxa" w:w="3331"/>
            <w:vAlign w:val="center"/>
          </w:tcPr>
          <w:p>
            <w:pPr>
              <w:spacing w:after="20"/>
            </w:pPr>
            <w:r/>
            <w:r>
              <w:rPr>
                <w:rFonts w:ascii="Aptos" w:hAnsi="Aptos"/>
                <w:b w:val="0"/>
                <w:sz w:val="14"/>
              </w:rPr>
              <w:t>Distinctive public identity</w:t>
            </w:r>
          </w:p>
        </w:tc>
        <w:tc>
          <w:tcPr>
            <w:tcW w:type="dxa" w:w="3331"/>
            <w:vAlign w:val="center"/>
          </w:tcPr>
          <w:p>
            <w:pPr>
              <w:spacing w:after="20"/>
            </w:pPr>
            <w:r/>
            <w:r>
              <w:rPr>
                <w:rFonts w:ascii="Aptos" w:hAnsi="Aptos"/>
                <w:b w:val="0"/>
                <w:sz w:val="14"/>
              </w:rPr>
              <w:t>FR-TEN-001–004; FR-CMS-001–007; Sections 5, 14</w:t>
            </w:r>
          </w:p>
        </w:tc>
        <w:tc>
          <w:tcPr>
            <w:tcW w:type="dxa" w:w="3331"/>
            <w:vAlign w:val="center"/>
          </w:tcPr>
          <w:p>
            <w:pPr>
              <w:spacing w:after="20"/>
            </w:pPr>
            <w:r/>
            <w:r>
              <w:rPr>
                <w:rFonts w:ascii="Aptos" w:hAnsi="Aptos"/>
                <w:b w:val="0"/>
                <w:sz w:val="14"/>
              </w:rPr>
              <w:t>Tenant branding test; CMS task test; public-page QA.</w:t>
            </w:r>
          </w:p>
        </w:tc>
      </w:tr>
      <w:tr>
        <w:tc>
          <w:tcPr>
            <w:tcW w:type="dxa" w:w="3331"/>
            <w:vAlign w:val="center"/>
            <w:shd w:fill="F1F5F8"/>
          </w:tcPr>
          <w:p>
            <w:pPr>
              <w:spacing w:after="20"/>
            </w:pPr>
            <w:r/>
            <w:r>
              <w:rPr>
                <w:rFonts w:ascii="Aptos" w:hAnsi="Aptos"/>
                <w:b w:val="0"/>
                <w:sz w:val="14"/>
              </w:rPr>
              <w:t>Discoverable academics and student experience</w:t>
            </w:r>
          </w:p>
        </w:tc>
        <w:tc>
          <w:tcPr>
            <w:tcW w:type="dxa" w:w="3331"/>
            <w:vAlign w:val="center"/>
            <w:shd w:fill="F1F5F8"/>
          </w:tcPr>
          <w:p>
            <w:pPr>
              <w:spacing w:after="20"/>
            </w:pPr>
            <w:r/>
            <w:r>
              <w:rPr>
                <w:rFonts w:ascii="Aptos" w:hAnsi="Aptos"/>
                <w:b w:val="0"/>
                <w:sz w:val="14"/>
              </w:rPr>
              <w:t>FR-ACAD-001–004; public IA; Sections 5–6</w:t>
            </w:r>
          </w:p>
        </w:tc>
        <w:tc>
          <w:tcPr>
            <w:tcW w:type="dxa" w:w="3331"/>
            <w:vAlign w:val="center"/>
            <w:shd w:fill="F1F5F8"/>
          </w:tcPr>
          <w:p>
            <w:pPr>
              <w:spacing w:after="20"/>
            </w:pPr>
            <w:r/>
            <w:r>
              <w:rPr>
                <w:rFonts w:ascii="Aptos" w:hAnsi="Aptos"/>
                <w:b w:val="0"/>
                <w:sz w:val="14"/>
              </w:rPr>
              <w:t>Programme/staff navigation and search tests.</w:t>
            </w:r>
          </w:p>
        </w:tc>
      </w:tr>
      <w:tr>
        <w:tc>
          <w:tcPr>
            <w:tcW w:type="dxa" w:w="3331"/>
            <w:vAlign w:val="center"/>
          </w:tcPr>
          <w:p>
            <w:pPr>
              <w:spacing w:after="20"/>
            </w:pPr>
            <w:r/>
            <w:r>
              <w:rPr>
                <w:rFonts w:ascii="Aptos" w:hAnsi="Aptos"/>
                <w:b w:val="0"/>
                <w:sz w:val="14"/>
              </w:rPr>
              <w:t>Simplified enquiries</w:t>
            </w:r>
          </w:p>
        </w:tc>
        <w:tc>
          <w:tcPr>
            <w:tcW w:type="dxa" w:w="3331"/>
            <w:vAlign w:val="center"/>
          </w:tcPr>
          <w:p>
            <w:pPr>
              <w:spacing w:after="20"/>
            </w:pPr>
            <w:r/>
            <w:r>
              <w:rPr>
                <w:rFonts w:ascii="Aptos" w:hAnsi="Aptos"/>
                <w:b w:val="0"/>
                <w:sz w:val="14"/>
              </w:rPr>
              <w:t>FR-CON-001–002; Section 6.6</w:t>
            </w:r>
          </w:p>
        </w:tc>
        <w:tc>
          <w:tcPr>
            <w:tcW w:type="dxa" w:w="3331"/>
            <w:vAlign w:val="center"/>
          </w:tcPr>
          <w:p>
            <w:pPr>
              <w:spacing w:after="20"/>
            </w:pPr>
            <w:r/>
            <w:r>
              <w:rPr>
                <w:rFonts w:ascii="Aptos" w:hAnsi="Aptos"/>
                <w:b w:val="0"/>
                <w:sz w:val="14"/>
              </w:rPr>
              <w:t>Form validation, routing, spam and privacy tests.</w:t>
            </w:r>
          </w:p>
        </w:tc>
      </w:tr>
      <w:tr>
        <w:tc>
          <w:tcPr>
            <w:tcW w:type="dxa" w:w="3331"/>
            <w:vAlign w:val="center"/>
            <w:shd w:fill="F1F5F8"/>
          </w:tcPr>
          <w:p>
            <w:pPr>
              <w:spacing w:after="20"/>
            </w:pPr>
            <w:r/>
            <w:r>
              <w:rPr>
                <w:rFonts w:ascii="Aptos" w:hAnsi="Aptos"/>
                <w:b w:val="0"/>
                <w:sz w:val="14"/>
              </w:rPr>
              <w:t>Maintainable content</w:t>
            </w:r>
          </w:p>
        </w:tc>
        <w:tc>
          <w:tcPr>
            <w:tcW w:type="dxa" w:w="3331"/>
            <w:vAlign w:val="center"/>
            <w:shd w:fill="F1F5F8"/>
          </w:tcPr>
          <w:p>
            <w:pPr>
              <w:spacing w:after="20"/>
            </w:pPr>
            <w:r/>
            <w:r>
              <w:rPr>
                <w:rFonts w:ascii="Aptos" w:hAnsi="Aptos"/>
                <w:b w:val="0"/>
                <w:sz w:val="14"/>
              </w:rPr>
              <w:t>FR-CMS, FR-MEDIA, FR-COM, FR-EVT; Section 8</w:t>
            </w:r>
          </w:p>
        </w:tc>
        <w:tc>
          <w:tcPr>
            <w:tcW w:type="dxa" w:w="3331"/>
            <w:vAlign w:val="center"/>
            <w:shd w:fill="F1F5F8"/>
          </w:tcPr>
          <w:p>
            <w:pPr>
              <w:spacing w:after="20"/>
            </w:pPr>
            <w:r/>
            <w:r>
              <w:rPr>
                <w:rFonts w:ascii="Aptos" w:hAnsi="Aptos"/>
                <w:b w:val="0"/>
                <w:sz w:val="14"/>
              </w:rPr>
              <w:t>Editor usability test; publication workflow test.</w:t>
            </w:r>
          </w:p>
        </w:tc>
      </w:tr>
      <w:tr>
        <w:tc>
          <w:tcPr>
            <w:tcW w:type="dxa" w:w="3331"/>
            <w:vAlign w:val="center"/>
          </w:tcPr>
          <w:p>
            <w:pPr>
              <w:spacing w:after="20"/>
            </w:pPr>
            <w:r/>
            <w:r>
              <w:rPr>
                <w:rFonts w:ascii="Aptos" w:hAnsi="Aptos"/>
                <w:b w:val="0"/>
                <w:sz w:val="14"/>
              </w:rPr>
              <w:t>Tenant isolation</w:t>
            </w:r>
          </w:p>
        </w:tc>
        <w:tc>
          <w:tcPr>
            <w:tcW w:type="dxa" w:w="3331"/>
            <w:vAlign w:val="center"/>
          </w:tcPr>
          <w:p>
            <w:pPr>
              <w:spacing w:after="20"/>
            </w:pPr>
            <w:r/>
            <w:r>
              <w:rPr>
                <w:rFonts w:ascii="Aptos" w:hAnsi="Aptos"/>
                <w:b w:val="0"/>
                <w:sz w:val="14"/>
              </w:rPr>
              <w:t>FR-AUTH-003; FR-TEN; Section 11; NFR-SEC-003</w:t>
            </w:r>
          </w:p>
        </w:tc>
        <w:tc>
          <w:tcPr>
            <w:tcW w:type="dxa" w:w="3331"/>
            <w:vAlign w:val="center"/>
          </w:tcPr>
          <w:p>
            <w:pPr>
              <w:spacing w:after="20"/>
            </w:pPr>
            <w:r/>
            <w:r>
              <w:rPr>
                <w:rFonts w:ascii="Aptos" w:hAnsi="Aptos"/>
                <w:b w:val="0"/>
                <w:sz w:val="14"/>
              </w:rPr>
              <w:t>Cross-tenant API, search, storage, job and report tests.</w:t>
            </w:r>
          </w:p>
        </w:tc>
      </w:tr>
      <w:tr>
        <w:tc>
          <w:tcPr>
            <w:tcW w:type="dxa" w:w="3331"/>
            <w:vAlign w:val="center"/>
            <w:shd w:fill="F1F5F8"/>
          </w:tcPr>
          <w:p>
            <w:pPr>
              <w:spacing w:after="20"/>
            </w:pPr>
            <w:r/>
            <w:r>
              <w:rPr>
                <w:rFonts w:ascii="Aptos" w:hAnsi="Aptos"/>
                <w:b w:val="0"/>
                <w:sz w:val="14"/>
              </w:rPr>
              <w:t>Future admissions</w:t>
            </w:r>
          </w:p>
        </w:tc>
        <w:tc>
          <w:tcPr>
            <w:tcW w:type="dxa" w:w="3331"/>
            <w:vAlign w:val="center"/>
            <w:shd w:fill="F1F5F8"/>
          </w:tcPr>
          <w:p>
            <w:pPr>
              <w:spacing w:after="20"/>
            </w:pPr>
            <w:r/>
            <w:r>
              <w:rPr>
                <w:rFonts w:ascii="Aptos" w:hAnsi="Aptos"/>
                <w:b w:val="0"/>
                <w:sz w:val="14"/>
              </w:rPr>
              <w:t>FR-APP-001–010; Section 7</w:t>
            </w:r>
          </w:p>
        </w:tc>
        <w:tc>
          <w:tcPr>
            <w:tcW w:type="dxa" w:w="3331"/>
            <w:vAlign w:val="center"/>
            <w:shd w:fill="F1F5F8"/>
          </w:tcPr>
          <w:p>
            <w:pPr>
              <w:spacing w:after="20"/>
            </w:pPr>
            <w:r/>
            <w:r>
              <w:rPr>
                <w:rFonts w:ascii="Aptos" w:hAnsi="Aptos"/>
                <w:b w:val="0"/>
                <w:sz w:val="14"/>
              </w:rPr>
              <w:t>Application lifecycle and authorization acceptance suite in Release 2.</w:t>
            </w:r>
          </w:p>
        </w:tc>
      </w:tr>
      <w:tr>
        <w:tc>
          <w:tcPr>
            <w:tcW w:type="dxa" w:w="3331"/>
            <w:vAlign w:val="center"/>
          </w:tcPr>
          <w:p>
            <w:pPr>
              <w:spacing w:after="20"/>
            </w:pPr>
            <w:r/>
            <w:r>
              <w:rPr>
                <w:rFonts w:ascii="Aptos" w:hAnsi="Aptos"/>
                <w:b w:val="0"/>
                <w:sz w:val="14"/>
              </w:rPr>
              <w:t>Accessible/mobile experience</w:t>
            </w:r>
          </w:p>
        </w:tc>
        <w:tc>
          <w:tcPr>
            <w:tcW w:type="dxa" w:w="3331"/>
            <w:vAlign w:val="center"/>
          </w:tcPr>
          <w:p>
            <w:pPr>
              <w:spacing w:after="20"/>
            </w:pPr>
            <w:r/>
            <w:r>
              <w:rPr>
                <w:rFonts w:ascii="Aptos" w:hAnsi="Aptos"/>
                <w:b w:val="0"/>
                <w:sz w:val="14"/>
              </w:rPr>
              <w:t>Section 14; NFR-A11Y; NFR-RESP</w:t>
            </w:r>
          </w:p>
        </w:tc>
        <w:tc>
          <w:tcPr>
            <w:tcW w:type="dxa" w:w="3331"/>
            <w:vAlign w:val="center"/>
          </w:tcPr>
          <w:p>
            <w:pPr>
              <w:spacing w:after="20"/>
            </w:pPr>
            <w:r/>
            <w:r>
              <w:rPr>
                <w:rFonts w:ascii="Aptos" w:hAnsi="Aptos"/>
                <w:b w:val="0"/>
                <w:sz w:val="14"/>
              </w:rPr>
              <w:t>Automated and manual accessibility; responsive device matrix.</w:t>
            </w:r>
          </w:p>
        </w:tc>
      </w:tr>
      <w:tr>
        <w:tc>
          <w:tcPr>
            <w:tcW w:type="dxa" w:w="3331"/>
            <w:vAlign w:val="center"/>
            <w:shd w:fill="F1F5F8"/>
          </w:tcPr>
          <w:p>
            <w:pPr>
              <w:spacing w:after="20"/>
            </w:pPr>
            <w:r/>
            <w:r>
              <w:rPr>
                <w:rFonts w:ascii="Aptos" w:hAnsi="Aptos"/>
                <w:b w:val="0"/>
                <w:sz w:val="14"/>
              </w:rPr>
              <w:t>Operational reliability</w:t>
            </w:r>
          </w:p>
        </w:tc>
        <w:tc>
          <w:tcPr>
            <w:tcW w:type="dxa" w:w="3331"/>
            <w:vAlign w:val="center"/>
            <w:shd w:fill="F1F5F8"/>
          </w:tcPr>
          <w:p>
            <w:pPr>
              <w:spacing w:after="20"/>
            </w:pPr>
            <w:r/>
            <w:r>
              <w:rPr>
                <w:rFonts w:ascii="Aptos" w:hAnsi="Aptos"/>
                <w:b w:val="0"/>
                <w:sz w:val="14"/>
              </w:rPr>
              <w:t>Section 16–17; NFR-OBS, NFR-BACK</w:t>
            </w:r>
          </w:p>
        </w:tc>
        <w:tc>
          <w:tcPr>
            <w:tcW w:type="dxa" w:w="3331"/>
            <w:vAlign w:val="center"/>
            <w:shd w:fill="F1F5F8"/>
          </w:tcPr>
          <w:p>
            <w:pPr>
              <w:spacing w:after="20"/>
            </w:pPr>
            <w:r/>
            <w:r>
              <w:rPr>
                <w:rFonts w:ascii="Aptos" w:hAnsi="Aptos"/>
                <w:b w:val="0"/>
                <w:sz w:val="14"/>
              </w:rPr>
              <w:t>Monitoring checks, restore drill, load and failure tests.</w:t>
            </w:r>
          </w:p>
        </w:tc>
      </w:tr>
    </w:tbl>
    <w:p>
      <w:pPr>
        <w:spacing w:after="0"/>
      </w:pPr>
    </w:p>
    <w:p>
      <w:pPr>
        <w:pStyle w:val="Heading1"/>
      </w:pPr>
      <w:r>
        <w:t>Appendix A. Research Sources</w:t>
      </w:r>
    </w:p>
    <w:p>
      <w:r>
        <w:t>Sources below are official public pages reviewed for this desk research. Observations are limited to content visible on the cited pages as of the review date; vendor pages describe vendor claims and do not independently establish comparative quality.</w:t>
      </w:r>
    </w:p>
    <w:p>
      <w:pPr>
        <w:pStyle w:val="ListBullet"/>
      </w:pPr>
      <w:r>
        <w:rPr>
          <w:b/>
        </w:rPr>
        <w:t xml:space="preserve">Phillips Academy Andover — Applying to Andover: </w:t>
      </w:r>
      <w:r>
        <w:t xml:space="preserve">Application sequence, portal, interview and required application items. </w:t>
      </w:r>
      <w:r>
        <w:rPr>
          <w:color w:val="1D5D75"/>
          <w:u w:val="single"/>
        </w:rPr>
        <w:t>https://www.andover.edu/admission/apply</w:t>
      </w:r>
    </w:p>
    <w:p>
      <w:pPr>
        <w:pStyle w:val="ListBullet"/>
      </w:pPr>
      <w:r>
        <w:rPr>
          <w:b/>
        </w:rPr>
        <w:t xml:space="preserve">Phillips Academy Andover — Admission: </w:t>
      </w:r>
      <w:r>
        <w:t xml:space="preserve">Admissions CTAs, events and family-oriented discovery. </w:t>
      </w:r>
      <w:r>
        <w:rPr>
          <w:color w:val="1D5D75"/>
          <w:u w:val="single"/>
        </w:rPr>
        <w:t>https://www.andover.edu/admission</w:t>
      </w:r>
    </w:p>
    <w:p>
      <w:pPr>
        <w:pStyle w:val="ListBullet"/>
      </w:pPr>
      <w:r>
        <w:rPr>
          <w:b/>
        </w:rPr>
        <w:t xml:space="preserve">Phillips Academy Andover — Tuition and Financial Aid: </w:t>
      </w:r>
      <w:r>
        <w:t xml:space="preserve">Tuition and financial aid information as a key admissions content area. </w:t>
      </w:r>
      <w:r>
        <w:rPr>
          <w:color w:val="1D5D75"/>
          <w:u w:val="single"/>
        </w:rPr>
        <w:t>https://www.andover.edu/admission/tuition-and-financial-aid</w:t>
      </w:r>
    </w:p>
    <w:p>
      <w:pPr>
        <w:pStyle w:val="ListBullet"/>
      </w:pPr>
      <w:r>
        <w:rPr>
          <w:b/>
        </w:rPr>
        <w:t xml:space="preserve">Choate Rosemary Hall — Homepage: </w:t>
      </w:r>
      <w:r>
        <w:t xml:space="preserve">Academic identity, student experience, news and repeated inquiry/visit/apply actions. </w:t>
      </w:r>
      <w:r>
        <w:rPr>
          <w:color w:val="1D5D75"/>
          <w:u w:val="single"/>
        </w:rPr>
        <w:t>https://www.choate.edu/</w:t>
      </w:r>
    </w:p>
    <w:p>
      <w:pPr>
        <w:pStyle w:val="ListBullet"/>
      </w:pPr>
      <w:r>
        <w:rPr>
          <w:b/>
        </w:rPr>
        <w:t xml:space="preserve">Choate Rosemary Hall — Admission: </w:t>
      </w:r>
      <w:r>
        <w:t xml:space="preserve">Inquiry, visit, application, financial aid and application tracking journey. </w:t>
      </w:r>
      <w:r>
        <w:rPr>
          <w:color w:val="1D5D75"/>
          <w:u w:val="single"/>
        </w:rPr>
        <w:t>https://www.choate.edu/admission/</w:t>
      </w:r>
    </w:p>
    <w:p>
      <w:pPr>
        <w:pStyle w:val="ListBullet"/>
      </w:pPr>
      <w:r>
        <w:rPr>
          <w:b/>
        </w:rPr>
        <w:t xml:space="preserve">Choate Rosemary Hall — Academics: </w:t>
      </w:r>
      <w:r>
        <w:t xml:space="preserve">Curriculum, signature programmes and academic facilities. </w:t>
      </w:r>
      <w:r>
        <w:rPr>
          <w:color w:val="1D5D75"/>
          <w:u w:val="single"/>
        </w:rPr>
        <w:t>https://www.choate.edu/academics</w:t>
      </w:r>
    </w:p>
    <w:p>
      <w:pPr>
        <w:pStyle w:val="ListBullet"/>
      </w:pPr>
      <w:r>
        <w:rPr>
          <w:b/>
        </w:rPr>
        <w:t xml:space="preserve">The Lawrenceville School — Admission: </w:t>
      </w:r>
      <w:r>
        <w:t xml:space="preserve">Inquiry and campus visit as admissions journey components. </w:t>
      </w:r>
      <w:r>
        <w:rPr>
          <w:color w:val="1D5D75"/>
          <w:u w:val="single"/>
        </w:rPr>
        <w:t>https://www.lawrenceville.org/admission</w:t>
      </w:r>
    </w:p>
    <w:p>
      <w:pPr>
        <w:pStyle w:val="ListBullet"/>
      </w:pPr>
      <w:r>
        <w:rPr>
          <w:b/>
        </w:rPr>
        <w:t xml:space="preserve">Brighton College — How to Apply: </w:t>
      </w:r>
      <w:r>
        <w:t xml:space="preserve">Entry-route and applicant-category guidance. </w:t>
      </w:r>
      <w:r>
        <w:rPr>
          <w:color w:val="1D5D75"/>
          <w:u w:val="single"/>
        </w:rPr>
        <w:t>https://www.brightoncollege.org.uk/college/join/how-to-apply</w:t>
      </w:r>
    </w:p>
    <w:p>
      <w:pPr>
        <w:pStyle w:val="ListBullet"/>
      </w:pPr>
      <w:r>
        <w:rPr>
          <w:b/>
        </w:rPr>
        <w:t xml:space="preserve">UWC Changshu China — Admissions Apply: </w:t>
      </w:r>
      <w:r>
        <w:t xml:space="preserve">Programme choices and staged application guidance. </w:t>
      </w:r>
      <w:r>
        <w:rPr>
          <w:color w:val="1D5D75"/>
          <w:u w:val="single"/>
        </w:rPr>
        <w:t>https://www.uwcchina.org/en/Admissions/single/42</w:t>
      </w:r>
    </w:p>
    <w:p>
      <w:pPr>
        <w:pStyle w:val="ListBullet"/>
      </w:pPr>
      <w:r>
        <w:rPr>
          <w:b/>
        </w:rPr>
        <w:t xml:space="preserve">Finalsite — CMS for Schools: </w:t>
      </w:r>
      <w:r>
        <w:t xml:space="preserve">Reusable content, page building, SEO and admin access controls. </w:t>
      </w:r>
      <w:r>
        <w:rPr>
          <w:color w:val="1D5D75"/>
          <w:u w:val="single"/>
        </w:rPr>
        <w:t>https://www.finalsite.com/school-websites/cms-for-schools</w:t>
      </w:r>
    </w:p>
    <w:p>
      <w:pPr>
        <w:pStyle w:val="ListBullet"/>
      </w:pPr>
      <w:r>
        <w:rPr>
          <w:b/>
        </w:rPr>
        <w:t xml:space="preserve">Finalsite — Accessibility: </w:t>
      </w:r>
      <w:r>
        <w:t xml:space="preserve">Accessibility tooling and monitoring claims. </w:t>
      </w:r>
      <w:r>
        <w:rPr>
          <w:color w:val="1D5D75"/>
          <w:u w:val="single"/>
        </w:rPr>
        <w:t>https://www.finalsite.com/school-websites/accessibility</w:t>
      </w:r>
    </w:p>
    <w:p>
      <w:pPr>
        <w:pStyle w:val="ListBullet"/>
      </w:pPr>
      <w:r>
        <w:rPr>
          <w:b/>
        </w:rPr>
        <w:t xml:space="preserve">Blackbaud K–12 — Admissions Process Overview: </w:t>
      </w:r>
      <w:r>
        <w:t xml:space="preserve">Inquiry forms, candidate records, applications/checklists and scheduling. </w:t>
      </w:r>
      <w:r>
        <w:rPr>
          <w:color w:val="1D5D75"/>
          <w:u w:val="single"/>
        </w:rPr>
        <w:t>https://webfiles-sc1.blackbaud.com/files/support/helpfiles/education/k12/full-help/content/ems-admissions-process-overview.html</w:t>
      </w:r>
    </w:p>
    <w:p>
      <w:pPr>
        <w:pStyle w:val="ListBullet"/>
      </w:pPr>
      <w:r>
        <w:rPr>
          <w:b/>
        </w:rPr>
        <w:t xml:space="preserve">Blackbaud K–12 — Enrollment Management System: </w:t>
      </w:r>
      <w:r>
        <w:t xml:space="preserve">Admissions, contracts, enrollment and family-facing application information. </w:t>
      </w:r>
      <w:r>
        <w:rPr>
          <w:color w:val="1D5D75"/>
          <w:u w:val="single"/>
        </w:rPr>
        <w:t>https://webfiles-sc1.blackbaud.com/files/support/helpfiles/education/k12/panel/content/ems.html</w:t>
      </w:r>
    </w:p>
    <w:p>
      <w:r>
        <w:t>Veracross note: Veracross was included in the requested competitive research set. This review did not confirm a specific current feature claim from a sufficiently detailed official public page, so no unverified feature assertions are included. Follow-up research should inspect official product documentation and confirm capability scope with a vendor demonstration before decisions are made.</w:t>
      </w:r>
    </w:p>
    <w:p>
      <w:pPr>
        <w:pStyle w:val="Heading1"/>
      </w:pPr>
      <w:r>
        <w:t>Appendix B. 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6324F"/>
          </w:tcPr>
          <w:p>
            <w:pPr>
              <w:spacing w:after="20"/>
            </w:pPr>
            <w:r/>
            <w:r>
              <w:rPr>
                <w:rFonts w:ascii="Aptos" w:hAnsi="Aptos"/>
                <w:b/>
                <w:color w:val="FFFFFF"/>
                <w:sz w:val="15"/>
              </w:rPr>
              <w:t>Term</w:t>
            </w:r>
          </w:p>
        </w:tc>
        <w:tc>
          <w:tcPr>
            <w:tcW w:type="dxa" w:w="4997"/>
            <w:vAlign w:val="center"/>
            <w:shd w:fill="16324F"/>
          </w:tcPr>
          <w:p>
            <w:pPr>
              <w:spacing w:after="20"/>
            </w:pPr>
            <w:r/>
            <w:r>
              <w:rPr>
                <w:rFonts w:ascii="Aptos" w:hAnsi="Aptos"/>
                <w:b/>
                <w:color w:val="FFFFFF"/>
                <w:sz w:val="15"/>
              </w:rPr>
              <w:t>Definition</w:t>
            </w:r>
          </w:p>
        </w:tc>
      </w:tr>
      <w:tr>
        <w:tc>
          <w:tcPr>
            <w:tcW w:type="dxa" w:w="4997"/>
            <w:vAlign w:val="center"/>
          </w:tcPr>
          <w:p>
            <w:pPr>
              <w:spacing w:after="20"/>
            </w:pPr>
            <w:r/>
            <w:r>
              <w:rPr>
                <w:rFonts w:ascii="Aptos" w:hAnsi="Aptos"/>
                <w:b w:val="0"/>
                <w:sz w:val="15"/>
              </w:rPr>
              <w:t>Tenant</w:t>
            </w:r>
          </w:p>
        </w:tc>
        <w:tc>
          <w:tcPr>
            <w:tcW w:type="dxa" w:w="4997"/>
            <w:vAlign w:val="center"/>
          </w:tcPr>
          <w:p>
            <w:pPr>
              <w:spacing w:after="20"/>
            </w:pPr>
            <w:r/>
            <w:r>
              <w:rPr>
                <w:rFonts w:ascii="Aptos" w:hAnsi="Aptos"/>
                <w:b w:val="0"/>
                <w:sz w:val="15"/>
              </w:rPr>
              <w:t>An institution/customer whose content, configuration, users and operational records are logically isolated.</w:t>
            </w:r>
          </w:p>
        </w:tc>
      </w:tr>
      <w:tr>
        <w:tc>
          <w:tcPr>
            <w:tcW w:type="dxa" w:w="4997"/>
            <w:vAlign w:val="center"/>
            <w:shd w:fill="F1F5F8"/>
          </w:tcPr>
          <w:p>
            <w:pPr>
              <w:spacing w:after="20"/>
            </w:pPr>
            <w:r/>
            <w:r>
              <w:rPr>
                <w:rFonts w:ascii="Aptos" w:hAnsi="Aptos"/>
                <w:b w:val="0"/>
                <w:sz w:val="15"/>
              </w:rPr>
              <w:t>CMS</w:t>
            </w:r>
          </w:p>
        </w:tc>
        <w:tc>
          <w:tcPr>
            <w:tcW w:type="dxa" w:w="4997"/>
            <w:vAlign w:val="center"/>
            <w:shd w:fill="F1F5F8"/>
          </w:tcPr>
          <w:p>
            <w:pPr>
              <w:spacing w:after="20"/>
            </w:pPr>
            <w:r/>
            <w:r>
              <w:rPr>
                <w:rFonts w:ascii="Aptos" w:hAnsi="Aptos"/>
                <w:b w:val="0"/>
                <w:sz w:val="15"/>
              </w:rPr>
              <w:t>Content Management System used to create, review, publish and maintain website content.</w:t>
            </w:r>
          </w:p>
        </w:tc>
      </w:tr>
      <w:tr>
        <w:tc>
          <w:tcPr>
            <w:tcW w:type="dxa" w:w="4997"/>
            <w:vAlign w:val="center"/>
          </w:tcPr>
          <w:p>
            <w:pPr>
              <w:spacing w:after="20"/>
            </w:pPr>
            <w:r/>
            <w:r>
              <w:rPr>
                <w:rFonts w:ascii="Aptos" w:hAnsi="Aptos"/>
                <w:b w:val="0"/>
                <w:sz w:val="15"/>
              </w:rPr>
              <w:t>SRS</w:t>
            </w:r>
          </w:p>
        </w:tc>
        <w:tc>
          <w:tcPr>
            <w:tcW w:type="dxa" w:w="4997"/>
            <w:vAlign w:val="center"/>
          </w:tcPr>
          <w:p>
            <w:pPr>
              <w:spacing w:after="20"/>
            </w:pPr>
            <w:r/>
            <w:r>
              <w:rPr>
                <w:rFonts w:ascii="Aptos" w:hAnsi="Aptos"/>
                <w:b w:val="0"/>
                <w:sz w:val="15"/>
              </w:rPr>
              <w:t>Software Requirements Specification: a structured description of expected system behaviour and quality constraints.</w:t>
            </w:r>
          </w:p>
        </w:tc>
      </w:tr>
      <w:tr>
        <w:tc>
          <w:tcPr>
            <w:tcW w:type="dxa" w:w="4997"/>
            <w:vAlign w:val="center"/>
            <w:shd w:fill="F1F5F8"/>
          </w:tcPr>
          <w:p>
            <w:pPr>
              <w:spacing w:after="20"/>
            </w:pPr>
            <w:r/>
            <w:r>
              <w:rPr>
                <w:rFonts w:ascii="Aptos" w:hAnsi="Aptos"/>
                <w:b w:val="0"/>
                <w:sz w:val="15"/>
              </w:rPr>
              <w:t>RBAC</w:t>
            </w:r>
          </w:p>
        </w:tc>
        <w:tc>
          <w:tcPr>
            <w:tcW w:type="dxa" w:w="4997"/>
            <w:vAlign w:val="center"/>
            <w:shd w:fill="F1F5F8"/>
          </w:tcPr>
          <w:p>
            <w:pPr>
              <w:spacing w:after="20"/>
            </w:pPr>
            <w:r/>
            <w:r>
              <w:rPr>
                <w:rFonts w:ascii="Aptos" w:hAnsi="Aptos"/>
                <w:b w:val="0"/>
                <w:sz w:val="15"/>
              </w:rPr>
              <w:t>Role-Based Access Control; permissions are granted through roles and enforced by the backend.</w:t>
            </w:r>
          </w:p>
        </w:tc>
      </w:tr>
      <w:tr>
        <w:tc>
          <w:tcPr>
            <w:tcW w:type="dxa" w:w="4997"/>
            <w:vAlign w:val="center"/>
          </w:tcPr>
          <w:p>
            <w:pPr>
              <w:spacing w:after="20"/>
            </w:pPr>
            <w:r/>
            <w:r>
              <w:rPr>
                <w:rFonts w:ascii="Aptos" w:hAnsi="Aptos"/>
                <w:b w:val="0"/>
                <w:sz w:val="15"/>
              </w:rPr>
              <w:t>MVP</w:t>
            </w:r>
          </w:p>
        </w:tc>
        <w:tc>
          <w:tcPr>
            <w:tcW w:type="dxa" w:w="4997"/>
            <w:vAlign w:val="center"/>
          </w:tcPr>
          <w:p>
            <w:pPr>
              <w:spacing w:after="20"/>
            </w:pPr>
            <w:r/>
            <w:r>
              <w:rPr>
                <w:rFonts w:ascii="Aptos" w:hAnsi="Aptos"/>
                <w:b w:val="0"/>
                <w:sz w:val="15"/>
              </w:rPr>
              <w:t>Minimum Viable Product; the smallest coherent release that can be piloted/sold against agreed outcomes.</w:t>
            </w:r>
          </w:p>
        </w:tc>
      </w:tr>
      <w:tr>
        <w:tc>
          <w:tcPr>
            <w:tcW w:type="dxa" w:w="4997"/>
            <w:vAlign w:val="center"/>
            <w:shd w:fill="F1F5F8"/>
          </w:tcPr>
          <w:p>
            <w:pPr>
              <w:spacing w:after="20"/>
            </w:pPr>
            <w:r/>
            <w:r>
              <w:rPr>
                <w:rFonts w:ascii="Aptos" w:hAnsi="Aptos"/>
                <w:b w:val="0"/>
                <w:sz w:val="15"/>
              </w:rPr>
              <w:t>SIS</w:t>
            </w:r>
          </w:p>
        </w:tc>
        <w:tc>
          <w:tcPr>
            <w:tcW w:type="dxa" w:w="4997"/>
            <w:vAlign w:val="center"/>
            <w:shd w:fill="F1F5F8"/>
          </w:tcPr>
          <w:p>
            <w:pPr>
              <w:spacing w:after="20"/>
            </w:pPr>
            <w:r/>
            <w:r>
              <w:rPr>
                <w:rFonts w:ascii="Aptos" w:hAnsi="Aptos"/>
                <w:b w:val="0"/>
                <w:sz w:val="15"/>
              </w:rPr>
              <w:t>Student Information System, typically managing core student records and school operations.</w:t>
            </w:r>
          </w:p>
        </w:tc>
      </w:tr>
      <w:tr>
        <w:tc>
          <w:tcPr>
            <w:tcW w:type="dxa" w:w="4997"/>
            <w:vAlign w:val="center"/>
          </w:tcPr>
          <w:p>
            <w:pPr>
              <w:spacing w:after="20"/>
            </w:pPr>
            <w:r/>
            <w:r>
              <w:rPr>
                <w:rFonts w:ascii="Aptos" w:hAnsi="Aptos"/>
                <w:b w:val="0"/>
                <w:sz w:val="15"/>
              </w:rPr>
              <w:t>LMS</w:t>
            </w:r>
          </w:p>
        </w:tc>
        <w:tc>
          <w:tcPr>
            <w:tcW w:type="dxa" w:w="4997"/>
            <w:vAlign w:val="center"/>
          </w:tcPr>
          <w:p>
            <w:pPr>
              <w:spacing w:after="20"/>
            </w:pPr>
            <w:r/>
            <w:r>
              <w:rPr>
                <w:rFonts w:ascii="Aptos" w:hAnsi="Aptos"/>
                <w:b w:val="0"/>
                <w:sz w:val="15"/>
              </w:rPr>
              <w:t>Learning Management System for learning content, assignments, assessments and related teaching workflows.</w:t>
            </w:r>
          </w:p>
        </w:tc>
      </w:tr>
      <w:tr>
        <w:tc>
          <w:tcPr>
            <w:tcW w:type="dxa" w:w="4997"/>
            <w:vAlign w:val="center"/>
            <w:shd w:fill="F1F5F8"/>
          </w:tcPr>
          <w:p>
            <w:pPr>
              <w:spacing w:after="20"/>
            </w:pPr>
            <w:r/>
            <w:r>
              <w:rPr>
                <w:rFonts w:ascii="Aptos" w:hAnsi="Aptos"/>
                <w:b w:val="0"/>
                <w:sz w:val="15"/>
              </w:rPr>
              <w:t>SEO</w:t>
            </w:r>
          </w:p>
        </w:tc>
        <w:tc>
          <w:tcPr>
            <w:tcW w:type="dxa" w:w="4997"/>
            <w:vAlign w:val="center"/>
            <w:shd w:fill="F1F5F8"/>
          </w:tcPr>
          <w:p>
            <w:pPr>
              <w:spacing w:after="20"/>
            </w:pPr>
            <w:r/>
            <w:r>
              <w:rPr>
                <w:rFonts w:ascii="Aptos" w:hAnsi="Aptos"/>
                <w:b w:val="0"/>
                <w:sz w:val="15"/>
              </w:rPr>
              <w:t>Search Engine Optimization; metadata, crawlability, structured content and performance practices that support discovery.</w:t>
            </w:r>
          </w:p>
        </w:tc>
      </w:tr>
      <w:tr>
        <w:tc>
          <w:tcPr>
            <w:tcW w:type="dxa" w:w="4997"/>
            <w:vAlign w:val="center"/>
          </w:tcPr>
          <w:p>
            <w:pPr>
              <w:spacing w:after="20"/>
            </w:pPr>
            <w:r/>
            <w:r>
              <w:rPr>
                <w:rFonts w:ascii="Aptos" w:hAnsi="Aptos"/>
                <w:b w:val="0"/>
                <w:sz w:val="15"/>
              </w:rPr>
              <w:t>WCAG</w:t>
            </w:r>
          </w:p>
        </w:tc>
        <w:tc>
          <w:tcPr>
            <w:tcW w:type="dxa" w:w="4997"/>
            <w:vAlign w:val="center"/>
          </w:tcPr>
          <w:p>
            <w:pPr>
              <w:spacing w:after="20"/>
            </w:pPr>
            <w:r/>
            <w:r>
              <w:rPr>
                <w:rFonts w:ascii="Aptos" w:hAnsi="Aptos"/>
                <w:b w:val="0"/>
                <w:sz w:val="15"/>
              </w:rPr>
              <w:t>Web Content Accessibility Guidelines; accessibility standards for web content and interfaces.</w:t>
            </w:r>
          </w:p>
        </w:tc>
      </w:tr>
      <w:tr>
        <w:tc>
          <w:tcPr>
            <w:tcW w:type="dxa" w:w="4997"/>
            <w:vAlign w:val="center"/>
            <w:shd w:fill="F1F5F8"/>
          </w:tcPr>
          <w:p>
            <w:pPr>
              <w:spacing w:after="20"/>
            </w:pPr>
            <w:r/>
            <w:r>
              <w:rPr>
                <w:rFonts w:ascii="Aptos" w:hAnsi="Aptos"/>
                <w:b w:val="0"/>
                <w:sz w:val="15"/>
              </w:rPr>
              <w:t>RPO</w:t>
            </w:r>
          </w:p>
        </w:tc>
        <w:tc>
          <w:tcPr>
            <w:tcW w:type="dxa" w:w="4997"/>
            <w:vAlign w:val="center"/>
            <w:shd w:fill="F1F5F8"/>
          </w:tcPr>
          <w:p>
            <w:pPr>
              <w:spacing w:after="20"/>
            </w:pPr>
            <w:r/>
            <w:r>
              <w:rPr>
                <w:rFonts w:ascii="Aptos" w:hAnsi="Aptos"/>
                <w:b w:val="0"/>
                <w:sz w:val="15"/>
              </w:rPr>
              <w:t>Recovery Point Objective: maximum acceptable data loss measured in time.</w:t>
            </w:r>
          </w:p>
        </w:tc>
      </w:tr>
      <w:tr>
        <w:tc>
          <w:tcPr>
            <w:tcW w:type="dxa" w:w="4997"/>
            <w:vAlign w:val="center"/>
          </w:tcPr>
          <w:p>
            <w:pPr>
              <w:spacing w:after="20"/>
            </w:pPr>
            <w:r/>
            <w:r>
              <w:rPr>
                <w:rFonts w:ascii="Aptos" w:hAnsi="Aptos"/>
                <w:b w:val="0"/>
                <w:sz w:val="15"/>
              </w:rPr>
              <w:t>RTO</w:t>
            </w:r>
          </w:p>
        </w:tc>
        <w:tc>
          <w:tcPr>
            <w:tcW w:type="dxa" w:w="4997"/>
            <w:vAlign w:val="center"/>
          </w:tcPr>
          <w:p>
            <w:pPr>
              <w:spacing w:after="20"/>
            </w:pPr>
            <w:r/>
            <w:r>
              <w:rPr>
                <w:rFonts w:ascii="Aptos" w:hAnsi="Aptos"/>
                <w:b w:val="0"/>
                <w:sz w:val="15"/>
              </w:rPr>
              <w:t>Recovery Time Objective: target time to restore service after disruption.</w:t>
            </w:r>
          </w:p>
        </w:tc>
      </w:tr>
      <w:tr>
        <w:tc>
          <w:tcPr>
            <w:tcW w:type="dxa" w:w="4997"/>
            <w:vAlign w:val="center"/>
            <w:shd w:fill="F1F5F8"/>
          </w:tcPr>
          <w:p>
            <w:pPr>
              <w:spacing w:after="20"/>
            </w:pPr>
            <w:r/>
            <w:r>
              <w:rPr>
                <w:rFonts w:ascii="Aptos" w:hAnsi="Aptos"/>
                <w:b w:val="0"/>
                <w:sz w:val="15"/>
              </w:rPr>
              <w:t>Core Web Vitals</w:t>
            </w:r>
          </w:p>
        </w:tc>
        <w:tc>
          <w:tcPr>
            <w:tcW w:type="dxa" w:w="4997"/>
            <w:vAlign w:val="center"/>
            <w:shd w:fill="F1F5F8"/>
          </w:tcPr>
          <w:p>
            <w:pPr>
              <w:spacing w:after="20"/>
            </w:pPr>
            <w:r/>
            <w:r>
              <w:rPr>
                <w:rFonts w:ascii="Aptos" w:hAnsi="Aptos"/>
                <w:b w:val="0"/>
                <w:sz w:val="15"/>
              </w:rPr>
              <w:t>Google-defined user experience metrics including LCP, INP and CLS.</w:t>
            </w:r>
          </w:p>
        </w:tc>
      </w:tr>
      <w:tr>
        <w:tc>
          <w:tcPr>
            <w:tcW w:type="dxa" w:w="4997"/>
            <w:vAlign w:val="center"/>
          </w:tcPr>
          <w:p>
            <w:pPr>
              <w:spacing w:after="20"/>
            </w:pPr>
            <w:r/>
            <w:r>
              <w:rPr>
                <w:rFonts w:ascii="Aptos" w:hAnsi="Aptos"/>
                <w:b w:val="0"/>
                <w:sz w:val="15"/>
              </w:rPr>
              <w:t>CO-PE / Create Once, Publish Everywhere</w:t>
            </w:r>
          </w:p>
        </w:tc>
        <w:tc>
          <w:tcPr>
            <w:tcW w:type="dxa" w:w="4997"/>
            <w:vAlign w:val="center"/>
          </w:tcPr>
          <w:p>
            <w:pPr>
              <w:spacing w:after="20"/>
            </w:pPr>
            <w:r/>
            <w:r>
              <w:rPr>
                <w:rFonts w:ascii="Aptos" w:hAnsi="Aptos"/>
                <w:b w:val="0"/>
                <w:sz w:val="15"/>
              </w:rPr>
              <w:t>A content pattern where one authoritative record can be reused in multiple website contexts.</w:t>
            </w:r>
          </w:p>
        </w:tc>
      </w:tr>
    </w:tbl>
    <w:p>
      <w:pPr>
        <w:spacing w:after="0"/>
      </w:pP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Product specification • Version 1.0 •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07C"/>
        <w:sz w:val="14"/>
      </w:rPr>
      <w:t>PRIVATE SCHOOL &amp; COLLEGE DIGITAL WEBSITE PLATFORM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4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D5D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4A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Private School &amp; College Digital Website Platform</dc:title>
  <dc:subject>Multi-tenant School Digital Experience Platform</dc:subject>
  <dc:creator>Product Requirements Team</dc:creator>
  <cp:keywords>SRS, school website, college, multi-tenant, CMS, admissions, requirements</cp:keywords>
  <dc:description>generated by python-docx</dc:description>
  <cp:lastModifiedBy/>
  <cp:revision>1</cp:revision>
  <dcterms:created xsi:type="dcterms:W3CDTF">2013-12-23T23:15:00Z</dcterms:created>
  <dcterms:modified xsi:type="dcterms:W3CDTF">2013-12-23T23:15:00Z</dcterms:modified>
  <cp:category/>
</cp:coreProperties>
</file>