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F3A5F"/>
          <w:sz w:val="40"/>
          <w:szCs w:val="40"/>
        </w:rPr>
        <w:t xml:space="preserve">SOFTWARE REQUIREMENTS SPECIFICATION</w:t>
      </w:r>
    </w:p>
    <w:p>
      <w:pPr>
        <w:spacing w:after="500"/>
        <w:jc w:val="center"/>
      </w:pPr>
      <w:r>
        <w:rPr>
          <w:i/>
          <w:iCs/>
          <w:color w:val="44546A"/>
          <w:sz w:val="24"/>
          <w:szCs w:val="24"/>
        </w:rPr>
        <w:t xml:space="preserve">Multi-Tenant Invoice Management System for Spare Parts Trading Businesses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shd w:fill="EEF1F5" w:val="clear"/>
            <w:tcMar>
              <w:top w:type="dxa" w:w="70"/>
              <w:left w:type="dxa" w:w="90"/>
              <w:bottom w:type="dxa" w:w="70"/>
              <w:right w:type="dxa" w:w="90"/>
            </w:tcMar>
            <w:vAlign w:val="center"/>
          </w:tcPr>
          <w:p>
            <w:pPr>
              <w:jc w:val="left"/>
            </w:pPr>
            <w:r>
              <w:rPr>
                <w:b/>
                <w:bCs/>
                <w:color w:val="000000"/>
                <w:sz w:val="19"/>
                <w:szCs w:val="19"/>
              </w:rPr>
              <w:t xml:space="preserve">Document Version</w:t>
            </w:r>
          </w:p>
        </w:tc>
        <w:tc>
          <w:tcPr>
            <w:tcW w:type="dxa" w:w="3800"/>
            <w:tcMar>
              <w:top w:type="dxa" w:w="70"/>
              <w:left w:type="dxa" w:w="90"/>
              <w:bottom w:type="dxa" w:w="70"/>
              <w:right w:type="dxa" w:w="90"/>
            </w:tcMar>
            <w:vAlign w:val="center"/>
          </w:tcPr>
          <w:p>
            <w:pPr>
              <w:jc w:val="left"/>
            </w:pPr>
            <w:r>
              <w:rPr>
                <w:b w:val="false"/>
                <w:bCs w:val="false"/>
                <w:color w:val="000000"/>
                <w:sz w:val="19"/>
                <w:szCs w:val="19"/>
              </w:rPr>
              <w:t xml:space="preserve">1.0</w:t>
            </w:r>
          </w:p>
        </w:tc>
      </w:tr>
      <w:tr>
        <w:tc>
          <w:tcPr>
            <w:tcW w:type="dxa" w:w="2200"/>
            <w:shd w:fill="EEF1F5" w:val="clear"/>
            <w:tcMar>
              <w:top w:type="dxa" w:w="70"/>
              <w:left w:type="dxa" w:w="90"/>
              <w:bottom w:type="dxa" w:w="70"/>
              <w:right w:type="dxa" w:w="90"/>
            </w:tcMar>
            <w:vAlign w:val="center"/>
          </w:tcPr>
          <w:p>
            <w:pPr>
              <w:jc w:val="left"/>
            </w:pPr>
            <w:r>
              <w:rPr>
                <w:b/>
                <w:bCs/>
                <w:color w:val="000000"/>
                <w:sz w:val="19"/>
                <w:szCs w:val="19"/>
              </w:rPr>
              <w:t xml:space="preserve">Date</w:t>
            </w:r>
          </w:p>
        </w:tc>
        <w:tc>
          <w:tcPr>
            <w:tcW w:type="dxa" w:w="3800"/>
            <w:tcMar>
              <w:top w:type="dxa" w:w="70"/>
              <w:left w:type="dxa" w:w="90"/>
              <w:bottom w:type="dxa" w:w="70"/>
              <w:right w:type="dxa" w:w="90"/>
            </w:tcMar>
            <w:vAlign w:val="center"/>
          </w:tcPr>
          <w:p>
            <w:pPr>
              <w:jc w:val="left"/>
            </w:pPr>
            <w:r>
              <w:rPr>
                <w:b w:val="false"/>
                <w:bCs w:val="false"/>
                <w:color w:val="000000"/>
                <w:sz w:val="19"/>
                <w:szCs w:val="19"/>
              </w:rPr>
              <w:t xml:space="preserve">27 August 2026</w:t>
            </w:r>
          </w:p>
        </w:tc>
      </w:tr>
      <w:tr>
        <w:tc>
          <w:tcPr>
            <w:tcW w:type="dxa" w:w="2200"/>
            <w:shd w:fill="EEF1F5" w:val="clear"/>
            <w:tcMar>
              <w:top w:type="dxa" w:w="70"/>
              <w:left w:type="dxa" w:w="90"/>
              <w:bottom w:type="dxa" w:w="70"/>
              <w:right w:type="dxa" w:w="90"/>
            </w:tcMar>
            <w:vAlign w:val="center"/>
          </w:tcPr>
          <w:p>
            <w:pPr>
              <w:jc w:val="left"/>
            </w:pPr>
            <w:r>
              <w:rPr>
                <w:b/>
                <w:bCs/>
                <w:color w:val="000000"/>
                <w:sz w:val="19"/>
                <w:szCs w:val="19"/>
              </w:rPr>
              <w:t xml:space="preserve">Status</w:t>
            </w:r>
          </w:p>
        </w:tc>
        <w:tc>
          <w:tcPr>
            <w:tcW w:type="dxa" w:w="3800"/>
            <w:tcMar>
              <w:top w:type="dxa" w:w="70"/>
              <w:left w:type="dxa" w:w="90"/>
              <w:bottom w:type="dxa" w:w="70"/>
              <w:right w:type="dxa" w:w="90"/>
            </w:tcMar>
            <w:vAlign w:val="center"/>
          </w:tcPr>
          <w:p>
            <w:pPr>
              <w:jc w:val="left"/>
            </w:pPr>
            <w:r>
              <w:rPr>
                <w:b w:val="false"/>
                <w:bCs w:val="false"/>
                <w:color w:val="000000"/>
                <w:sz w:val="19"/>
                <w:szCs w:val="19"/>
              </w:rPr>
              <w:t xml:space="preserve">Draft — for client review</w:t>
            </w:r>
          </w:p>
        </w:tc>
      </w:tr>
      <w:tr>
        <w:tc>
          <w:tcPr>
            <w:tcW w:type="dxa" w:w="2200"/>
            <w:shd w:fill="EEF1F5" w:val="clear"/>
            <w:tcMar>
              <w:top w:type="dxa" w:w="70"/>
              <w:left w:type="dxa" w:w="90"/>
              <w:bottom w:type="dxa" w:w="70"/>
              <w:right w:type="dxa" w:w="90"/>
            </w:tcMar>
            <w:vAlign w:val="center"/>
          </w:tcPr>
          <w:p>
            <w:pPr>
              <w:jc w:val="left"/>
            </w:pPr>
            <w:r>
              <w:rPr>
                <w:b/>
                <w:bCs/>
                <w:color w:val="000000"/>
                <w:sz w:val="19"/>
                <w:szCs w:val="19"/>
              </w:rPr>
              <w:t xml:space="preserve">Standard Reference</w:t>
            </w:r>
          </w:p>
        </w:tc>
        <w:tc>
          <w:tcPr>
            <w:tcW w:type="dxa" w:w="3800"/>
            <w:tcMar>
              <w:top w:type="dxa" w:w="70"/>
              <w:left w:type="dxa" w:w="90"/>
              <w:bottom w:type="dxa" w:w="70"/>
              <w:right w:type="dxa" w:w="90"/>
            </w:tcMar>
            <w:vAlign w:val="center"/>
          </w:tcPr>
          <w:p>
            <w:pPr>
              <w:jc w:val="left"/>
            </w:pPr>
            <w:r>
              <w:rPr>
                <w:b w:val="false"/>
                <w:bCs w:val="false"/>
                <w:color w:val="000000"/>
                <w:sz w:val="19"/>
                <w:szCs w:val="19"/>
              </w:rPr>
              <w:t xml:space="preserve">Structured per IEEE 830 conventions</w:t>
            </w:r>
          </w:p>
        </w:tc>
      </w:tr>
    </w:tbl>
    <w:p>
      <w:pPr>
        <w:spacing w:after="3200"/>
      </w:pPr>
    </w:p>
    <w:p>
      <w:pPr>
        <w:pStyle w:val="Heading1"/>
        <w:spacing w:after="160" w:before="420"/>
      </w:pPr>
      <w:r>
        <w:rPr>
          <w:b/>
          <w:bCs/>
          <w:color w:val="1F3A5F"/>
          <w:sz w:val="30"/>
          <w:szCs w:val="30"/>
        </w:rPr>
        <w:t xml:space="preserve">1 Introduction</w:t>
      </w:r>
    </w:p>
    <w:p>
      <w:pPr>
        <w:pStyle w:val="Heading2"/>
        <w:spacing w:after="120" w:before="260"/>
      </w:pPr>
      <w:r>
        <w:rPr>
          <w:b/>
          <w:bCs/>
          <w:color w:val="1F3A5F"/>
          <w:sz w:val="24"/>
          <w:szCs w:val="24"/>
        </w:rPr>
        <w:t xml:space="preserve">1.1 Purpose</w:t>
      </w:r>
    </w:p>
    <w:p>
      <w:pPr>
        <w:spacing w:after="120" w:line="300"/>
      </w:pPr>
      <w:r>
        <w:rPr>
          <w:sz w:val="21"/>
          <w:szCs w:val="21"/>
        </w:rPr>
        <w:t xml:space="preserve">This document specifies the functional and non-functional requirements for a multi-tenant, cloud-based Invoice Management SaaS. The system replaces a manual Microsoft Word based invoicing process used by a spare parts trading business (air compressor and oxygen plant components) and is designed to be deployed for 3–4 independent client companies from a single codebase.</w:t>
      </w:r>
    </w:p>
    <w:p>
      <w:pPr>
        <w:pStyle w:val="Heading2"/>
        <w:spacing w:after="120" w:before="260"/>
      </w:pPr>
      <w:r>
        <w:rPr>
          <w:b/>
          <w:bCs/>
          <w:color w:val="1F3A5F"/>
          <w:sz w:val="24"/>
          <w:szCs w:val="24"/>
        </w:rPr>
        <w:t xml:space="preserve">1.2 Scope</w:t>
      </w:r>
    </w:p>
    <w:p>
      <w:pPr>
        <w:spacing w:after="120" w:line="300"/>
      </w:pPr>
      <w:r>
        <w:rPr>
          <w:sz w:val="21"/>
          <w:szCs w:val="21"/>
        </w:rPr>
        <w:t xml:space="preserve">The system shall allow authorized users to maintain a master catalog of products (with HSN codes), maintain a history of manufacturer purchase rates, maintain a client (buyer) directory, and generate GST-compliant invoices and shipping labels as downloadable/printable PDF documents. The system shall support multiple independently branded company tenants, each with its own invoice numbering sequence and template. The system shall be accessible via a mobile-friendly web interface (PWA) usable under weak network conditions.</w:t>
      </w:r>
    </w:p>
    <w:p>
      <w:pPr>
        <w:spacing w:after="120" w:line="300"/>
      </w:pPr>
      <w:r>
        <w:rPr>
          <w:sz w:val="21"/>
          <w:szCs w:val="21"/>
        </w:rPr>
        <w:t xml:space="preserve">Out of scope for this specification: inventory/stock management (explicitly not required by the business model), payment gateway integration, and accounting/ledger reconciliation beyond invoice and rate records.</w:t>
      </w:r>
    </w:p>
    <w:p>
      <w:pPr>
        <w:pStyle w:val="Heading2"/>
        <w:spacing w:after="120" w:before="260"/>
      </w:pPr>
      <w:r>
        <w:rPr>
          <w:b/>
          <w:bCs/>
          <w:color w:val="1F3A5F"/>
          <w:sz w:val="24"/>
          <w:szCs w:val="24"/>
        </w:rPr>
        <w:t xml:space="preserve">1.3 Intended Audience</w:t>
      </w:r>
    </w:p>
    <w:p>
      <w:pPr>
        <w:pStyle w:val="ListParagraph"/>
        <w:numPr>
          <w:ilvl w:val="0"/>
          <w:numId w:val="2"/>
        </w:numPr>
        <w:spacing w:after="60" w:line="280"/>
      </w:pPr>
      <w:r>
        <w:rPr>
          <w:b w:val="false"/>
          <w:bCs w:val="false"/>
          <w:sz w:val="21"/>
          <w:szCs w:val="21"/>
        </w:rPr>
        <w:t xml:space="preserve">Development team — as the basis for design and implementation</w:t>
      </w:r>
    </w:p>
    <w:p>
      <w:pPr>
        <w:pStyle w:val="ListParagraph"/>
        <w:numPr>
          <w:ilvl w:val="0"/>
          <w:numId w:val="2"/>
        </w:numPr>
        <w:spacing w:after="60" w:line="280"/>
      </w:pPr>
      <w:r>
        <w:rPr>
          <w:b w:val="false"/>
          <w:bCs w:val="false"/>
          <w:sz w:val="21"/>
          <w:szCs w:val="21"/>
        </w:rPr>
        <w:t xml:space="preserve">Client stakeholders — to validate that requirements match business needs before build</w:t>
      </w:r>
    </w:p>
    <w:p>
      <w:pPr>
        <w:pStyle w:val="ListParagraph"/>
        <w:numPr>
          <w:ilvl w:val="0"/>
          <w:numId w:val="2"/>
        </w:numPr>
        <w:spacing w:after="60" w:line="280"/>
      </w:pPr>
      <w:r>
        <w:rPr>
          <w:b w:val="false"/>
          <w:bCs w:val="false"/>
          <w:sz w:val="21"/>
          <w:szCs w:val="21"/>
        </w:rPr>
        <w:t xml:space="preserve">QA — as the basis for test case derivation</w:t>
      </w:r>
    </w:p>
    <w:p>
      <w:pPr>
        <w:pStyle w:val="Heading2"/>
        <w:spacing w:after="120" w:before="260"/>
      </w:pPr>
      <w:r>
        <w:rPr>
          <w:b/>
          <w:bCs/>
          <w:color w:val="1F3A5F"/>
          <w:sz w:val="24"/>
          <w:szCs w:val="24"/>
        </w:rPr>
        <w:t xml:space="preserve">1.4 Definitions, Acronyms, and Abbreviations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1F3A5F" w:val="clear"/>
            <w:tcMar>
              <w:top w:type="dxa" w:w="70"/>
              <w:left w:type="dxa" w:w="90"/>
              <w:bottom w:type="dxa" w:w="70"/>
              <w:right w:type="dxa" w:w="90"/>
            </w:tcMar>
            <w:vAlign w:val="center"/>
          </w:tcPr>
          <w:p>
            <w:pPr>
              <w:jc w:val="left"/>
            </w:pPr>
            <w:r>
              <w:rPr>
                <w:b/>
                <w:bCs/>
                <w:color w:val="FFFFFF"/>
                <w:sz w:val="19"/>
                <w:szCs w:val="19"/>
              </w:rPr>
              <w:t xml:space="preserve">Term</w:t>
            </w:r>
          </w:p>
        </w:tc>
        <w:tc>
          <w:tcPr>
            <w:tcW w:type="dxa" w:w="7800"/>
            <w:shd w:fill="1F3A5F" w:val="clear"/>
            <w:tcMar>
              <w:top w:type="dxa" w:w="70"/>
              <w:left w:type="dxa" w:w="90"/>
              <w:bottom w:type="dxa" w:w="70"/>
              <w:right w:type="dxa" w:w="90"/>
            </w:tcMar>
            <w:vAlign w:val="center"/>
          </w:tcPr>
          <w:p>
            <w:pPr>
              <w:jc w:val="left"/>
            </w:pPr>
            <w:r>
              <w:rPr>
                <w:b/>
                <w:bCs/>
                <w:color w:val="FFFFFF"/>
                <w:sz w:val="19"/>
                <w:szCs w:val="19"/>
              </w:rPr>
              <w:t xml:space="preserve">Definition</w:t>
            </w:r>
          </w:p>
        </w:tc>
      </w:tr>
      <w:tr>
        <w:tc>
          <w:tcPr>
            <w:tcW w:type="dxa" w:w="2400"/>
            <w:shd w:fill="FFFFFF" w:val="clear"/>
            <w:tcMar>
              <w:top w:type="dxa" w:w="70"/>
              <w:left w:type="dxa" w:w="90"/>
              <w:bottom w:type="dxa" w:w="70"/>
              <w:right w:type="dxa" w:w="90"/>
            </w:tcMar>
            <w:vAlign w:val="center"/>
          </w:tcPr>
          <w:p>
            <w:pPr>
              <w:jc w:val="left"/>
            </w:pPr>
            <w:r>
              <w:rPr>
                <w:b w:val="false"/>
                <w:bCs w:val="false"/>
                <w:color w:val="000000"/>
                <w:sz w:val="19"/>
                <w:szCs w:val="19"/>
              </w:rPr>
              <w:t xml:space="preserve">HSN Code</w:t>
            </w:r>
          </w:p>
        </w:tc>
        <w:tc>
          <w:tcPr>
            <w:tcW w:type="dxa" w:w="7800"/>
            <w:shd w:fill="FFFFFF" w:val="clear"/>
            <w:tcMar>
              <w:top w:type="dxa" w:w="70"/>
              <w:left w:type="dxa" w:w="90"/>
              <w:bottom w:type="dxa" w:w="70"/>
              <w:right w:type="dxa" w:w="90"/>
            </w:tcMar>
            <w:vAlign w:val="center"/>
          </w:tcPr>
          <w:p>
            <w:pPr>
              <w:jc w:val="left"/>
            </w:pPr>
            <w:r>
              <w:rPr>
                <w:b w:val="false"/>
                <w:bCs w:val="false"/>
                <w:color w:val="000000"/>
                <w:sz w:val="19"/>
                <w:szCs w:val="19"/>
              </w:rPr>
              <w:t xml:space="preserve">Harmonized System of Nomenclature code; classifies goods for GST purposes</w:t>
            </w:r>
          </w:p>
        </w:tc>
      </w:tr>
      <w:tr>
        <w:tc>
          <w:tcPr>
            <w:tcW w:type="dxa" w:w="2400"/>
            <w:shd w:fill="EEF1F5" w:val="clear"/>
            <w:tcMar>
              <w:top w:type="dxa" w:w="70"/>
              <w:left w:type="dxa" w:w="90"/>
              <w:bottom w:type="dxa" w:w="70"/>
              <w:right w:type="dxa" w:w="90"/>
            </w:tcMar>
            <w:vAlign w:val="center"/>
          </w:tcPr>
          <w:p>
            <w:pPr>
              <w:jc w:val="left"/>
            </w:pPr>
            <w:r>
              <w:rPr>
                <w:b w:val="false"/>
                <w:bCs w:val="false"/>
                <w:color w:val="000000"/>
                <w:sz w:val="19"/>
                <w:szCs w:val="19"/>
              </w:rPr>
              <w:t xml:space="preserve">GST</w:t>
            </w:r>
          </w:p>
        </w:tc>
        <w:tc>
          <w:tcPr>
            <w:tcW w:type="dxa" w:w="7800"/>
            <w:shd w:fill="EEF1F5" w:val="clear"/>
            <w:tcMar>
              <w:top w:type="dxa" w:w="70"/>
              <w:left w:type="dxa" w:w="90"/>
              <w:bottom w:type="dxa" w:w="70"/>
              <w:right w:type="dxa" w:w="90"/>
            </w:tcMar>
            <w:vAlign w:val="center"/>
          </w:tcPr>
          <w:p>
            <w:pPr>
              <w:jc w:val="left"/>
            </w:pPr>
            <w:r>
              <w:rPr>
                <w:b w:val="false"/>
                <w:bCs w:val="false"/>
                <w:color w:val="000000"/>
                <w:sz w:val="19"/>
                <w:szCs w:val="19"/>
              </w:rPr>
              <w:t xml:space="preserve">Goods and Services Tax (India)</w:t>
            </w:r>
          </w:p>
        </w:tc>
      </w:tr>
      <w:tr>
        <w:tc>
          <w:tcPr>
            <w:tcW w:type="dxa" w:w="2400"/>
            <w:shd w:fill="FFFFFF" w:val="clear"/>
            <w:tcMar>
              <w:top w:type="dxa" w:w="70"/>
              <w:left w:type="dxa" w:w="90"/>
              <w:bottom w:type="dxa" w:w="70"/>
              <w:right w:type="dxa" w:w="90"/>
            </w:tcMar>
            <w:vAlign w:val="center"/>
          </w:tcPr>
          <w:p>
            <w:pPr>
              <w:jc w:val="left"/>
            </w:pPr>
            <w:r>
              <w:rPr>
                <w:b w:val="false"/>
                <w:bCs w:val="false"/>
                <w:color w:val="000000"/>
                <w:sz w:val="19"/>
                <w:szCs w:val="19"/>
              </w:rPr>
              <w:t xml:space="preserve">CGST / SGST</w:t>
            </w:r>
          </w:p>
        </w:tc>
        <w:tc>
          <w:tcPr>
            <w:tcW w:type="dxa" w:w="7800"/>
            <w:shd w:fill="FFFFFF" w:val="clear"/>
            <w:tcMar>
              <w:top w:type="dxa" w:w="70"/>
              <w:left w:type="dxa" w:w="90"/>
              <w:bottom w:type="dxa" w:w="70"/>
              <w:right w:type="dxa" w:w="90"/>
            </w:tcMar>
            <w:vAlign w:val="center"/>
          </w:tcPr>
          <w:p>
            <w:pPr>
              <w:jc w:val="left"/>
            </w:pPr>
            <w:r>
              <w:rPr>
                <w:b w:val="false"/>
                <w:bCs w:val="false"/>
                <w:color w:val="000000"/>
                <w:sz w:val="19"/>
                <w:szCs w:val="19"/>
              </w:rPr>
              <w:t xml:space="preserve">Central/State GST, applied on intra-state (same-state) sales</w:t>
            </w:r>
          </w:p>
        </w:tc>
      </w:tr>
      <w:tr>
        <w:tc>
          <w:tcPr>
            <w:tcW w:type="dxa" w:w="2400"/>
            <w:shd w:fill="EEF1F5" w:val="clear"/>
            <w:tcMar>
              <w:top w:type="dxa" w:w="70"/>
              <w:left w:type="dxa" w:w="90"/>
              <w:bottom w:type="dxa" w:w="70"/>
              <w:right w:type="dxa" w:w="90"/>
            </w:tcMar>
            <w:vAlign w:val="center"/>
          </w:tcPr>
          <w:p>
            <w:pPr>
              <w:jc w:val="left"/>
            </w:pPr>
            <w:r>
              <w:rPr>
                <w:b w:val="false"/>
                <w:bCs w:val="false"/>
                <w:color w:val="000000"/>
                <w:sz w:val="19"/>
                <w:szCs w:val="19"/>
              </w:rPr>
              <w:t xml:space="preserve">IGST</w:t>
            </w:r>
          </w:p>
        </w:tc>
        <w:tc>
          <w:tcPr>
            <w:tcW w:type="dxa" w:w="7800"/>
            <w:shd w:fill="EEF1F5" w:val="clear"/>
            <w:tcMar>
              <w:top w:type="dxa" w:w="70"/>
              <w:left w:type="dxa" w:w="90"/>
              <w:bottom w:type="dxa" w:w="70"/>
              <w:right w:type="dxa" w:w="90"/>
            </w:tcMar>
            <w:vAlign w:val="center"/>
          </w:tcPr>
          <w:p>
            <w:pPr>
              <w:jc w:val="left"/>
            </w:pPr>
            <w:r>
              <w:rPr>
                <w:b w:val="false"/>
                <w:bCs w:val="false"/>
                <w:color w:val="000000"/>
                <w:sz w:val="19"/>
                <w:szCs w:val="19"/>
              </w:rPr>
              <w:t xml:space="preserve">Integrated GST, applied on inter-state sales</w:t>
            </w:r>
          </w:p>
        </w:tc>
      </w:tr>
      <w:tr>
        <w:tc>
          <w:tcPr>
            <w:tcW w:type="dxa" w:w="2400"/>
            <w:shd w:fill="FFFFFF" w:val="clear"/>
            <w:tcMar>
              <w:top w:type="dxa" w:w="70"/>
              <w:left w:type="dxa" w:w="90"/>
              <w:bottom w:type="dxa" w:w="70"/>
              <w:right w:type="dxa" w:w="90"/>
            </w:tcMar>
            <w:vAlign w:val="center"/>
          </w:tcPr>
          <w:p>
            <w:pPr>
              <w:jc w:val="left"/>
            </w:pPr>
            <w:r>
              <w:rPr>
                <w:b w:val="false"/>
                <w:bCs w:val="false"/>
                <w:color w:val="000000"/>
                <w:sz w:val="19"/>
                <w:szCs w:val="19"/>
              </w:rPr>
              <w:t xml:space="preserve">GSTIN</w:t>
            </w:r>
          </w:p>
        </w:tc>
        <w:tc>
          <w:tcPr>
            <w:tcW w:type="dxa" w:w="7800"/>
            <w:shd w:fill="FFFFFF" w:val="clear"/>
            <w:tcMar>
              <w:top w:type="dxa" w:w="70"/>
              <w:left w:type="dxa" w:w="90"/>
              <w:bottom w:type="dxa" w:w="70"/>
              <w:right w:type="dxa" w:w="90"/>
            </w:tcMar>
            <w:vAlign w:val="center"/>
          </w:tcPr>
          <w:p>
            <w:pPr>
              <w:jc w:val="left"/>
            </w:pPr>
            <w:r>
              <w:rPr>
                <w:b w:val="false"/>
                <w:bCs w:val="false"/>
                <w:color w:val="000000"/>
                <w:sz w:val="19"/>
                <w:szCs w:val="19"/>
              </w:rPr>
              <w:t xml:space="preserve">GST Identification Number, unique per registered business</w:t>
            </w:r>
          </w:p>
        </w:tc>
      </w:tr>
      <w:tr>
        <w:tc>
          <w:tcPr>
            <w:tcW w:type="dxa" w:w="2400"/>
            <w:shd w:fill="EEF1F5" w:val="clear"/>
            <w:tcMar>
              <w:top w:type="dxa" w:w="70"/>
              <w:left w:type="dxa" w:w="90"/>
              <w:bottom w:type="dxa" w:w="70"/>
              <w:right w:type="dxa" w:w="90"/>
            </w:tcMar>
            <w:vAlign w:val="center"/>
          </w:tcPr>
          <w:p>
            <w:pPr>
              <w:jc w:val="left"/>
            </w:pPr>
            <w:r>
              <w:rPr>
                <w:b w:val="false"/>
                <w:bCs w:val="false"/>
                <w:color w:val="000000"/>
                <w:sz w:val="19"/>
                <w:szCs w:val="19"/>
              </w:rPr>
              <w:t xml:space="preserve">IRN</w:t>
            </w:r>
          </w:p>
        </w:tc>
        <w:tc>
          <w:tcPr>
            <w:tcW w:type="dxa" w:w="7800"/>
            <w:shd w:fill="EEF1F5" w:val="clear"/>
            <w:tcMar>
              <w:top w:type="dxa" w:w="70"/>
              <w:left w:type="dxa" w:w="90"/>
              <w:bottom w:type="dxa" w:w="70"/>
              <w:right w:type="dxa" w:w="90"/>
            </w:tcMar>
            <w:vAlign w:val="center"/>
          </w:tcPr>
          <w:p>
            <w:pPr>
              <w:jc w:val="left"/>
            </w:pPr>
            <w:r>
              <w:rPr>
                <w:b w:val="false"/>
                <w:bCs w:val="false"/>
                <w:color w:val="000000"/>
                <w:sz w:val="19"/>
                <w:szCs w:val="19"/>
              </w:rPr>
              <w:t xml:space="preserve">Invoice Reference Number, issued by the government for e-invoicing</w:t>
            </w:r>
          </w:p>
        </w:tc>
      </w:tr>
      <w:tr>
        <w:tc>
          <w:tcPr>
            <w:tcW w:type="dxa" w:w="2400"/>
            <w:shd w:fill="FFFFFF" w:val="clear"/>
            <w:tcMar>
              <w:top w:type="dxa" w:w="70"/>
              <w:left w:type="dxa" w:w="90"/>
              <w:bottom w:type="dxa" w:w="70"/>
              <w:right w:type="dxa" w:w="90"/>
            </w:tcMar>
            <w:vAlign w:val="center"/>
          </w:tcPr>
          <w:p>
            <w:pPr>
              <w:jc w:val="left"/>
            </w:pPr>
            <w:r>
              <w:rPr>
                <w:b w:val="false"/>
                <w:bCs w:val="false"/>
                <w:color w:val="000000"/>
                <w:sz w:val="19"/>
                <w:szCs w:val="19"/>
              </w:rPr>
              <w:t xml:space="preserve">GSP</w:t>
            </w:r>
          </w:p>
        </w:tc>
        <w:tc>
          <w:tcPr>
            <w:tcW w:type="dxa" w:w="7800"/>
            <w:shd w:fill="FFFFFF" w:val="clear"/>
            <w:tcMar>
              <w:top w:type="dxa" w:w="70"/>
              <w:left w:type="dxa" w:w="90"/>
              <w:bottom w:type="dxa" w:w="70"/>
              <w:right w:type="dxa" w:w="90"/>
            </w:tcMar>
            <w:vAlign w:val="center"/>
          </w:tcPr>
          <w:p>
            <w:pPr>
              <w:jc w:val="left"/>
            </w:pPr>
            <w:r>
              <w:rPr>
                <w:b w:val="false"/>
                <w:bCs w:val="false"/>
                <w:color w:val="000000"/>
                <w:sz w:val="19"/>
                <w:szCs w:val="19"/>
              </w:rPr>
              <w:t xml:space="preserve">GST Suvidha Provider — authorized third-party API for e-invoice/IRN generation</w:t>
            </w:r>
          </w:p>
        </w:tc>
      </w:tr>
      <w:tr>
        <w:tc>
          <w:tcPr>
            <w:tcW w:type="dxa" w:w="24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Tenant</w:t>
            </w:r>
          </w:p>
        </w:tc>
        <w:tc>
          <w:tcPr>
            <w:tcW w:type="dxa" w:w="7800"/>
            <w:shd w:fill="EEF1F5" w:val="clear"/>
            <w:tcMar>
              <w:top w:type="dxa" w:w="70"/>
              <w:left w:type="dxa" w:w="90"/>
              <w:bottom w:type="dxa" w:w="70"/>
              <w:right w:type="dxa" w:w="90"/>
            </w:tcMar>
            <w:vAlign w:val="center"/>
          </w:tcPr>
          <w:p>
            <w:pPr>
              <w:jc w:val="left"/>
            </w:pPr>
            <w:r>
              <w:rPr>
                <w:b w:val="false"/>
                <w:bCs w:val="false"/>
                <w:color w:val="000000"/>
                <w:sz w:val="19"/>
                <w:szCs w:val="19"/>
              </w:rPr>
              <w:t xml:space="preserve">One of the independent companies using the platform</w:t>
            </w:r>
          </w:p>
        </w:tc>
      </w:tr>
      <w:tr>
        <w:tc>
          <w:tcPr>
            <w:tcW w:type="dxa" w:w="2400"/>
            <w:shd w:fill="FFFFFF" w:val="clear"/>
            <w:tcMar>
              <w:top w:type="dxa" w:w="70"/>
              <w:left w:type="dxa" w:w="90"/>
              <w:bottom w:type="dxa" w:w="70"/>
              <w:right w:type="dxa" w:w="90"/>
            </w:tcMar>
            <w:vAlign w:val="center"/>
          </w:tcPr>
          <w:p>
            <w:pPr>
              <w:jc w:val="left"/>
            </w:pPr>
            <w:r>
              <w:rPr>
                <w:b w:val="false"/>
                <w:bCs w:val="false"/>
                <w:color w:val="000000"/>
                <w:sz w:val="19"/>
                <w:szCs w:val="19"/>
              </w:rPr>
              <w:t xml:space="preserve">PWA</w:t>
            </w:r>
          </w:p>
        </w:tc>
        <w:tc>
          <w:tcPr>
            <w:tcW w:type="dxa" w:w="7800"/>
            <w:shd w:fill="FFFFFF" w:val="clear"/>
            <w:tcMar>
              <w:top w:type="dxa" w:w="70"/>
              <w:left w:type="dxa" w:w="90"/>
              <w:bottom w:type="dxa" w:w="70"/>
              <w:right w:type="dxa" w:w="90"/>
            </w:tcMar>
            <w:vAlign w:val="center"/>
          </w:tcPr>
          <w:p>
            <w:pPr>
              <w:jc w:val="left"/>
            </w:pPr>
            <w:r>
              <w:rPr>
                <w:b w:val="false"/>
                <w:bCs w:val="false"/>
                <w:color w:val="000000"/>
                <w:sz w:val="19"/>
                <w:szCs w:val="19"/>
              </w:rPr>
              <w:t xml:space="preserve">Progressive Web App — installable web app with offline-caching capability</w:t>
            </w:r>
          </w:p>
        </w:tc>
      </w:tr>
      <w:tr>
        <w:tc>
          <w:tcPr>
            <w:tcW w:type="dxa" w:w="2400"/>
            <w:shd w:fill="EEF1F5" w:val="clear"/>
            <w:tcMar>
              <w:top w:type="dxa" w:w="70"/>
              <w:left w:type="dxa" w:w="90"/>
              <w:bottom w:type="dxa" w:w="70"/>
              <w:right w:type="dxa" w:w="90"/>
            </w:tcMar>
            <w:vAlign w:val="center"/>
          </w:tcPr>
          <w:p>
            <w:pPr>
              <w:jc w:val="left"/>
            </w:pPr>
            <w:r>
              <w:rPr>
                <w:b w:val="false"/>
                <w:bCs w:val="false"/>
                <w:color w:val="000000"/>
                <w:sz w:val="19"/>
                <w:szCs w:val="19"/>
              </w:rPr>
              <w:t xml:space="preserve">SRS</w:t>
            </w:r>
          </w:p>
        </w:tc>
        <w:tc>
          <w:tcPr>
            <w:tcW w:type="dxa" w:w="7800"/>
            <w:shd w:fill="EEF1F5" w:val="clear"/>
            <w:tcMar>
              <w:top w:type="dxa" w:w="70"/>
              <w:left w:type="dxa" w:w="90"/>
              <w:bottom w:type="dxa" w:w="70"/>
              <w:right w:type="dxa" w:w="90"/>
            </w:tcMar>
            <w:vAlign w:val="center"/>
          </w:tcPr>
          <w:p>
            <w:pPr>
              <w:jc w:val="left"/>
            </w:pPr>
            <w:r>
              <w:rPr>
                <w:b w:val="false"/>
                <w:bCs w:val="false"/>
                <w:color w:val="000000"/>
                <w:sz w:val="19"/>
                <w:szCs w:val="19"/>
              </w:rPr>
              <w:t xml:space="preserve">Software Requirements Specification (this document)</w:t>
            </w:r>
          </w:p>
        </w:tc>
      </w:tr>
    </w:tbl>
    <w:p>
      <w:pPr>
        <w:pStyle w:val="Heading2"/>
        <w:spacing w:after="120" w:before="260"/>
      </w:pPr>
      <w:r>
        <w:rPr>
          <w:b/>
          <w:bCs/>
          <w:color w:val="1F3A5F"/>
          <w:sz w:val="24"/>
          <w:szCs w:val="24"/>
        </w:rPr>
        <w:t xml:space="preserve">1.5 References</w:t>
      </w:r>
    </w:p>
    <w:p>
      <w:pPr>
        <w:pStyle w:val="ListParagraph"/>
        <w:numPr>
          <w:ilvl w:val="0"/>
          <w:numId w:val="2"/>
        </w:numPr>
        <w:spacing w:after="60" w:line="280"/>
      </w:pPr>
      <w:r>
        <w:rPr>
          <w:b w:val="false"/>
          <w:bCs w:val="false"/>
          <w:sz w:val="21"/>
          <w:szCs w:val="21"/>
        </w:rPr>
        <w:t xml:space="preserve">Scope &amp; Feasibility Document — Invoice Management SaaS (companion document, v1)</w:t>
      </w:r>
    </w:p>
    <w:p>
      <w:pPr>
        <w:pStyle w:val="ListParagraph"/>
        <w:numPr>
          <w:ilvl w:val="0"/>
          <w:numId w:val="2"/>
        </w:numPr>
        <w:spacing w:after="60" w:line="280"/>
      </w:pPr>
      <w:r>
        <w:rPr>
          <w:b w:val="false"/>
          <w:bCs w:val="false"/>
          <w:sz w:val="21"/>
          <w:szCs w:val="21"/>
        </w:rPr>
        <w:t xml:space="preserve">GST e-invoicing rules — as published by the Goods and Services Tax Network (GSTN), applicable turnover threshold to be reconfirmed at build time as it is subject to government revision</w:t>
      </w:r>
    </w:p>
    <w:p>
      <w:pPr>
        <w:pStyle w:val="Heading1"/>
        <w:spacing w:after="160" w:before="420"/>
      </w:pPr>
      <w:r>
        <w:rPr>
          <w:b/>
          <w:bCs/>
          <w:color w:val="1F3A5F"/>
          <w:sz w:val="30"/>
          <w:szCs w:val="30"/>
        </w:rPr>
        <w:t xml:space="preserve">2 Overall Description</w:t>
      </w:r>
    </w:p>
    <w:p>
      <w:pPr>
        <w:pStyle w:val="Heading2"/>
        <w:spacing w:after="120" w:before="260"/>
      </w:pPr>
      <w:r>
        <w:rPr>
          <w:b/>
          <w:bCs/>
          <w:color w:val="1F3A5F"/>
          <w:sz w:val="24"/>
          <w:szCs w:val="24"/>
        </w:rPr>
        <w:t xml:space="preserve">2.1 Product Perspective</w:t>
      </w:r>
    </w:p>
    <w:p>
      <w:pPr>
        <w:spacing w:after="120" w:line="300"/>
      </w:pPr>
      <w:r>
        <w:rPr>
          <w:sz w:val="21"/>
          <w:szCs w:val="21"/>
        </w:rPr>
        <w:t xml:space="preserve">This is a new, standalone, cloud-hosted product. It is not an extension of an existing system. It replaces an entirely manual, offline (Word + calculator) process. The system is multi-tenant: a single deployment serves 3–4 companies, each with logically isolated data.</w:t>
      </w:r>
    </w:p>
    <w:p>
      <w:pPr>
        <w:pStyle w:val="Heading2"/>
        <w:spacing w:after="120" w:before="260"/>
      </w:pPr>
      <w:r>
        <w:rPr>
          <w:b/>
          <w:bCs/>
          <w:color w:val="1F3A5F"/>
          <w:sz w:val="24"/>
          <w:szCs w:val="24"/>
        </w:rPr>
        <w:t xml:space="preserve">2.2 User Classes and Characteristics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1F3A5F" w:val="clear"/>
            <w:tcMar>
              <w:top w:type="dxa" w:w="70"/>
              <w:left w:type="dxa" w:w="90"/>
              <w:bottom w:type="dxa" w:w="70"/>
              <w:right w:type="dxa" w:w="90"/>
            </w:tcMar>
            <w:vAlign w:val="center"/>
          </w:tcPr>
          <w:p>
            <w:pPr>
              <w:jc w:val="left"/>
            </w:pPr>
            <w:r>
              <w:rPr>
                <w:b/>
                <w:bCs/>
                <w:color w:val="FFFFFF"/>
                <w:sz w:val="19"/>
                <w:szCs w:val="19"/>
              </w:rPr>
              <w:t xml:space="preserve">User Class</w:t>
            </w:r>
          </w:p>
        </w:tc>
        <w:tc>
          <w:tcPr>
            <w:tcW w:type="dxa" w:w="7800"/>
            <w:shd w:fill="1F3A5F" w:val="clear"/>
            <w:tcMar>
              <w:top w:type="dxa" w:w="70"/>
              <w:left w:type="dxa" w:w="90"/>
              <w:bottom w:type="dxa" w:w="70"/>
              <w:right w:type="dxa" w:w="90"/>
            </w:tcMar>
            <w:vAlign w:val="center"/>
          </w:tcPr>
          <w:p>
            <w:pPr>
              <w:jc w:val="left"/>
            </w:pPr>
            <w:r>
              <w:rPr>
                <w:b/>
                <w:bCs/>
                <w:color w:val="FFFFFF"/>
                <w:sz w:val="19"/>
                <w:szCs w:val="19"/>
              </w:rPr>
              <w:t xml:space="preserve">Characteristics</w:t>
            </w:r>
          </w:p>
        </w:tc>
      </w:tr>
      <w:tr>
        <w:tc>
          <w:tcPr>
            <w:tcW w:type="dxa" w:w="2400"/>
            <w:shd w:fill="FFFFFF" w:val="clear"/>
            <w:tcMar>
              <w:top w:type="dxa" w:w="70"/>
              <w:left w:type="dxa" w:w="90"/>
              <w:bottom w:type="dxa" w:w="70"/>
              <w:right w:type="dxa" w:w="90"/>
            </w:tcMar>
            <w:vAlign w:val="center"/>
          </w:tcPr>
          <w:p>
            <w:pPr>
              <w:jc w:val="left"/>
            </w:pPr>
            <w:r>
              <w:rPr>
                <w:b w:val="false"/>
                <w:bCs w:val="false"/>
                <w:color w:val="000000"/>
                <w:sz w:val="19"/>
                <w:szCs w:val="19"/>
              </w:rPr>
              <w:t xml:space="preserve">Owner / Admin</w:t>
            </w:r>
          </w:p>
        </w:tc>
        <w:tc>
          <w:tcPr>
            <w:tcW w:type="dxa" w:w="78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Full access per tenant: manages products, rates, users, templates, and views margin/cost data. Typically one or two per company.</w:t>
            </w:r>
          </w:p>
        </w:tc>
      </w:tr>
      <w:tr>
        <w:tc>
          <w:tcPr>
            <w:tcW w:type="dxa" w:w="2400"/>
            <w:shd w:fill="EEF1F5" w:val="clear"/>
            <w:tcMar>
              <w:top w:type="dxa" w:w="70"/>
              <w:left w:type="dxa" w:w="90"/>
              <w:bottom w:type="dxa" w:w="70"/>
              <w:right w:type="dxa" w:w="90"/>
            </w:tcMar>
            <w:vAlign w:val="center"/>
          </w:tcPr>
          <w:p>
            <w:pPr>
              <w:jc w:val="left"/>
            </w:pPr>
            <w:r>
              <w:rPr>
                <w:b w:val="false"/>
                <w:bCs w:val="false"/>
                <w:color w:val="000000"/>
                <w:sz w:val="19"/>
                <w:szCs w:val="19"/>
              </w:rPr>
              <w:t xml:space="preserve">Office Staff</w:t>
            </w:r>
          </w:p>
        </w:tc>
        <w:tc>
          <w:tcPr>
            <w:tcW w:type="dxa" w:w="7800"/>
            <w:shd w:fill="EEF1F5" w:val="clear"/>
            <w:tcMar>
              <w:top w:type="dxa" w:w="70"/>
              <w:left w:type="dxa" w:w="90"/>
              <w:bottom w:type="dxa" w:w="70"/>
              <w:right w:type="dxa" w:w="90"/>
            </w:tcMar>
            <w:vAlign w:val="center"/>
          </w:tcPr>
          <w:p>
            <w:pPr>
              <w:jc w:val="left"/>
            </w:pPr>
            <w:r>
              <w:rPr>
                <w:b w:val="false"/>
                <w:bCs w:val="false"/>
                <w:color w:val="000000"/>
                <w:sz w:val="19"/>
                <w:szCs w:val="19"/>
              </w:rPr>
              <w:t xml:space="preserve">Creates and issues invoices, manages clients. May be restricted from viewing manufacturer rates/margin depending on configuration.</w:t>
            </w:r>
          </w:p>
        </w:tc>
      </w:tr>
      <w:tr>
        <w:tc>
          <w:tcPr>
            <w:tcW w:type="dxa" w:w="2400"/>
            <w:shd w:fill="FFFFFF" w:val="clear"/>
            <w:tcMar>
              <w:top w:type="dxa" w:w="70"/>
              <w:left w:type="dxa" w:w="90"/>
              <w:bottom w:type="dxa" w:w="70"/>
              <w:right w:type="dxa" w:w="90"/>
            </w:tcMar>
            <w:vAlign w:val="center"/>
          </w:tcPr>
          <w:p>
            <w:pPr>
              <w:jc w:val="left"/>
            </w:pPr>
            <w:r>
              <w:rPr>
                <w:b w:val="false"/>
                <w:bCs w:val="false"/>
                <w:color w:val="000000"/>
                <w:sz w:val="19"/>
                <w:szCs w:val="19"/>
              </w:rPr>
              <w:t xml:space="preserve">Platform Super-Admin</w:t>
            </w:r>
          </w:p>
        </w:tc>
        <w:tc>
          <w:tcPr>
            <w:tcW w:type="dxa" w:w="7800"/>
            <w:shd w:fill="FFFFFF" w:val="clear"/>
            <w:tcMar>
              <w:top w:type="dxa" w:w="70"/>
              <w:left w:type="dxa" w:w="90"/>
              <w:bottom w:type="dxa" w:w="70"/>
              <w:right w:type="dxa" w:w="90"/>
            </w:tcMar>
            <w:vAlign w:val="center"/>
          </w:tcPr>
          <w:p>
            <w:pPr>
              <w:jc w:val="left"/>
            </w:pPr>
            <w:r>
              <w:rPr>
                <w:b w:val="false"/>
                <w:bCs w:val="false"/>
                <w:color w:val="000000"/>
                <w:sz w:val="19"/>
                <w:szCs w:val="19"/>
              </w:rPr>
              <w:t xml:space="preserve">You / the SaaS operator. Manages tenant onboarding, template configuration, and cross-tenant system settings. Not part of any single company's data view.</w:t>
            </w:r>
          </w:p>
        </w:tc>
      </w:tr>
    </w:tbl>
    <w:p>
      <w:pPr>
        <w:pStyle w:val="Heading2"/>
        <w:spacing w:after="120" w:before="260"/>
      </w:pPr>
      <w:r>
        <w:rPr>
          <w:b/>
          <w:bCs/>
          <w:color w:val="1F3A5F"/>
          <w:sz w:val="24"/>
          <w:szCs w:val="24"/>
        </w:rPr>
        <w:t xml:space="preserve">2.3 Operating Environment</w:t>
      </w:r>
    </w:p>
    <w:p>
      <w:pPr>
        <w:pStyle w:val="ListParagraph"/>
        <w:numPr>
          <w:ilvl w:val="0"/>
          <w:numId w:val="2"/>
        </w:numPr>
        <w:spacing w:after="60" w:line="280"/>
      </w:pPr>
      <w:r>
        <w:rPr>
          <w:b w:val="false"/>
          <w:bCs w:val="false"/>
          <w:sz w:val="21"/>
          <w:szCs w:val="21"/>
        </w:rPr>
        <w:t xml:space="preserve">Client-side: modern mobile and desktop browsers (Chrome, Safari, Edge — last 2 major versions); installable as a PWA on Android/iOS/desktop</w:t>
      </w:r>
    </w:p>
    <w:p>
      <w:pPr>
        <w:pStyle w:val="ListParagraph"/>
        <w:numPr>
          <w:ilvl w:val="0"/>
          <w:numId w:val="2"/>
        </w:numPr>
        <w:spacing w:after="60" w:line="280"/>
      </w:pPr>
      <w:r>
        <w:rPr>
          <w:b w:val="false"/>
          <w:bCs w:val="false"/>
          <w:sz w:val="21"/>
          <w:szCs w:val="21"/>
        </w:rPr>
        <w:t xml:space="preserve">Server-side: cloud-hosted backend and database (specific stack to be finalized at design stage)</w:t>
      </w:r>
    </w:p>
    <w:p>
      <w:pPr>
        <w:pStyle w:val="ListParagraph"/>
        <w:numPr>
          <w:ilvl w:val="0"/>
          <w:numId w:val="2"/>
        </w:numPr>
        <w:spacing w:after="60" w:line="280"/>
      </w:pPr>
      <w:r>
        <w:rPr>
          <w:b w:val="false"/>
          <w:bCs w:val="false"/>
          <w:sz w:val="21"/>
          <w:szCs w:val="21"/>
        </w:rPr>
        <w:t xml:space="preserve">Network: designed for intermittent/weak signal; not designed for extended zero-connectivity operation</w:t>
      </w:r>
    </w:p>
    <w:p>
      <w:pPr>
        <w:pStyle w:val="Heading2"/>
        <w:spacing w:after="120" w:before="260"/>
      </w:pPr>
      <w:r>
        <w:rPr>
          <w:b/>
          <w:bCs/>
          <w:color w:val="1F3A5F"/>
          <w:sz w:val="24"/>
          <w:szCs w:val="24"/>
        </w:rPr>
        <w:t xml:space="preserve">2.4 Design and Implementation Constraints</w:t>
      </w:r>
    </w:p>
    <w:p>
      <w:pPr>
        <w:pStyle w:val="ListParagraph"/>
        <w:numPr>
          <w:ilvl w:val="0"/>
          <w:numId w:val="2"/>
        </w:numPr>
        <w:spacing w:after="60" w:line="280"/>
      </w:pPr>
      <w:r>
        <w:rPr>
          <w:b w:val="false"/>
          <w:bCs w:val="false"/>
          <w:sz w:val="21"/>
          <w:szCs w:val="21"/>
        </w:rPr>
        <w:t xml:space="preserve">Invoice numbering must be strictly sequential per company per financial year, with no gaps — a legal/audit constraint, not just a UX preference</w:t>
      </w:r>
    </w:p>
    <w:p>
      <w:pPr>
        <w:pStyle w:val="ListParagraph"/>
        <w:numPr>
          <w:ilvl w:val="0"/>
          <w:numId w:val="2"/>
        </w:numPr>
        <w:spacing w:after="60" w:line="280"/>
      </w:pPr>
      <w:r>
        <w:rPr>
          <w:b w:val="false"/>
          <w:bCs w:val="false"/>
          <w:sz w:val="21"/>
          <w:szCs w:val="21"/>
        </w:rPr>
        <w:t xml:space="preserve">Once an invoice is marked Issued, its line items and totals become immutable; corrections must occur via a Credit Note</w:t>
      </w:r>
    </w:p>
    <w:p>
      <w:pPr>
        <w:pStyle w:val="ListParagraph"/>
        <w:numPr>
          <w:ilvl w:val="0"/>
          <w:numId w:val="2"/>
        </w:numPr>
        <w:spacing w:after="60" w:line="280"/>
      </w:pPr>
      <w:r>
        <w:rPr>
          <w:b w:val="false"/>
          <w:bCs w:val="false"/>
          <w:sz w:val="21"/>
          <w:szCs w:val="21"/>
        </w:rPr>
        <w:t xml:space="preserve">E-invoicing (IRN generation) must be configurable per tenant, since only companies above the statutory turnover threshold require it</w:t>
      </w:r>
    </w:p>
    <w:p>
      <w:pPr>
        <w:pStyle w:val="ListParagraph"/>
        <w:numPr>
          <w:ilvl w:val="0"/>
          <w:numId w:val="2"/>
        </w:numPr>
        <w:spacing w:after="60" w:line="280"/>
      </w:pPr>
      <w:r>
        <w:rPr>
          <w:b w:val="false"/>
          <w:bCs w:val="false"/>
          <w:sz w:val="21"/>
          <w:szCs w:val="21"/>
        </w:rPr>
        <w:t xml:space="preserve">All monetary and tax calculations must be performed server-side and treated as the source of truth, even when initiated from a cached/offline client state</w:t>
      </w:r>
    </w:p>
    <w:p>
      <w:pPr>
        <w:pStyle w:val="Heading2"/>
        <w:spacing w:after="120" w:before="260"/>
      </w:pPr>
      <w:r>
        <w:rPr>
          <w:b/>
          <w:bCs/>
          <w:color w:val="1F3A5F"/>
          <w:sz w:val="24"/>
          <w:szCs w:val="24"/>
        </w:rPr>
        <w:t xml:space="preserve">2.5 Assumptions and Dependencies</w:t>
      </w:r>
    </w:p>
    <w:p>
      <w:pPr>
        <w:pStyle w:val="ListParagraph"/>
        <w:numPr>
          <w:ilvl w:val="0"/>
          <w:numId w:val="2"/>
        </w:numPr>
        <w:spacing w:after="60" w:line="280"/>
      </w:pPr>
      <w:r>
        <w:rPr>
          <w:b w:val="false"/>
          <w:bCs w:val="false"/>
          <w:sz w:val="21"/>
          <w:szCs w:val="21"/>
        </w:rPr>
        <w:t xml:space="preserve">All tenant companies are GST-registered in India</w:t>
      </w:r>
    </w:p>
    <w:p>
      <w:pPr>
        <w:pStyle w:val="ListParagraph"/>
        <w:numPr>
          <w:ilvl w:val="0"/>
          <w:numId w:val="2"/>
        </w:numPr>
        <w:spacing w:after="60" w:line="280"/>
      </w:pPr>
      <w:r>
        <w:rPr>
          <w:b w:val="false"/>
          <w:bCs w:val="false"/>
          <w:sz w:val="21"/>
          <w:szCs w:val="21"/>
        </w:rPr>
        <w:t xml:space="preserve">At least one tenant company is above the e-invoicing turnover threshold at time of writing; this must be reconfirmed per company before go-live, and the threshold itself is subject to government revision</w:t>
      </w:r>
    </w:p>
    <w:p>
      <w:pPr>
        <w:pStyle w:val="ListParagraph"/>
        <w:numPr>
          <w:ilvl w:val="0"/>
          <w:numId w:val="2"/>
        </w:numPr>
        <w:spacing w:after="60" w:line="280"/>
      </w:pPr>
      <w:r>
        <w:rPr>
          <w:b w:val="false"/>
          <w:bCs w:val="false"/>
          <w:sz w:val="21"/>
          <w:szCs w:val="21"/>
        </w:rPr>
        <w:t xml:space="preserve">A GST Suvidha Provider (GSP) account will be available for IRN generation for applicable tenants</w:t>
      </w:r>
    </w:p>
    <w:p>
      <w:pPr>
        <w:pStyle w:val="ListParagraph"/>
        <w:numPr>
          <w:ilvl w:val="0"/>
          <w:numId w:val="2"/>
        </w:numPr>
        <w:spacing w:after="60" w:line="280"/>
      </w:pPr>
      <w:r>
        <w:rPr>
          <w:b w:val="false"/>
          <w:bCs w:val="false"/>
          <w:sz w:val="21"/>
          <w:szCs w:val="21"/>
        </w:rPr>
        <w:t xml:space="preserve">The business does not require inventory/stock quantity tracking</w:t>
      </w:r>
    </w:p>
    <w:p>
      <w:pPr>
        <w:pStyle w:val="Heading1"/>
        <w:spacing w:after="160" w:before="420"/>
      </w:pPr>
      <w:r>
        <w:rPr>
          <w:b/>
          <w:bCs/>
          <w:color w:val="1F3A5F"/>
          <w:sz w:val="30"/>
          <w:szCs w:val="30"/>
        </w:rPr>
        <w:t xml:space="preserve">3 Functional Requirements</w:t>
      </w:r>
    </w:p>
    <w:p>
      <w:pPr>
        <w:spacing w:after="120" w:line="300"/>
      </w:pPr>
      <w:r>
        <w:rPr>
          <w:sz w:val="21"/>
          <w:szCs w:val="21"/>
        </w:rPr>
        <w:t xml:space="preserve">Each requirement is uniquely identified. Priority: Must (MVP/launch-blocking), Should (fast-follow), Could (future enhancement). This mirrors the phased scope agreed with the client.</w:t>
      </w:r>
    </w:p>
    <w:p>
      <w:pPr>
        <w:pStyle w:val="Heading2"/>
        <w:spacing w:after="120" w:before="260"/>
      </w:pPr>
      <w:r>
        <w:rPr>
          <w:b/>
          <w:bCs/>
          <w:color w:val="1F3A5F"/>
          <w:sz w:val="24"/>
          <w:szCs w:val="24"/>
        </w:rPr>
        <w:t xml:space="preserve">3.1 Tenant &amp; Company Management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1600"/>
      </w:tblGrid>
      <w:tr>
        <w:trPr>
          <w:tblHeader/>
        </w:trPr>
        <w:tc>
          <w:tcPr>
            <w:tcW w:type="dxa" w:w="1100"/>
            <w:shd w:fill="1F3A5F" w:val="clear"/>
            <w:tcMar>
              <w:top w:type="dxa" w:w="70"/>
              <w:left w:type="dxa" w:w="90"/>
              <w:bottom w:type="dxa" w:w="70"/>
              <w:right w:type="dxa" w:w="90"/>
            </w:tcMar>
            <w:vAlign w:val="center"/>
          </w:tcPr>
          <w:p>
            <w:pPr>
              <w:jc w:val="left"/>
            </w:pPr>
            <w:r>
              <w:rPr>
                <w:b/>
                <w:bCs/>
                <w:color w:val="FFFFFF"/>
                <w:sz w:val="19"/>
                <w:szCs w:val="19"/>
              </w:rPr>
              <w:t xml:space="preserve">ID</w:t>
            </w:r>
          </w:p>
        </w:tc>
        <w:tc>
          <w:tcPr>
            <w:tcW w:type="dxa" w:w="7500"/>
            <w:shd w:fill="1F3A5F" w:val="clear"/>
            <w:tcMar>
              <w:top w:type="dxa" w:w="70"/>
              <w:left w:type="dxa" w:w="90"/>
              <w:bottom w:type="dxa" w:w="70"/>
              <w:right w:type="dxa" w:w="90"/>
            </w:tcMar>
            <w:vAlign w:val="center"/>
          </w:tcPr>
          <w:p>
            <w:pPr>
              <w:jc w:val="left"/>
            </w:pPr>
            <w:r>
              <w:rPr>
                <w:b/>
                <w:bCs/>
                <w:color w:val="FFFFFF"/>
                <w:sz w:val="19"/>
                <w:szCs w:val="19"/>
              </w:rPr>
              <w:t xml:space="preserve">Requirement</w:t>
            </w:r>
          </w:p>
        </w:tc>
        <w:tc>
          <w:tcPr>
            <w:tcW w:type="dxa" w:w="1600"/>
            <w:shd w:fill="1F3A5F" w:val="clear"/>
            <w:tcMar>
              <w:top w:type="dxa" w:w="70"/>
              <w:left w:type="dxa" w:w="90"/>
              <w:bottom w:type="dxa" w:w="70"/>
              <w:right w:type="dxa" w:w="90"/>
            </w:tcMar>
            <w:vAlign w:val="center"/>
          </w:tcPr>
          <w:p>
            <w:pPr>
              <w:jc w:val="left"/>
            </w:pPr>
            <w:r>
              <w:rPr>
                <w:b/>
                <w:bCs/>
                <w:color w:val="FFFFFF"/>
                <w:sz w:val="19"/>
                <w:szCs w:val="19"/>
              </w:rPr>
              <w:t xml:space="preserve">Priority</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FR-1.1</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a Super-Admin to create a new tenant (company) with name, address, GSTIN, logo, and default invoice template.</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FR-1.2</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isolate all data (products, clients, invoices, rates, users) per tenant such that no tenant can view another tenant's data.</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FR-1.3</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each tenant to configure its own invoice numbering prefix/format and reset rule per financial year.</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FR-1.4</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each tenant to enable or disable e-invoicing (IRN generation) independently of other tenants.</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FR-1.5</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each tenant to upload/select its own invoice PDF template (logo placement, footer terms, color accents).</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bl>
    <w:p>
      <w:pPr>
        <w:pStyle w:val="Heading2"/>
        <w:spacing w:after="120" w:before="260"/>
      </w:pPr>
      <w:r>
        <w:rPr>
          <w:b/>
          <w:bCs/>
          <w:color w:val="1F3A5F"/>
          <w:sz w:val="24"/>
          <w:szCs w:val="24"/>
        </w:rPr>
        <w:t xml:space="preserve">3.2 User Management &amp; Access Control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1600"/>
      </w:tblGrid>
      <w:tr>
        <w:trPr>
          <w:tblHeader/>
        </w:trPr>
        <w:tc>
          <w:tcPr>
            <w:tcW w:type="dxa" w:w="1100"/>
            <w:shd w:fill="1F3A5F" w:val="clear"/>
            <w:tcMar>
              <w:top w:type="dxa" w:w="70"/>
              <w:left w:type="dxa" w:w="90"/>
              <w:bottom w:type="dxa" w:w="70"/>
              <w:right w:type="dxa" w:w="90"/>
            </w:tcMar>
            <w:vAlign w:val="center"/>
          </w:tcPr>
          <w:p>
            <w:pPr>
              <w:jc w:val="left"/>
            </w:pPr>
            <w:r>
              <w:rPr>
                <w:b/>
                <w:bCs/>
                <w:color w:val="FFFFFF"/>
                <w:sz w:val="19"/>
                <w:szCs w:val="19"/>
              </w:rPr>
              <w:t xml:space="preserve">ID</w:t>
            </w:r>
          </w:p>
        </w:tc>
        <w:tc>
          <w:tcPr>
            <w:tcW w:type="dxa" w:w="7500"/>
            <w:shd w:fill="1F3A5F" w:val="clear"/>
            <w:tcMar>
              <w:top w:type="dxa" w:w="70"/>
              <w:left w:type="dxa" w:w="90"/>
              <w:bottom w:type="dxa" w:w="70"/>
              <w:right w:type="dxa" w:w="90"/>
            </w:tcMar>
            <w:vAlign w:val="center"/>
          </w:tcPr>
          <w:p>
            <w:pPr>
              <w:jc w:val="left"/>
            </w:pPr>
            <w:r>
              <w:rPr>
                <w:b/>
                <w:bCs/>
                <w:color w:val="FFFFFF"/>
                <w:sz w:val="19"/>
                <w:szCs w:val="19"/>
              </w:rPr>
              <w:t xml:space="preserve">Requirement</w:t>
            </w:r>
          </w:p>
        </w:tc>
        <w:tc>
          <w:tcPr>
            <w:tcW w:type="dxa" w:w="1600"/>
            <w:shd w:fill="1F3A5F" w:val="clear"/>
            <w:tcMar>
              <w:top w:type="dxa" w:w="70"/>
              <w:left w:type="dxa" w:w="90"/>
              <w:bottom w:type="dxa" w:w="70"/>
              <w:right w:type="dxa" w:w="90"/>
            </w:tcMar>
            <w:vAlign w:val="center"/>
          </w:tcPr>
          <w:p>
            <w:pPr>
              <w:jc w:val="left"/>
            </w:pPr>
            <w:r>
              <w:rPr>
                <w:b/>
                <w:bCs/>
                <w:color w:val="FFFFFF"/>
                <w:sz w:val="19"/>
                <w:szCs w:val="19"/>
              </w:rPr>
              <w:t xml:space="preserve">Priority</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FR-2.1</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support at least two roles per tenant: Owner/Admin and Office Staff.</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FR-2.2</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an Admin to restrict Office Staff visibility of manufacturer purchase rates and computed margin.</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Should</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FR-2.3</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require authentication (username/password or equivalent) for all users before accessing any tenant data.</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FR-2.4</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log which user created or issued each invoice, for audit purposes.</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Should</w:t>
            </w:r>
          </w:p>
        </w:tc>
      </w:tr>
    </w:tbl>
    <w:p>
      <w:pPr>
        <w:pStyle w:val="Heading2"/>
        <w:spacing w:after="120" w:before="260"/>
      </w:pPr>
      <w:r>
        <w:rPr>
          <w:b/>
          <w:bCs/>
          <w:color w:val="1F3A5F"/>
          <w:sz w:val="24"/>
          <w:szCs w:val="24"/>
        </w:rPr>
        <w:t xml:space="preserve">3.3 Product (Spare Parts) Catalog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1600"/>
      </w:tblGrid>
      <w:tr>
        <w:trPr>
          <w:tblHeader/>
        </w:trPr>
        <w:tc>
          <w:tcPr>
            <w:tcW w:type="dxa" w:w="1100"/>
            <w:shd w:fill="1F3A5F" w:val="clear"/>
            <w:tcMar>
              <w:top w:type="dxa" w:w="70"/>
              <w:left w:type="dxa" w:w="90"/>
              <w:bottom w:type="dxa" w:w="70"/>
              <w:right w:type="dxa" w:w="90"/>
            </w:tcMar>
            <w:vAlign w:val="center"/>
          </w:tcPr>
          <w:p>
            <w:pPr>
              <w:jc w:val="left"/>
            </w:pPr>
            <w:r>
              <w:rPr>
                <w:b/>
                <w:bCs/>
                <w:color w:val="FFFFFF"/>
                <w:sz w:val="19"/>
                <w:szCs w:val="19"/>
              </w:rPr>
              <w:t xml:space="preserve">ID</w:t>
            </w:r>
          </w:p>
        </w:tc>
        <w:tc>
          <w:tcPr>
            <w:tcW w:type="dxa" w:w="7500"/>
            <w:shd w:fill="1F3A5F" w:val="clear"/>
            <w:tcMar>
              <w:top w:type="dxa" w:w="70"/>
              <w:left w:type="dxa" w:w="90"/>
              <w:bottom w:type="dxa" w:w="70"/>
              <w:right w:type="dxa" w:w="90"/>
            </w:tcMar>
            <w:vAlign w:val="center"/>
          </w:tcPr>
          <w:p>
            <w:pPr>
              <w:jc w:val="left"/>
            </w:pPr>
            <w:r>
              <w:rPr>
                <w:b/>
                <w:bCs/>
                <w:color w:val="FFFFFF"/>
                <w:sz w:val="19"/>
                <w:szCs w:val="19"/>
              </w:rPr>
              <w:t xml:space="preserve">Requirement</w:t>
            </w:r>
          </w:p>
        </w:tc>
        <w:tc>
          <w:tcPr>
            <w:tcW w:type="dxa" w:w="1600"/>
            <w:shd w:fill="1F3A5F" w:val="clear"/>
            <w:tcMar>
              <w:top w:type="dxa" w:w="70"/>
              <w:left w:type="dxa" w:w="90"/>
              <w:bottom w:type="dxa" w:w="70"/>
              <w:right w:type="dxa" w:w="90"/>
            </w:tcMar>
            <w:vAlign w:val="center"/>
          </w:tcPr>
          <w:p>
            <w:pPr>
              <w:jc w:val="left"/>
            </w:pPr>
            <w:r>
              <w:rPr>
                <w:b/>
                <w:bCs/>
                <w:color w:val="FFFFFF"/>
                <w:sz w:val="19"/>
                <w:szCs w:val="19"/>
              </w:rPr>
              <w:t xml:space="preserve">Priority</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FR-3.1</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authorized users to add a product with name, HSN code, unit of measure, and default sale rate.</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FR-3.2</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check for an exact HSN code match when a new product is added and warn the user if one exists.</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FR-3.3</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check for a fuzzy name match (e.g. minor spelling/formatting differences) when a new product is added and warn the user of likely duplicates before saving.</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FR-3.4</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searching/filtering the product catalog by name or HSN code with autocomplete suggestions during invoice entry.</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FR-3.5</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editing a product's default sale rate without altering historical invoices already issued using the previous rate.</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FR-3.6</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support bulk import of products (e.g. via spreadsheet or OCR-assisted extraction from historical invoices).</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Could</w:t>
            </w:r>
          </w:p>
        </w:tc>
      </w:tr>
    </w:tbl>
    <w:p>
      <w:pPr>
        <w:pStyle w:val="Heading2"/>
        <w:spacing w:after="120" w:before="260"/>
      </w:pPr>
      <w:r>
        <w:rPr>
          <w:b/>
          <w:bCs/>
          <w:color w:val="1F3A5F"/>
          <w:sz w:val="24"/>
          <w:szCs w:val="24"/>
        </w:rPr>
        <w:t xml:space="preserve">3.4 Manufacturer Purchase Rate History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1600"/>
      </w:tblGrid>
      <w:tr>
        <w:trPr>
          <w:tblHeader/>
        </w:trPr>
        <w:tc>
          <w:tcPr>
            <w:tcW w:type="dxa" w:w="1100"/>
            <w:shd w:fill="1F3A5F" w:val="clear"/>
            <w:tcMar>
              <w:top w:type="dxa" w:w="70"/>
              <w:left w:type="dxa" w:w="90"/>
              <w:bottom w:type="dxa" w:w="70"/>
              <w:right w:type="dxa" w:w="90"/>
            </w:tcMar>
            <w:vAlign w:val="center"/>
          </w:tcPr>
          <w:p>
            <w:pPr>
              <w:jc w:val="left"/>
            </w:pPr>
            <w:r>
              <w:rPr>
                <w:b/>
                <w:bCs/>
                <w:color w:val="FFFFFF"/>
                <w:sz w:val="19"/>
                <w:szCs w:val="19"/>
              </w:rPr>
              <w:t xml:space="preserve">ID</w:t>
            </w:r>
          </w:p>
        </w:tc>
        <w:tc>
          <w:tcPr>
            <w:tcW w:type="dxa" w:w="7500"/>
            <w:shd w:fill="1F3A5F" w:val="clear"/>
            <w:tcMar>
              <w:top w:type="dxa" w:w="70"/>
              <w:left w:type="dxa" w:w="90"/>
              <w:bottom w:type="dxa" w:w="70"/>
              <w:right w:type="dxa" w:w="90"/>
            </w:tcMar>
            <w:vAlign w:val="center"/>
          </w:tcPr>
          <w:p>
            <w:pPr>
              <w:jc w:val="left"/>
            </w:pPr>
            <w:r>
              <w:rPr>
                <w:b/>
                <w:bCs/>
                <w:color w:val="FFFFFF"/>
                <w:sz w:val="19"/>
                <w:szCs w:val="19"/>
              </w:rPr>
              <w:t xml:space="preserve">Requirement</w:t>
            </w:r>
          </w:p>
        </w:tc>
        <w:tc>
          <w:tcPr>
            <w:tcW w:type="dxa" w:w="1600"/>
            <w:shd w:fill="1F3A5F" w:val="clear"/>
            <w:tcMar>
              <w:top w:type="dxa" w:w="70"/>
              <w:left w:type="dxa" w:w="90"/>
              <w:bottom w:type="dxa" w:w="70"/>
              <w:right w:type="dxa" w:w="90"/>
            </w:tcMar>
            <w:vAlign w:val="center"/>
          </w:tcPr>
          <w:p>
            <w:pPr>
              <w:jc w:val="left"/>
            </w:pPr>
            <w:r>
              <w:rPr>
                <w:b/>
                <w:bCs/>
                <w:color w:val="FFFFFF"/>
                <w:sz w:val="19"/>
                <w:szCs w:val="19"/>
              </w:rPr>
              <w:t xml:space="preserve">Priority</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FR-4.1</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recording a manufacturer purchase rate for a product, tagged with manufacturer name and date.</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FR-4.2</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retain a full timestamped history of purchase rates per product per manufacturer (append-only, not overwritten).</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FR-4.3</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display the most recent purchase rate alongside the current sale rate when building an invoice, for margin awareness.</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Should</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FR-4.4</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flag a newly entered purchase rate that deviates significantly (configurable threshold) from the average of the last N purchases of that product.</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Could</w:t>
            </w:r>
          </w:p>
        </w:tc>
      </w:tr>
    </w:tbl>
    <w:p>
      <w:pPr>
        <w:pStyle w:val="Heading2"/>
        <w:spacing w:after="120" w:before="260"/>
      </w:pPr>
      <w:r>
        <w:rPr>
          <w:b/>
          <w:bCs/>
          <w:color w:val="1F3A5F"/>
          <w:sz w:val="24"/>
          <w:szCs w:val="24"/>
        </w:rPr>
        <w:t xml:space="preserve">3.5 Client (Buyer) Directory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1600"/>
      </w:tblGrid>
      <w:tr>
        <w:trPr>
          <w:tblHeader/>
        </w:trPr>
        <w:tc>
          <w:tcPr>
            <w:tcW w:type="dxa" w:w="1100"/>
            <w:shd w:fill="1F3A5F" w:val="clear"/>
            <w:tcMar>
              <w:top w:type="dxa" w:w="70"/>
              <w:left w:type="dxa" w:w="90"/>
              <w:bottom w:type="dxa" w:w="70"/>
              <w:right w:type="dxa" w:w="90"/>
            </w:tcMar>
            <w:vAlign w:val="center"/>
          </w:tcPr>
          <w:p>
            <w:pPr>
              <w:jc w:val="left"/>
            </w:pPr>
            <w:r>
              <w:rPr>
                <w:b/>
                <w:bCs/>
                <w:color w:val="FFFFFF"/>
                <w:sz w:val="19"/>
                <w:szCs w:val="19"/>
              </w:rPr>
              <w:t xml:space="preserve">ID</w:t>
            </w:r>
          </w:p>
        </w:tc>
        <w:tc>
          <w:tcPr>
            <w:tcW w:type="dxa" w:w="7500"/>
            <w:shd w:fill="1F3A5F" w:val="clear"/>
            <w:tcMar>
              <w:top w:type="dxa" w:w="70"/>
              <w:left w:type="dxa" w:w="90"/>
              <w:bottom w:type="dxa" w:w="70"/>
              <w:right w:type="dxa" w:w="90"/>
            </w:tcMar>
            <w:vAlign w:val="center"/>
          </w:tcPr>
          <w:p>
            <w:pPr>
              <w:jc w:val="left"/>
            </w:pPr>
            <w:r>
              <w:rPr>
                <w:b/>
                <w:bCs/>
                <w:color w:val="FFFFFF"/>
                <w:sz w:val="19"/>
                <w:szCs w:val="19"/>
              </w:rPr>
              <w:t xml:space="preserve">Requirement</w:t>
            </w:r>
          </w:p>
        </w:tc>
        <w:tc>
          <w:tcPr>
            <w:tcW w:type="dxa" w:w="1600"/>
            <w:shd w:fill="1F3A5F" w:val="clear"/>
            <w:tcMar>
              <w:top w:type="dxa" w:w="70"/>
              <w:left w:type="dxa" w:w="90"/>
              <w:bottom w:type="dxa" w:w="70"/>
              <w:right w:type="dxa" w:w="90"/>
            </w:tcMar>
            <w:vAlign w:val="center"/>
          </w:tcPr>
          <w:p>
            <w:pPr>
              <w:jc w:val="left"/>
            </w:pPr>
            <w:r>
              <w:rPr>
                <w:b/>
                <w:bCs/>
                <w:color w:val="FFFFFF"/>
                <w:sz w:val="19"/>
                <w:szCs w:val="19"/>
              </w:rPr>
              <w:t xml:space="preserve">Priority</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FR-5.1</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authorized users to add a client with name, billing address, shipping address, GSTIN (if applicable), and state.</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FR-5.2</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check for duplicate clients (by name and/or GSTIN) when a new client is added and warn the user.</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Should</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FR-5.3</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searching/selecting an existing client via autocomplete during invoice creation.</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FR-5.4</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suggest recently invoiced products for a selected client, based on that client's invoice history.</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Should</w:t>
            </w:r>
          </w:p>
        </w:tc>
      </w:tr>
    </w:tbl>
    <w:p>
      <w:pPr>
        <w:pStyle w:val="Heading2"/>
        <w:spacing w:after="120" w:before="260"/>
      </w:pPr>
      <w:r>
        <w:rPr>
          <w:b/>
          <w:bCs/>
          <w:color w:val="1F3A5F"/>
          <w:sz w:val="24"/>
          <w:szCs w:val="24"/>
        </w:rPr>
        <w:t xml:space="preserve">3.6 Invoice Creation &amp; Management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1600"/>
      </w:tblGrid>
      <w:tr>
        <w:trPr>
          <w:tblHeader/>
        </w:trPr>
        <w:tc>
          <w:tcPr>
            <w:tcW w:type="dxa" w:w="1100"/>
            <w:shd w:fill="1F3A5F" w:val="clear"/>
            <w:tcMar>
              <w:top w:type="dxa" w:w="70"/>
              <w:left w:type="dxa" w:w="90"/>
              <w:bottom w:type="dxa" w:w="70"/>
              <w:right w:type="dxa" w:w="90"/>
            </w:tcMar>
            <w:vAlign w:val="center"/>
          </w:tcPr>
          <w:p>
            <w:pPr>
              <w:jc w:val="left"/>
            </w:pPr>
            <w:r>
              <w:rPr>
                <w:b/>
                <w:bCs/>
                <w:color w:val="FFFFFF"/>
                <w:sz w:val="19"/>
                <w:szCs w:val="19"/>
              </w:rPr>
              <w:t xml:space="preserve">ID</w:t>
            </w:r>
          </w:p>
        </w:tc>
        <w:tc>
          <w:tcPr>
            <w:tcW w:type="dxa" w:w="7500"/>
            <w:shd w:fill="1F3A5F" w:val="clear"/>
            <w:tcMar>
              <w:top w:type="dxa" w:w="70"/>
              <w:left w:type="dxa" w:w="90"/>
              <w:bottom w:type="dxa" w:w="70"/>
              <w:right w:type="dxa" w:w="90"/>
            </w:tcMar>
            <w:vAlign w:val="center"/>
          </w:tcPr>
          <w:p>
            <w:pPr>
              <w:jc w:val="left"/>
            </w:pPr>
            <w:r>
              <w:rPr>
                <w:b/>
                <w:bCs/>
                <w:color w:val="FFFFFF"/>
                <w:sz w:val="19"/>
                <w:szCs w:val="19"/>
              </w:rPr>
              <w:t xml:space="preserve">Requirement</w:t>
            </w:r>
          </w:p>
        </w:tc>
        <w:tc>
          <w:tcPr>
            <w:tcW w:type="dxa" w:w="1600"/>
            <w:shd w:fill="1F3A5F" w:val="clear"/>
            <w:tcMar>
              <w:top w:type="dxa" w:w="70"/>
              <w:left w:type="dxa" w:w="90"/>
              <w:bottom w:type="dxa" w:w="70"/>
              <w:right w:type="dxa" w:w="90"/>
            </w:tcMar>
            <w:vAlign w:val="center"/>
          </w:tcPr>
          <w:p>
            <w:pPr>
              <w:jc w:val="left"/>
            </w:pPr>
            <w:r>
              <w:rPr>
                <w:b/>
                <w:bCs/>
                <w:color w:val="FFFFFF"/>
                <w:sz w:val="19"/>
                <w:szCs w:val="19"/>
              </w:rPr>
              <w:t xml:space="preserve">Priority</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FR-6.1</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a user to create a new invoice by selecting a client and adding one or more line items from the product catalog.</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FR-6.2</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auto-calculate line-item totals (quantity × rate) and the invoice grand total without manual arithmetic.</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FR-6.3</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automatically determine and apply CGST+SGST (intra-state) or IGST (inter-state) based on the tenant's registered state versus the client's state.</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FR-6.4</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assign the next sequential invoice number for the tenant only at the point of issuance, not at draft creation.</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FR-6.5</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support a Draft state in which an invoice can be freely edited or discarded prior to issuance.</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FR-6.6</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prevent any edits to line items, quantities, rates, or totals once an invoice is marked Issued.</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FR-6.7</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generate an A4 PDF of the issued invoice including tenant letterhead, GSTIN, client details, HSN codes, tax breakdown, and totals.</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FR-6.8</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For tenants with e-invoicing enabled, the system shall submit the invoice to the configured GSP upon issuance, retrieve the IRN and QR code, and embed them in the invoice PDF before the invoice is considered finalized.</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FR-6.9</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handle GSP API failure gracefully, placing the invoice in a Pending-IRN state with retry capability rather than silently failing.</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FR-6.10</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marking an issued invoice as Paid, independent of PDF generation.</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Should</w:t>
            </w:r>
          </w:p>
        </w:tc>
      </w:tr>
    </w:tbl>
    <w:p>
      <w:pPr>
        <w:pStyle w:val="Heading2"/>
        <w:spacing w:after="120" w:before="260"/>
      </w:pPr>
      <w:r>
        <w:rPr>
          <w:b/>
          <w:bCs/>
          <w:color w:val="1F3A5F"/>
          <w:sz w:val="24"/>
          <w:szCs w:val="24"/>
        </w:rPr>
        <w:t xml:space="preserve">3.7 Credit Notes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1600"/>
      </w:tblGrid>
      <w:tr>
        <w:trPr>
          <w:tblHeader/>
        </w:trPr>
        <w:tc>
          <w:tcPr>
            <w:tcW w:type="dxa" w:w="1100"/>
            <w:shd w:fill="1F3A5F" w:val="clear"/>
            <w:tcMar>
              <w:top w:type="dxa" w:w="70"/>
              <w:left w:type="dxa" w:w="90"/>
              <w:bottom w:type="dxa" w:w="70"/>
              <w:right w:type="dxa" w:w="90"/>
            </w:tcMar>
            <w:vAlign w:val="center"/>
          </w:tcPr>
          <w:p>
            <w:pPr>
              <w:jc w:val="left"/>
            </w:pPr>
            <w:r>
              <w:rPr>
                <w:b/>
                <w:bCs/>
                <w:color w:val="FFFFFF"/>
                <w:sz w:val="19"/>
                <w:szCs w:val="19"/>
              </w:rPr>
              <w:t xml:space="preserve">ID</w:t>
            </w:r>
          </w:p>
        </w:tc>
        <w:tc>
          <w:tcPr>
            <w:tcW w:type="dxa" w:w="7500"/>
            <w:shd w:fill="1F3A5F" w:val="clear"/>
            <w:tcMar>
              <w:top w:type="dxa" w:w="70"/>
              <w:left w:type="dxa" w:w="90"/>
              <w:bottom w:type="dxa" w:w="70"/>
              <w:right w:type="dxa" w:w="90"/>
            </w:tcMar>
            <w:vAlign w:val="center"/>
          </w:tcPr>
          <w:p>
            <w:pPr>
              <w:jc w:val="left"/>
            </w:pPr>
            <w:r>
              <w:rPr>
                <w:b/>
                <w:bCs/>
                <w:color w:val="FFFFFF"/>
                <w:sz w:val="19"/>
                <w:szCs w:val="19"/>
              </w:rPr>
              <w:t xml:space="preserve">Requirement</w:t>
            </w:r>
          </w:p>
        </w:tc>
        <w:tc>
          <w:tcPr>
            <w:tcW w:type="dxa" w:w="1600"/>
            <w:shd w:fill="1F3A5F" w:val="clear"/>
            <w:tcMar>
              <w:top w:type="dxa" w:w="70"/>
              <w:left w:type="dxa" w:w="90"/>
              <w:bottom w:type="dxa" w:w="70"/>
              <w:right w:type="dxa" w:w="90"/>
            </w:tcMar>
            <w:vAlign w:val="center"/>
          </w:tcPr>
          <w:p>
            <w:pPr>
              <w:jc w:val="left"/>
            </w:pPr>
            <w:r>
              <w:rPr>
                <w:b/>
                <w:bCs/>
                <w:color w:val="FFFFFF"/>
                <w:sz w:val="19"/>
                <w:szCs w:val="19"/>
              </w:rPr>
              <w:t xml:space="preserve">Priority</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CR-1</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an authorized user to raise a Credit Note against an issued invoice, referencing the original invoice number.</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Should</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CR-2</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generate a separate sequentially numbered Credit Note PDF, distinct from the invoice numbering sequence.</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Should</w:t>
            </w:r>
          </w:p>
        </w:tc>
      </w:tr>
    </w:tbl>
    <w:p>
      <w:pPr>
        <w:pStyle w:val="Heading2"/>
        <w:spacing w:after="120" w:before="260"/>
      </w:pPr>
      <w:r>
        <w:rPr>
          <w:b/>
          <w:bCs/>
          <w:color w:val="1F3A5F"/>
          <w:sz w:val="24"/>
          <w:szCs w:val="24"/>
        </w:rPr>
        <w:t xml:space="preserve">3.8 Shipping Label / Sticker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1600"/>
      </w:tblGrid>
      <w:tr>
        <w:trPr>
          <w:tblHeader/>
        </w:trPr>
        <w:tc>
          <w:tcPr>
            <w:tcW w:type="dxa" w:w="1100"/>
            <w:shd w:fill="1F3A5F" w:val="clear"/>
            <w:tcMar>
              <w:top w:type="dxa" w:w="70"/>
              <w:left w:type="dxa" w:w="90"/>
              <w:bottom w:type="dxa" w:w="70"/>
              <w:right w:type="dxa" w:w="90"/>
            </w:tcMar>
            <w:vAlign w:val="center"/>
          </w:tcPr>
          <w:p>
            <w:pPr>
              <w:jc w:val="left"/>
            </w:pPr>
            <w:r>
              <w:rPr>
                <w:b/>
                <w:bCs/>
                <w:color w:val="FFFFFF"/>
                <w:sz w:val="19"/>
                <w:szCs w:val="19"/>
              </w:rPr>
              <w:t xml:space="preserve">ID</w:t>
            </w:r>
          </w:p>
        </w:tc>
        <w:tc>
          <w:tcPr>
            <w:tcW w:type="dxa" w:w="7500"/>
            <w:shd w:fill="1F3A5F" w:val="clear"/>
            <w:tcMar>
              <w:top w:type="dxa" w:w="70"/>
              <w:left w:type="dxa" w:w="90"/>
              <w:bottom w:type="dxa" w:w="70"/>
              <w:right w:type="dxa" w:w="90"/>
            </w:tcMar>
            <w:vAlign w:val="center"/>
          </w:tcPr>
          <w:p>
            <w:pPr>
              <w:jc w:val="left"/>
            </w:pPr>
            <w:r>
              <w:rPr>
                <w:b/>
                <w:bCs/>
                <w:color w:val="FFFFFF"/>
                <w:sz w:val="19"/>
                <w:szCs w:val="19"/>
              </w:rPr>
              <w:t xml:space="preserve">Requirement</w:t>
            </w:r>
          </w:p>
        </w:tc>
        <w:tc>
          <w:tcPr>
            <w:tcW w:type="dxa" w:w="1600"/>
            <w:shd w:fill="1F3A5F" w:val="clear"/>
            <w:tcMar>
              <w:top w:type="dxa" w:w="70"/>
              <w:left w:type="dxa" w:w="90"/>
              <w:bottom w:type="dxa" w:w="70"/>
              <w:right w:type="dxa" w:w="90"/>
            </w:tcMar>
            <w:vAlign w:val="center"/>
          </w:tcPr>
          <w:p>
            <w:pPr>
              <w:jc w:val="left"/>
            </w:pPr>
            <w:r>
              <w:rPr>
                <w:b/>
                <w:bCs/>
                <w:color w:val="FFFFFF"/>
                <w:sz w:val="19"/>
                <w:szCs w:val="19"/>
              </w:rPr>
              <w:t xml:space="preserve">Priority</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FR-7.1</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generate a shipping label PDF containing the client's name and shipping address, in a small print format distinct from the A4 invoice layout.</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FR-7.2</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generating the shipping label independently of invoice issuance (e.g. before billing is finalized).</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Should</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FR-7.3</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source shipping label data from the same Client record used for invoicing, to avoid re-entry.</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bl>
    <w:p>
      <w:pPr>
        <w:pStyle w:val="Heading2"/>
        <w:spacing w:after="120" w:before="260"/>
      </w:pPr>
      <w:r>
        <w:rPr>
          <w:b/>
          <w:bCs/>
          <w:color w:val="1F3A5F"/>
          <w:sz w:val="24"/>
          <w:szCs w:val="24"/>
        </w:rPr>
        <w:t xml:space="preserve">3.9 Invoice History &amp; Retrieval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1600"/>
      </w:tblGrid>
      <w:tr>
        <w:trPr>
          <w:tblHeader/>
        </w:trPr>
        <w:tc>
          <w:tcPr>
            <w:tcW w:type="dxa" w:w="1100"/>
            <w:shd w:fill="1F3A5F" w:val="clear"/>
            <w:tcMar>
              <w:top w:type="dxa" w:w="70"/>
              <w:left w:type="dxa" w:w="90"/>
              <w:bottom w:type="dxa" w:w="70"/>
              <w:right w:type="dxa" w:w="90"/>
            </w:tcMar>
            <w:vAlign w:val="center"/>
          </w:tcPr>
          <w:p>
            <w:pPr>
              <w:jc w:val="left"/>
            </w:pPr>
            <w:r>
              <w:rPr>
                <w:b/>
                <w:bCs/>
                <w:color w:val="FFFFFF"/>
                <w:sz w:val="19"/>
                <w:szCs w:val="19"/>
              </w:rPr>
              <w:t xml:space="preserve">ID</w:t>
            </w:r>
          </w:p>
        </w:tc>
        <w:tc>
          <w:tcPr>
            <w:tcW w:type="dxa" w:w="7500"/>
            <w:shd w:fill="1F3A5F" w:val="clear"/>
            <w:tcMar>
              <w:top w:type="dxa" w:w="70"/>
              <w:left w:type="dxa" w:w="90"/>
              <w:bottom w:type="dxa" w:w="70"/>
              <w:right w:type="dxa" w:w="90"/>
            </w:tcMar>
            <w:vAlign w:val="center"/>
          </w:tcPr>
          <w:p>
            <w:pPr>
              <w:jc w:val="left"/>
            </w:pPr>
            <w:r>
              <w:rPr>
                <w:b/>
                <w:bCs/>
                <w:color w:val="FFFFFF"/>
                <w:sz w:val="19"/>
                <w:szCs w:val="19"/>
              </w:rPr>
              <w:t xml:space="preserve">Requirement</w:t>
            </w:r>
          </w:p>
        </w:tc>
        <w:tc>
          <w:tcPr>
            <w:tcW w:type="dxa" w:w="1600"/>
            <w:shd w:fill="1F3A5F" w:val="clear"/>
            <w:tcMar>
              <w:top w:type="dxa" w:w="70"/>
              <w:left w:type="dxa" w:w="90"/>
              <w:bottom w:type="dxa" w:w="70"/>
              <w:right w:type="dxa" w:w="90"/>
            </w:tcMar>
            <w:vAlign w:val="center"/>
          </w:tcPr>
          <w:p>
            <w:pPr>
              <w:jc w:val="left"/>
            </w:pPr>
            <w:r>
              <w:rPr>
                <w:b/>
                <w:bCs/>
                <w:color w:val="FFFFFF"/>
                <w:sz w:val="19"/>
                <w:szCs w:val="19"/>
              </w:rPr>
              <w:t xml:space="preserve">Priority</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FR-8.1</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provide a searchable, filterable list of all issued invoices (by client, date range, invoice number, status).</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FR-8.2</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allow re-downloading the PDF of any previously issued invoice from a mobile device.</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FR-8.3</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support natural-language or keyword search across invoice history (e.g. by client name across a date range).</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Could</w:t>
            </w:r>
          </w:p>
        </w:tc>
      </w:tr>
    </w:tbl>
    <w:p>
      <w:pPr>
        <w:pStyle w:val="Heading2"/>
        <w:spacing w:after="120" w:before="260"/>
      </w:pPr>
      <w:r>
        <w:rPr>
          <w:b/>
          <w:bCs/>
          <w:color w:val="1F3A5F"/>
          <w:sz w:val="24"/>
          <w:szCs w:val="24"/>
        </w:rPr>
        <w:t xml:space="preserve">3.10 Connectivity &amp; Mobile Access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1600"/>
      </w:tblGrid>
      <w:tr>
        <w:trPr>
          <w:tblHeader/>
        </w:trPr>
        <w:tc>
          <w:tcPr>
            <w:tcW w:type="dxa" w:w="1100"/>
            <w:shd w:fill="1F3A5F" w:val="clear"/>
            <w:tcMar>
              <w:top w:type="dxa" w:w="70"/>
              <w:left w:type="dxa" w:w="90"/>
              <w:bottom w:type="dxa" w:w="70"/>
              <w:right w:type="dxa" w:w="90"/>
            </w:tcMar>
            <w:vAlign w:val="center"/>
          </w:tcPr>
          <w:p>
            <w:pPr>
              <w:jc w:val="left"/>
            </w:pPr>
            <w:r>
              <w:rPr>
                <w:b/>
                <w:bCs/>
                <w:color w:val="FFFFFF"/>
                <w:sz w:val="19"/>
                <w:szCs w:val="19"/>
              </w:rPr>
              <w:t xml:space="preserve">ID</w:t>
            </w:r>
          </w:p>
        </w:tc>
        <w:tc>
          <w:tcPr>
            <w:tcW w:type="dxa" w:w="7500"/>
            <w:shd w:fill="1F3A5F" w:val="clear"/>
            <w:tcMar>
              <w:top w:type="dxa" w:w="70"/>
              <w:left w:type="dxa" w:w="90"/>
              <w:bottom w:type="dxa" w:w="70"/>
              <w:right w:type="dxa" w:w="90"/>
            </w:tcMar>
            <w:vAlign w:val="center"/>
          </w:tcPr>
          <w:p>
            <w:pPr>
              <w:jc w:val="left"/>
            </w:pPr>
            <w:r>
              <w:rPr>
                <w:b/>
                <w:bCs/>
                <w:color w:val="FFFFFF"/>
                <w:sz w:val="19"/>
                <w:szCs w:val="19"/>
              </w:rPr>
              <w:t xml:space="preserve">Requirement</w:t>
            </w:r>
          </w:p>
        </w:tc>
        <w:tc>
          <w:tcPr>
            <w:tcW w:type="dxa" w:w="1600"/>
            <w:shd w:fill="1F3A5F" w:val="clear"/>
            <w:tcMar>
              <w:top w:type="dxa" w:w="70"/>
              <w:left w:type="dxa" w:w="90"/>
              <w:bottom w:type="dxa" w:w="70"/>
              <w:right w:type="dxa" w:w="90"/>
            </w:tcMar>
            <w:vAlign w:val="center"/>
          </w:tcPr>
          <w:p>
            <w:pPr>
              <w:jc w:val="left"/>
            </w:pPr>
            <w:r>
              <w:rPr>
                <w:b/>
                <w:bCs/>
                <w:color w:val="FFFFFF"/>
                <w:sz w:val="19"/>
                <w:szCs w:val="19"/>
              </w:rPr>
              <w:t xml:space="preserve">Priority</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FR-9.1</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be usable as an installable Progressive Web App on mobile devices.</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FR-9.2</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cache the product catalog, client directory, and recent rate history locally for use under weak/intermittent connectivity.</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FFFFFF" w:val="clear"/>
            <w:tcMar>
              <w:top w:type="dxa" w:w="70"/>
              <w:left w:type="dxa" w:w="90"/>
              <w:bottom w:type="dxa" w:w="70"/>
              <w:right w:type="dxa" w:w="90"/>
            </w:tcMar>
            <w:vAlign w:val="center"/>
          </w:tcPr>
          <w:p>
            <w:pPr>
              <w:jc w:val="left"/>
            </w:pPr>
            <w:r>
              <w:rPr>
                <w:b w:val="false"/>
                <w:bCs w:val="false"/>
                <w:color w:val="000000"/>
                <w:sz w:val="19"/>
                <w:szCs w:val="19"/>
              </w:rPr>
              <w:t xml:space="preserve">FR-9.3</w:t>
            </w:r>
          </w:p>
        </w:tc>
        <w:tc>
          <w:tcPr>
            <w:tcW w:type="dxa" w:w="7500"/>
            <w:shd w:fill="FFFFFF" w:val="clear"/>
            <w:tcMar>
              <w:top w:type="dxa" w:w="70"/>
              <w:left w:type="dxa" w:w="90"/>
              <w:bottom w:type="dxa" w:w="70"/>
              <w:right w:type="dxa" w:w="90"/>
            </w:tcMar>
            <w:vAlign w:val="center"/>
          </w:tcPr>
          <w:p>
            <w:pPr>
              <w:jc w:val="left"/>
            </w:pPr>
            <w:r>
              <w:rPr>
                <w:b w:val="false"/>
                <w:bCs w:val="false"/>
                <w:color w:val="000000"/>
                <w:sz w:val="19"/>
                <w:szCs w:val="19"/>
              </w:rPr>
              <w:t xml:space="preserve">The system shall persist an in-progress invoice draft locally if connectivity is lost mid-entry, without data loss.</w:t>
            </w:r>
          </w:p>
        </w:tc>
        <w:tc>
          <w:tcPr>
            <w:tcW w:type="dxa" w:w="1600"/>
            <w:shd w:fill="FFFFFF"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r>
        <w:tc>
          <w:tcPr>
            <w:tcW w:type="dxa" w:w="1100"/>
            <w:shd w:fill="EEF1F5" w:val="clear"/>
            <w:tcMar>
              <w:top w:type="dxa" w:w="70"/>
              <w:left w:type="dxa" w:w="90"/>
              <w:bottom w:type="dxa" w:w="70"/>
              <w:right w:type="dxa" w:w="90"/>
            </w:tcMar>
            <w:vAlign w:val="center"/>
          </w:tcPr>
          <w:p>
            <w:pPr>
              <w:jc w:val="left"/>
            </w:pPr>
            <w:r>
              <w:rPr>
                <w:b w:val="false"/>
                <w:bCs w:val="false"/>
                <w:color w:val="000000"/>
                <w:sz w:val="19"/>
                <w:szCs w:val="19"/>
              </w:rPr>
              <w:t xml:space="preserve">FR-9.4</w:t>
            </w:r>
          </w:p>
        </w:tc>
        <w:tc>
          <w:tcPr>
            <w:tcW w:type="dxa" w:w="7500"/>
            <w:shd w:fill="EEF1F5" w:val="clear"/>
            <w:tcMar>
              <w:top w:type="dxa" w:w="70"/>
              <w:left w:type="dxa" w:w="90"/>
              <w:bottom w:type="dxa" w:w="70"/>
              <w:right w:type="dxa" w:w="90"/>
            </w:tcMar>
            <w:vAlign w:val="center"/>
          </w:tcPr>
          <w:p>
            <w:pPr>
              <w:jc w:val="left"/>
            </w:pPr>
            <w:r>
              <w:rPr>
                <w:b w:val="false"/>
                <w:bCs w:val="false"/>
                <w:color w:val="000000"/>
                <w:sz w:val="19"/>
                <w:szCs w:val="19"/>
              </w:rPr>
              <w:t xml:space="preserve">The system shall queue an invoice submission made while offline and automatically retry when connectivity is restored, notifying the user of pending status.</w:t>
            </w:r>
          </w:p>
        </w:tc>
        <w:tc>
          <w:tcPr>
            <w:tcW w:type="dxa" w:w="16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Must</w:t>
            </w:r>
          </w:p>
        </w:tc>
      </w:tr>
    </w:tbl>
    <w:p>
      <w:pPr>
        <w:pStyle w:val="Heading1"/>
        <w:spacing w:after="160" w:before="420"/>
      </w:pPr>
      <w:r>
        <w:rPr>
          <w:b/>
          <w:bCs/>
          <w:color w:val="1F3A5F"/>
          <w:sz w:val="30"/>
          <w:szCs w:val="30"/>
        </w:rPr>
        <w:t xml:space="preserve">4 Non-Functional Requirements</w:t>
      </w:r>
    </w:p>
    <w:p>
      <w:pPr>
        <w:pStyle w:val="Heading2"/>
        <w:spacing w:after="120" w:before="260"/>
      </w:pPr>
      <w:r>
        <w:rPr>
          <w:b/>
          <w:bCs/>
          <w:color w:val="1F3A5F"/>
          <w:sz w:val="24"/>
          <w:szCs w:val="24"/>
        </w:rPr>
        <w:t xml:space="preserve">4.1 Performance</w:t>
      </w:r>
    </w:p>
    <w:p>
      <w:pPr>
        <w:pStyle w:val="ListParagraph"/>
        <w:numPr>
          <w:ilvl w:val="0"/>
          <w:numId w:val="2"/>
        </w:numPr>
        <w:spacing w:after="60" w:line="280"/>
      </w:pPr>
      <w:r>
        <w:rPr>
          <w:b w:val="false"/>
          <w:bCs w:val="false"/>
          <w:sz w:val="21"/>
          <w:szCs w:val="21"/>
        </w:rPr>
        <w:t xml:space="preserve">Invoice PDF generation shall complete within 3 seconds under normal network conditions.</w:t>
      </w:r>
    </w:p>
    <w:p>
      <w:pPr>
        <w:pStyle w:val="ListParagraph"/>
        <w:numPr>
          <w:ilvl w:val="0"/>
          <w:numId w:val="2"/>
        </w:numPr>
        <w:spacing w:after="60" w:line="280"/>
      </w:pPr>
      <w:r>
        <w:rPr>
          <w:b w:val="false"/>
          <w:bCs w:val="false"/>
          <w:sz w:val="21"/>
          <w:szCs w:val="21"/>
        </w:rPr>
        <w:t xml:space="preserve">Product/client autocomplete search shall return results within 500ms for catalogs of up to 5,000 items.</w:t>
      </w:r>
    </w:p>
    <w:p>
      <w:pPr>
        <w:pStyle w:val="Heading2"/>
        <w:spacing w:after="120" w:before="260"/>
      </w:pPr>
      <w:r>
        <w:rPr>
          <w:b/>
          <w:bCs/>
          <w:color w:val="1F3A5F"/>
          <w:sz w:val="24"/>
          <w:szCs w:val="24"/>
        </w:rPr>
        <w:t xml:space="preserve">4.2 Reliability &amp; Data Integrity</w:t>
      </w:r>
    </w:p>
    <w:p>
      <w:pPr>
        <w:pStyle w:val="ListParagraph"/>
        <w:numPr>
          <w:ilvl w:val="0"/>
          <w:numId w:val="2"/>
        </w:numPr>
        <w:spacing w:after="60" w:line="280"/>
      </w:pPr>
      <w:r>
        <w:rPr>
          <w:b w:val="false"/>
          <w:bCs w:val="false"/>
          <w:sz w:val="21"/>
          <w:szCs w:val="21"/>
        </w:rPr>
        <w:t xml:space="preserve">Invoice numbering logic shall guarantee no duplicate or skipped numbers under concurrent submissions from multiple users of the same tenant.</w:t>
      </w:r>
    </w:p>
    <w:p>
      <w:pPr>
        <w:pStyle w:val="ListParagraph"/>
        <w:numPr>
          <w:ilvl w:val="0"/>
          <w:numId w:val="2"/>
        </w:numPr>
        <w:spacing w:after="60" w:line="280"/>
      </w:pPr>
      <w:r>
        <w:rPr>
          <w:b w:val="false"/>
          <w:bCs w:val="false"/>
          <w:sz w:val="21"/>
          <w:szCs w:val="21"/>
        </w:rPr>
        <w:t xml:space="preserve">All tax and total calculations shall be re-validated server-side regardless of client-side computation, to prevent tampering or client bugs from producing an invalid invoice.</w:t>
      </w:r>
    </w:p>
    <w:p>
      <w:pPr>
        <w:pStyle w:val="Heading2"/>
        <w:spacing w:after="120" w:before="260"/>
      </w:pPr>
      <w:r>
        <w:rPr>
          <w:b/>
          <w:bCs/>
          <w:color w:val="1F3A5F"/>
          <w:sz w:val="24"/>
          <w:szCs w:val="24"/>
        </w:rPr>
        <w:t xml:space="preserve">4.3 Security</w:t>
      </w:r>
    </w:p>
    <w:p>
      <w:pPr>
        <w:pStyle w:val="ListParagraph"/>
        <w:numPr>
          <w:ilvl w:val="0"/>
          <w:numId w:val="2"/>
        </w:numPr>
        <w:spacing w:after="60" w:line="280"/>
      </w:pPr>
      <w:r>
        <w:rPr>
          <w:b w:val="false"/>
          <w:bCs w:val="false"/>
          <w:sz w:val="21"/>
          <w:szCs w:val="21"/>
        </w:rPr>
        <w:t xml:space="preserve">Tenant data isolation shall be enforced at the data-access layer, not only in the UI.</w:t>
      </w:r>
    </w:p>
    <w:p>
      <w:pPr>
        <w:pStyle w:val="ListParagraph"/>
        <w:numPr>
          <w:ilvl w:val="0"/>
          <w:numId w:val="2"/>
        </w:numPr>
        <w:spacing w:after="60" w:line="280"/>
      </w:pPr>
      <w:r>
        <w:rPr>
          <w:b w:val="false"/>
          <w:bCs w:val="false"/>
          <w:sz w:val="21"/>
          <w:szCs w:val="21"/>
        </w:rPr>
        <w:t xml:space="preserve">Manufacturer rate and margin data shall be restricted per the role-based access rules defined in FR-2.2.</w:t>
      </w:r>
    </w:p>
    <w:p>
      <w:pPr>
        <w:pStyle w:val="ListParagraph"/>
        <w:numPr>
          <w:ilvl w:val="0"/>
          <w:numId w:val="2"/>
        </w:numPr>
        <w:spacing w:after="60" w:line="280"/>
      </w:pPr>
      <w:r>
        <w:rPr>
          <w:b w:val="false"/>
          <w:bCs w:val="false"/>
          <w:sz w:val="21"/>
          <w:szCs w:val="21"/>
        </w:rPr>
        <w:t xml:space="preserve">All data in transit shall be encrypted (HTTPS/TLS).</w:t>
      </w:r>
    </w:p>
    <w:p>
      <w:pPr>
        <w:pStyle w:val="Heading2"/>
        <w:spacing w:after="120" w:before="260"/>
      </w:pPr>
      <w:r>
        <w:rPr>
          <w:b/>
          <w:bCs/>
          <w:color w:val="1F3A5F"/>
          <w:sz w:val="24"/>
          <w:szCs w:val="24"/>
        </w:rPr>
        <w:t xml:space="preserve">4.4 Usability</w:t>
      </w:r>
    </w:p>
    <w:p>
      <w:pPr>
        <w:pStyle w:val="ListParagraph"/>
        <w:numPr>
          <w:ilvl w:val="0"/>
          <w:numId w:val="2"/>
        </w:numPr>
        <w:spacing w:after="60" w:line="280"/>
      </w:pPr>
      <w:r>
        <w:rPr>
          <w:b w:val="false"/>
          <w:bCs w:val="false"/>
          <w:sz w:val="21"/>
          <w:szCs w:val="21"/>
        </w:rPr>
        <w:t xml:space="preserve">Invoice creation for a typical 5–10 line item invoice shall require no more manual typing than selecting products, entering quantity, and confirming — no manual total calculation by the user.</w:t>
      </w:r>
    </w:p>
    <w:p>
      <w:pPr>
        <w:pStyle w:val="ListParagraph"/>
        <w:numPr>
          <w:ilvl w:val="0"/>
          <w:numId w:val="2"/>
        </w:numPr>
        <w:spacing w:after="60" w:line="280"/>
      </w:pPr>
      <w:r>
        <w:rPr>
          <w:b w:val="false"/>
          <w:bCs w:val="false"/>
          <w:sz w:val="21"/>
          <w:szCs w:val="21"/>
        </w:rPr>
        <w:t xml:space="preserve">The interface shall be usable on a mobile screen (minimum ~360px width) without horizontal scrolling for core workflows.</w:t>
      </w:r>
    </w:p>
    <w:p>
      <w:pPr>
        <w:pStyle w:val="Heading2"/>
        <w:spacing w:after="120" w:before="260"/>
      </w:pPr>
      <w:r>
        <w:rPr>
          <w:b/>
          <w:bCs/>
          <w:color w:val="1F3A5F"/>
          <w:sz w:val="24"/>
          <w:szCs w:val="24"/>
        </w:rPr>
        <w:t xml:space="preserve">4.5 Compliance</w:t>
      </w:r>
    </w:p>
    <w:p>
      <w:pPr>
        <w:pStyle w:val="ListParagraph"/>
        <w:numPr>
          <w:ilvl w:val="0"/>
          <w:numId w:val="2"/>
        </w:numPr>
        <w:spacing w:after="60" w:line="280"/>
      </w:pPr>
      <w:r>
        <w:rPr>
          <w:b w:val="false"/>
          <w:bCs w:val="false"/>
          <w:sz w:val="21"/>
          <w:szCs w:val="21"/>
        </w:rPr>
        <w:t xml:space="preserve">Generated invoices shall comply with applicable GST invoicing rules at time of build, including mandatory fields (GSTIN, HSN, place of supply, tax split).</w:t>
      </w:r>
    </w:p>
    <w:p>
      <w:pPr>
        <w:pStyle w:val="ListParagraph"/>
        <w:numPr>
          <w:ilvl w:val="0"/>
          <w:numId w:val="2"/>
        </w:numPr>
        <w:spacing w:after="60" w:line="280"/>
      </w:pPr>
      <w:r>
        <w:rPr>
          <w:b w:val="false"/>
          <w:bCs w:val="false"/>
          <w:sz w:val="21"/>
          <w:szCs w:val="21"/>
        </w:rPr>
        <w:t xml:space="preserve">E-invoicing behavior shall comply with current GSTN e-invoicing regulations for tenants above the applicable turnover threshold; threshold and rules to be reconfirmed at implementation time as they are subject to change.</w:t>
      </w:r>
    </w:p>
    <w:p>
      <w:pPr>
        <w:pStyle w:val="Heading2"/>
        <w:spacing w:after="120" w:before="260"/>
      </w:pPr>
      <w:r>
        <w:rPr>
          <w:b/>
          <w:bCs/>
          <w:color w:val="1F3A5F"/>
          <w:sz w:val="24"/>
          <w:szCs w:val="24"/>
        </w:rPr>
        <w:t xml:space="preserve">4.6 Maintainability &amp; Extensibility</w:t>
      </w:r>
    </w:p>
    <w:p>
      <w:pPr>
        <w:pStyle w:val="ListParagraph"/>
        <w:numPr>
          <w:ilvl w:val="0"/>
          <w:numId w:val="2"/>
        </w:numPr>
        <w:spacing w:after="60" w:line="280"/>
      </w:pPr>
      <w:r>
        <w:rPr>
          <w:b w:val="false"/>
          <w:bCs w:val="false"/>
          <w:sz w:val="21"/>
          <w:szCs w:val="21"/>
        </w:rPr>
        <w:t xml:space="preserve">The invoice template system shall be data-driven (configurable per tenant) rather than hard-coded, to support onboarding additional companies beyond the initial 3–4 without code changes.</w:t>
      </w:r>
    </w:p>
    <w:p>
      <w:pPr>
        <w:pStyle w:val="ListParagraph"/>
        <w:numPr>
          <w:ilvl w:val="0"/>
          <w:numId w:val="2"/>
        </w:numPr>
        <w:spacing w:after="60" w:line="280"/>
      </w:pPr>
      <w:r>
        <w:rPr>
          <w:b w:val="false"/>
          <w:bCs w:val="false"/>
          <w:sz w:val="21"/>
          <w:szCs w:val="21"/>
        </w:rPr>
        <w:t xml:space="preserve">Phase 3 (AI-assisted) features shall be designed as additive services that do not require restructuring the core data model.</w:t>
      </w:r>
    </w:p>
    <w:p>
      <w:pPr>
        <w:pStyle w:val="Heading1"/>
        <w:spacing w:after="160" w:before="420"/>
      </w:pPr>
      <w:r>
        <w:rPr>
          <w:b/>
          <w:bCs/>
          <w:color w:val="1F3A5F"/>
          <w:sz w:val="30"/>
          <w:szCs w:val="30"/>
        </w:rPr>
        <w:t xml:space="preserve">5 Data Requirements (Summary)</w:t>
      </w:r>
    </w:p>
    <w:p>
      <w:pPr>
        <w:spacing w:after="120" w:line="300"/>
      </w:pPr>
      <w:r>
        <w:rPr>
          <w:sz w:val="21"/>
          <w:szCs w:val="21"/>
        </w:rPr>
        <w:t xml:space="preserve">Full entity-relationship design is a design-phase deliverable; the table below summarizes the core entities this SRS assumes.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1F3A5F" w:val="clear"/>
            <w:tcMar>
              <w:top w:type="dxa" w:w="70"/>
              <w:left w:type="dxa" w:w="90"/>
              <w:bottom w:type="dxa" w:w="70"/>
              <w:right w:type="dxa" w:w="90"/>
            </w:tcMar>
            <w:vAlign w:val="center"/>
          </w:tcPr>
          <w:p>
            <w:pPr>
              <w:jc w:val="left"/>
            </w:pPr>
            <w:r>
              <w:rPr>
                <w:b/>
                <w:bCs/>
                <w:color w:val="FFFFFF"/>
                <w:sz w:val="19"/>
                <w:szCs w:val="19"/>
              </w:rPr>
              <w:t xml:space="preserve">Entity</w:t>
            </w:r>
          </w:p>
        </w:tc>
        <w:tc>
          <w:tcPr>
            <w:tcW w:type="dxa" w:w="7800"/>
            <w:shd w:fill="1F3A5F" w:val="clear"/>
            <w:tcMar>
              <w:top w:type="dxa" w:w="70"/>
              <w:left w:type="dxa" w:w="90"/>
              <w:bottom w:type="dxa" w:w="70"/>
              <w:right w:type="dxa" w:w="90"/>
            </w:tcMar>
            <w:vAlign w:val="center"/>
          </w:tcPr>
          <w:p>
            <w:pPr>
              <w:jc w:val="left"/>
            </w:pPr>
            <w:r>
              <w:rPr>
                <w:b/>
                <w:bCs/>
                <w:color w:val="FFFFFF"/>
                <w:sz w:val="19"/>
                <w:szCs w:val="19"/>
              </w:rPr>
              <w:t xml:space="preserve">Key Attributes</w:t>
            </w:r>
          </w:p>
        </w:tc>
      </w:tr>
      <w:tr>
        <w:tc>
          <w:tcPr>
            <w:tcW w:type="dxa" w:w="2400"/>
            <w:shd w:fill="FFFFFF" w:val="clear"/>
            <w:tcMar>
              <w:top w:type="dxa" w:w="70"/>
              <w:left w:type="dxa" w:w="90"/>
              <w:bottom w:type="dxa" w:w="70"/>
              <w:right w:type="dxa" w:w="90"/>
            </w:tcMar>
            <w:vAlign w:val="center"/>
          </w:tcPr>
          <w:p>
            <w:pPr>
              <w:jc w:val="left"/>
            </w:pPr>
            <w:r>
              <w:rPr>
                <w:b w:val="false"/>
                <w:bCs w:val="false"/>
                <w:color w:val="000000"/>
                <w:sz w:val="19"/>
                <w:szCs w:val="19"/>
              </w:rPr>
              <w:t xml:space="preserve">Company (Tenant)</w:t>
            </w:r>
          </w:p>
        </w:tc>
        <w:tc>
          <w:tcPr>
            <w:tcW w:type="dxa" w:w="7800"/>
            <w:shd w:fill="FFFFFF" w:val="clear"/>
            <w:tcMar>
              <w:top w:type="dxa" w:w="70"/>
              <w:left w:type="dxa" w:w="90"/>
              <w:bottom w:type="dxa" w:w="70"/>
              <w:right w:type="dxa" w:w="90"/>
            </w:tcMar>
            <w:vAlign w:val="center"/>
          </w:tcPr>
          <w:p>
            <w:pPr>
              <w:jc w:val="left"/>
            </w:pPr>
            <w:r>
              <w:rPr>
                <w:b w:val="false"/>
                <w:bCs w:val="false"/>
                <w:color w:val="000000"/>
                <w:sz w:val="19"/>
                <w:szCs w:val="19"/>
              </w:rPr>
              <w:t xml:space="preserve">name, address, GSTIN, state, logo, invoice number format, e-invoicing flag</w:t>
            </w:r>
          </w:p>
        </w:tc>
      </w:tr>
      <w:tr>
        <w:tc>
          <w:tcPr>
            <w:tcW w:type="dxa" w:w="2400"/>
            <w:shd w:fill="EEF1F5" w:val="clear"/>
            <w:tcMar>
              <w:top w:type="dxa" w:w="70"/>
              <w:left w:type="dxa" w:w="90"/>
              <w:bottom w:type="dxa" w:w="70"/>
              <w:right w:type="dxa" w:w="90"/>
            </w:tcMar>
            <w:vAlign w:val="center"/>
          </w:tcPr>
          <w:p>
            <w:pPr>
              <w:jc w:val="left"/>
            </w:pPr>
            <w:r>
              <w:rPr>
                <w:b w:val="false"/>
                <w:bCs w:val="false"/>
                <w:color w:val="000000"/>
                <w:sz w:val="19"/>
                <w:szCs w:val="19"/>
              </w:rPr>
              <w:t xml:space="preserve">User</w:t>
            </w:r>
          </w:p>
        </w:tc>
        <w:tc>
          <w:tcPr>
            <w:tcW w:type="dxa" w:w="7800"/>
            <w:shd w:fill="EEF1F5" w:val="clear"/>
            <w:tcMar>
              <w:top w:type="dxa" w:w="70"/>
              <w:left w:type="dxa" w:w="90"/>
              <w:bottom w:type="dxa" w:w="70"/>
              <w:right w:type="dxa" w:w="90"/>
            </w:tcMar>
            <w:vAlign w:val="center"/>
          </w:tcPr>
          <w:p>
            <w:pPr>
              <w:jc w:val="left"/>
            </w:pPr>
            <w:r>
              <w:rPr>
                <w:b w:val="false"/>
                <w:bCs w:val="false"/>
                <w:color w:val="000000"/>
                <w:sz w:val="19"/>
                <w:szCs w:val="19"/>
              </w:rPr>
              <w:t xml:space="preserve">name, credentials, role, tenant reference</w:t>
            </w:r>
          </w:p>
        </w:tc>
      </w:tr>
      <w:tr>
        <w:tc>
          <w:tcPr>
            <w:tcW w:type="dxa" w:w="2400"/>
            <w:shd w:fill="FFFFFF" w:val="clear"/>
            <w:tcMar>
              <w:top w:type="dxa" w:w="70"/>
              <w:left w:type="dxa" w:w="90"/>
              <w:bottom w:type="dxa" w:w="70"/>
              <w:right w:type="dxa" w:w="90"/>
            </w:tcMar>
            <w:vAlign w:val="center"/>
          </w:tcPr>
          <w:p>
            <w:pPr>
              <w:jc w:val="left"/>
            </w:pPr>
            <w:r>
              <w:rPr>
                <w:b w:val="false"/>
                <w:bCs w:val="false"/>
                <w:color w:val="000000"/>
                <w:sz w:val="19"/>
                <w:szCs w:val="19"/>
              </w:rPr>
              <w:t xml:space="preserve">Product</w:t>
            </w:r>
          </w:p>
        </w:tc>
        <w:tc>
          <w:tcPr>
            <w:tcW w:type="dxa" w:w="7800"/>
            <w:shd w:fill="FFFFFF" w:val="clear"/>
            <w:tcMar>
              <w:top w:type="dxa" w:w="70"/>
              <w:left w:type="dxa" w:w="90"/>
              <w:bottom w:type="dxa" w:w="70"/>
              <w:right w:type="dxa" w:w="90"/>
            </w:tcMar>
            <w:vAlign w:val="center"/>
          </w:tcPr>
          <w:p>
            <w:pPr>
              <w:jc w:val="left"/>
            </w:pPr>
            <w:r>
              <w:rPr>
                <w:b w:val="false"/>
                <w:bCs w:val="false"/>
                <w:color w:val="000000"/>
                <w:sz w:val="19"/>
                <w:szCs w:val="19"/>
              </w:rPr>
              <w:t xml:space="preserve">name, HSN code, unit, default sale rate, tenant reference</w:t>
            </w:r>
          </w:p>
        </w:tc>
      </w:tr>
      <w:tr>
        <w:tc>
          <w:tcPr>
            <w:tcW w:type="dxa" w:w="2400"/>
            <w:shd w:fill="EEF1F5" w:val="clear"/>
            <w:tcMar>
              <w:top w:type="dxa" w:w="70"/>
              <w:left w:type="dxa" w:w="90"/>
              <w:bottom w:type="dxa" w:w="70"/>
              <w:right w:type="dxa" w:w="90"/>
            </w:tcMar>
            <w:vAlign w:val="center"/>
          </w:tcPr>
          <w:p>
            <w:pPr>
              <w:jc w:val="left"/>
            </w:pPr>
            <w:r>
              <w:rPr>
                <w:b w:val="false"/>
                <w:bCs w:val="false"/>
                <w:color w:val="000000"/>
                <w:sz w:val="19"/>
                <w:szCs w:val="19"/>
              </w:rPr>
              <w:t xml:space="preserve">Manufacturer Rate Record</w:t>
            </w:r>
          </w:p>
        </w:tc>
        <w:tc>
          <w:tcPr>
            <w:tcW w:type="dxa" w:w="7800"/>
            <w:shd w:fill="EEF1F5" w:val="clear"/>
            <w:tcMar>
              <w:top w:type="dxa" w:w="70"/>
              <w:left w:type="dxa" w:w="90"/>
              <w:bottom w:type="dxa" w:w="70"/>
              <w:right w:type="dxa" w:w="90"/>
            </w:tcMar>
            <w:vAlign w:val="center"/>
          </w:tcPr>
          <w:p>
            <w:pPr>
              <w:jc w:val="left"/>
            </w:pPr>
            <w:r>
              <w:rPr>
                <w:b w:val="false"/>
                <w:bCs w:val="false"/>
                <w:color w:val="000000"/>
                <w:sz w:val="19"/>
                <w:szCs w:val="19"/>
              </w:rPr>
              <w:t xml:space="preserve">product reference, manufacturer name, rate, date recorded</w:t>
            </w:r>
          </w:p>
        </w:tc>
      </w:tr>
      <w:tr>
        <w:tc>
          <w:tcPr>
            <w:tcW w:type="dxa" w:w="2400"/>
            <w:shd w:fill="FFFFFF" w:val="clear"/>
            <w:tcMar>
              <w:top w:type="dxa" w:w="70"/>
              <w:left w:type="dxa" w:w="90"/>
              <w:bottom w:type="dxa" w:w="70"/>
              <w:right w:type="dxa" w:w="90"/>
            </w:tcMar>
            <w:vAlign w:val="center"/>
          </w:tcPr>
          <w:p>
            <w:pPr>
              <w:jc w:val="left"/>
            </w:pPr>
            <w:r>
              <w:rPr>
                <w:b w:val="false"/>
                <w:bCs w:val="false"/>
                <w:color w:val="000000"/>
                <w:sz w:val="19"/>
                <w:szCs w:val="19"/>
              </w:rPr>
              <w:t xml:space="preserve">Client</w:t>
            </w:r>
          </w:p>
        </w:tc>
        <w:tc>
          <w:tcPr>
            <w:tcW w:type="dxa" w:w="7800"/>
            <w:shd w:fill="FFFFFF" w:val="clear"/>
            <w:tcMar>
              <w:top w:type="dxa" w:w="70"/>
              <w:left w:type="dxa" w:w="90"/>
              <w:bottom w:type="dxa" w:w="70"/>
              <w:right w:type="dxa" w:w="90"/>
            </w:tcMar>
            <w:vAlign w:val="center"/>
          </w:tcPr>
          <w:p>
            <w:pPr>
              <w:jc w:val="left"/>
            </w:pPr>
            <w:r>
              <w:rPr>
                <w:b w:val="false"/>
                <w:bCs w:val="false"/>
                <w:color w:val="000000"/>
                <w:sz w:val="19"/>
                <w:szCs w:val="19"/>
              </w:rPr>
              <w:t xml:space="preserve">name, billing address, shipping address, GSTIN, state, tenant reference</w:t>
            </w:r>
          </w:p>
        </w:tc>
      </w:tr>
      <w:tr>
        <w:tc>
          <w:tcPr>
            <w:tcW w:type="dxa" w:w="2400"/>
            <w:shd w:fill="EEF1F5" w:val="clear"/>
            <w:tcMar>
              <w:top w:type="dxa" w:w="70"/>
              <w:left w:type="dxa" w:w="90"/>
              <w:bottom w:type="dxa" w:w="70"/>
              <w:right w:type="dxa" w:w="90"/>
            </w:tcMar>
            <w:vAlign w:val="center"/>
          </w:tcPr>
          <w:p>
            <w:pPr>
              <w:jc w:val="left"/>
            </w:pPr>
            <w:r>
              <w:rPr>
                <w:b w:val="false"/>
                <w:bCs w:val="false"/>
                <w:color w:val="000000"/>
                <w:sz w:val="19"/>
                <w:szCs w:val="19"/>
              </w:rPr>
              <w:t xml:space="preserve">Invoice</w:t>
            </w:r>
          </w:p>
        </w:tc>
        <w:tc>
          <w:tcPr>
            <w:tcW w:type="dxa" w:w="7800"/>
            <w:shd w:fill="EEF1F5" w:val="clear"/>
            <w:tcMar>
              <w:top w:type="dxa" w:w="70"/>
              <w:left w:type="dxa" w:w="90"/>
              <w:bottom w:type="dxa" w:w="70"/>
              <w:right w:type="dxa" w:w="90"/>
            </w:tcMar>
            <w:vAlign w:val="center"/>
          </w:tcPr>
          <w:p>
            <w:pPr>
              <w:jc w:val="left"/>
            </w:pPr>
            <w:r>
              <w:rPr>
                <w:b w:val="false"/>
                <w:bCs w:val="false"/>
                <w:color w:val="000000"/>
                <w:sz w:val="19"/>
                <w:szCs w:val="19"/>
              </w:rPr>
              <w:t xml:space="preserve">number, tenant reference, client reference, line items, tax split, status, IRN (if applicable), timestamps</w:t>
            </w:r>
          </w:p>
        </w:tc>
      </w:tr>
      <w:tr>
        <w:tc>
          <w:tcPr>
            <w:tcW w:type="dxa" w:w="2400"/>
            <w:shd w:fill="FFFFFF" w:val="clear"/>
            <w:tcMar>
              <w:top w:type="dxa" w:w="70"/>
              <w:left w:type="dxa" w:w="90"/>
              <w:bottom w:type="dxa" w:w="70"/>
              <w:right w:type="dxa" w:w="90"/>
            </w:tcMar>
            <w:vAlign w:val="center"/>
          </w:tcPr>
          <w:p>
            <w:pPr>
              <w:jc w:val="left"/>
            </w:pPr>
            <w:r>
              <w:rPr>
                <w:b w:val="false"/>
                <w:bCs w:val="false"/>
                <w:color w:val="000000"/>
                <w:sz w:val="19"/>
                <w:szCs w:val="19"/>
              </w:rPr>
              <w:t xml:space="preserve">Invoice Line Item</w:t>
            </w:r>
          </w:p>
        </w:tc>
        <w:tc>
          <w:tcPr>
            <w:tcW w:type="dxa" w:w="7800"/>
            <w:shd w:fill="FFFFFF" w:val="clear"/>
            <w:tcMar>
              <w:top w:type="dxa" w:w="70"/>
              <w:left w:type="dxa" w:w="90"/>
              <w:bottom w:type="dxa" w:w="70"/>
              <w:right w:type="dxa" w:w="90"/>
            </w:tcMar>
            <w:vAlign w:val="center"/>
          </w:tcPr>
          <w:p>
            <w:pPr>
              <w:jc w:val="left"/>
            </w:pPr>
            <w:r>
              <w:rPr>
                <w:b w:val="false"/>
                <w:bCs w:val="false"/>
                <w:color w:val="000000"/>
                <w:sz w:val="19"/>
                <w:szCs w:val="19"/>
              </w:rPr>
              <w:t xml:space="preserve">invoice reference, product reference, quantity, rate, line total</w:t>
            </w:r>
          </w:p>
        </w:tc>
      </w:tr>
      <w:tr>
        <w:tc>
          <w:tcPr>
            <w:tcW w:type="dxa" w:w="2400"/>
            <w:shd w:fill="EEF1F5" w:val="clear"/>
            <w:tcMar>
              <w:top w:type="dxa" w:w="70"/>
              <w:left w:type="dxa" w:w="90"/>
              <w:bottom w:type="dxa" w:w="70"/>
              <w:right w:type="dxa" w:w="90"/>
            </w:tcMar>
            <w:vAlign w:val="center"/>
          </w:tcPr>
          <w:p>
            <w:pPr>
              <w:jc w:val="left"/>
            </w:pPr>
            <w:r>
              <w:rPr>
                <w:b w:val="false"/>
                <w:bCs w:val="false"/>
                <w:color w:val="000000"/>
                <w:sz w:val="19"/>
                <w:szCs w:val="19"/>
              </w:rPr>
              <w:t xml:space="preserve">Credit Note</w:t>
            </w:r>
          </w:p>
        </w:tc>
        <w:tc>
          <w:tcPr>
            <w:tcW w:type="dxa" w:w="7800"/>
            <w:shd w:fill="EEF1F5" w:val="clear"/>
            <w:tcMar>
              <w:top w:type="dxa" w:w="70"/>
              <w:left w:type="dxa" w:w="90"/>
              <w:bottom w:type="dxa" w:w="70"/>
              <w:right w:type="dxa" w:w="90"/>
            </w:tcMar>
            <w:vAlign w:val="center"/>
          </w:tcPr>
          <w:p>
            <w:pPr>
              <w:jc w:val="left"/>
            </w:pPr>
            <w:r>
              <w:rPr>
                <w:b w:val="false"/>
                <w:bCs w:val="false"/>
                <w:color w:val="000000"/>
                <w:sz w:val="19"/>
                <w:szCs w:val="19"/>
              </w:rPr>
              <w:t xml:space="preserve">reference to original invoice, reason, amount, number</w:t>
            </w:r>
          </w:p>
        </w:tc>
      </w:tr>
    </w:tbl>
    <w:p>
      <w:pPr>
        <w:pStyle w:val="Heading1"/>
        <w:spacing w:after="160" w:before="420"/>
      </w:pPr>
      <w:r>
        <w:rPr>
          <w:b/>
          <w:bCs/>
          <w:color w:val="1F3A5F"/>
          <w:sz w:val="30"/>
          <w:szCs w:val="30"/>
        </w:rPr>
        <w:t xml:space="preserve">6 Acceptance Criteria (MVP)</w:t>
      </w:r>
    </w:p>
    <w:p>
      <w:pPr>
        <w:spacing w:after="120" w:line="300"/>
      </w:pPr>
      <w:r>
        <w:rPr>
          <w:sz w:val="21"/>
          <w:szCs w:val="21"/>
        </w:rPr>
        <w:t xml:space="preserve">The system shall be considered ready for MVP client sign-off when the following are demonstrably true:</w:t>
      </w:r>
    </w:p>
    <w:p>
      <w:pPr>
        <w:pStyle w:val="ListParagraph"/>
        <w:numPr>
          <w:ilvl w:val="0"/>
          <w:numId w:val="2"/>
        </w:numPr>
        <w:spacing w:after="60" w:line="280"/>
      </w:pPr>
      <w:r>
        <w:rPr>
          <w:b w:val="false"/>
          <w:bCs w:val="false"/>
          <w:sz w:val="21"/>
          <w:szCs w:val="21"/>
        </w:rPr>
        <w:t xml:space="preserve">A user can generate a fully GST-compliant, correctly tax-split invoice PDF without any manual calculation.</w:t>
      </w:r>
    </w:p>
    <w:p>
      <w:pPr>
        <w:pStyle w:val="ListParagraph"/>
        <w:numPr>
          <w:ilvl w:val="0"/>
          <w:numId w:val="2"/>
        </w:numPr>
        <w:spacing w:after="60" w:line="280"/>
      </w:pPr>
      <w:r>
        <w:rPr>
          <w:b w:val="false"/>
          <w:bCs w:val="false"/>
          <w:sz w:val="21"/>
          <w:szCs w:val="21"/>
        </w:rPr>
        <w:t xml:space="preserve">A user can generate a shipping label PDF for the same client without re-entering address details.</w:t>
      </w:r>
    </w:p>
    <w:p>
      <w:pPr>
        <w:pStyle w:val="ListParagraph"/>
        <w:numPr>
          <w:ilvl w:val="0"/>
          <w:numId w:val="2"/>
        </w:numPr>
        <w:spacing w:after="60" w:line="280"/>
      </w:pPr>
      <w:r>
        <w:rPr>
          <w:b w:val="false"/>
          <w:bCs w:val="false"/>
          <w:sz w:val="21"/>
          <w:szCs w:val="21"/>
        </w:rPr>
        <w:t xml:space="preserve">Product and client entry actively warns on likely duplicates.</w:t>
      </w:r>
    </w:p>
    <w:p>
      <w:pPr>
        <w:pStyle w:val="ListParagraph"/>
        <w:numPr>
          <w:ilvl w:val="0"/>
          <w:numId w:val="2"/>
        </w:numPr>
        <w:spacing w:after="60" w:line="280"/>
      </w:pPr>
      <w:r>
        <w:rPr>
          <w:b w:val="false"/>
          <w:bCs w:val="false"/>
          <w:sz w:val="21"/>
          <w:szCs w:val="21"/>
        </w:rPr>
        <w:t xml:space="preserve">An issued invoice cannot be silently edited; corrections require a credit note.</w:t>
      </w:r>
    </w:p>
    <w:p>
      <w:pPr>
        <w:pStyle w:val="ListParagraph"/>
        <w:numPr>
          <w:ilvl w:val="0"/>
          <w:numId w:val="2"/>
        </w:numPr>
        <w:spacing w:after="60" w:line="280"/>
      </w:pPr>
      <w:r>
        <w:rPr>
          <w:b w:val="false"/>
          <w:bCs w:val="false"/>
          <w:sz w:val="21"/>
          <w:szCs w:val="21"/>
        </w:rPr>
        <w:t xml:space="preserve">At least one tenant above the e-invoicing threshold successfully generates a live IRN via the configured GSP.</w:t>
      </w:r>
    </w:p>
    <w:p>
      <w:pPr>
        <w:pStyle w:val="ListParagraph"/>
        <w:numPr>
          <w:ilvl w:val="0"/>
          <w:numId w:val="2"/>
        </w:numPr>
        <w:spacing w:after="60" w:line="280"/>
      </w:pPr>
      <w:r>
        <w:rPr>
          <w:b w:val="false"/>
          <w:bCs w:val="false"/>
          <w:sz w:val="21"/>
          <w:szCs w:val="21"/>
        </w:rPr>
        <w:t xml:space="preserve">The system remains usable — without data loss — when tested under simulated weak/intermittent connectivity.</w:t>
      </w:r>
    </w:p>
    <w:p>
      <w:pPr>
        <w:pStyle w:val="ListParagraph"/>
        <w:numPr>
          <w:ilvl w:val="0"/>
          <w:numId w:val="2"/>
        </w:numPr>
        <w:spacing w:after="60" w:line="280"/>
      </w:pPr>
      <w:r>
        <w:rPr>
          <w:b w:val="false"/>
          <w:bCs w:val="false"/>
          <w:sz w:val="21"/>
          <w:szCs w:val="21"/>
        </w:rPr>
        <w:t xml:space="preserve">Each of the 3–4 companies can operate with fully isolated data and its own invoice template/numbering.</w:t>
      </w:r>
    </w:p>
    <w:p>
      <w:pPr>
        <w:spacing w:after="100"/>
      </w:pPr>
    </w:p>
    <w:p>
      <w:pPr>
        <w:pBdr>
          <w:bottom w:val="single" w:color="CCCCCC" w:sz="6" w:space="4"/>
        </w:pBdr>
        <w:spacing w:after="240" w:before="120"/>
      </w:pPr>
    </w:p>
    <w:p>
      <w:pPr>
        <w:spacing w:after="120" w:line="300"/>
      </w:pPr>
      <w:r>
        <w:rPr>
          <w:i/>
          <w:iCs/>
          <w:color w:val="888888"/>
          <w:sz w:val="18"/>
          <w:szCs w:val="18"/>
        </w:rPr>
        <w:t xml:space="preserve">This SRS should be reviewed and formally signed off by the client stakeholder before implementation begins. Any requirement change after sign-off should be tracked as a versioned amendment to this document.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Software Requirements Specification — Invoice Management SaaS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2026-08-27T17:36:36.961Z</dcterms:created>
  <dcterms:modified xsi:type="dcterms:W3CDTF">2026-08-27T17:36:36.970Z</dcterms:modified>
</cp:coreProperties>
</file>

<file path=docProps/custom.xml><?xml version="1.0" encoding="utf-8"?>
<Properties xmlns="http://schemas.openxmlformats.org/officeDocument/2006/custom-properties" xmlns:vt="http://schemas.openxmlformats.org/officeDocument/2006/docPropsVTypes"/>
</file>