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Invoice Management SaaS</w:t>
      </w:r>
    </w:p>
    <w:p>
      <w:pPr>
        <w:spacing w:after="300"/>
      </w:pPr>
      <w:r>
        <w:rPr>
          <w:i/>
          <w:iCs/>
          <w:color w:val="44546A"/>
          <w:sz w:val="22"/>
          <w:szCs w:val="22"/>
        </w:rPr>
        <w:t xml:space="preserve">Scope &amp; Feasibility Document — Multi-Tenant Invoicing for Spare Parts Trading Businesses</w:t>
      </w:r>
    </w:p>
    <w:p>
      <w:pPr>
        <w:pBdr>
          <w:bottom w:val="single" w:color="CCCCCC" w:sz="6" w:space="4"/>
        </w:pBdr>
        <w:spacing w:after="240" w:before="120"/>
      </w:pPr>
    </w:p>
    <w:p>
      <w:pPr>
        <w:pStyle w:val="Heading1"/>
        <w:spacing w:after="160" w:before="360"/>
      </w:pPr>
      <w:r>
        <w:rPr>
          <w:b/>
          <w:bCs/>
          <w:color w:val="1F3A5F"/>
          <w:sz w:val="30"/>
          <w:szCs w:val="30"/>
        </w:rPr>
        <w:t xml:space="preserve">1. Problem Statement</w:t>
      </w:r>
    </w:p>
    <w:p>
      <w:pPr>
        <w:spacing w:after="120" w:line="300"/>
      </w:pPr>
      <w:r>
        <w:rPr>
          <w:sz w:val="21"/>
          <w:szCs w:val="21"/>
        </w:rPr>
        <w:t xml:space="preserve">The client currently generates invoices using a Microsoft Word template. For every invoice, staff manually retype product details, quantities, and prices, then calculate totals by hand on a calculator. There is no reusable record of products, no history of manufacturer purchase rates, and no mobile access. The business sells spare parts for air compressors and oxygen plants, sourced from manufacturers and resold to clients — a simple trading model with no inventory management requirement.</w:t>
      </w:r>
    </w:p>
    <w:p>
      <w:pPr>
        <w:pStyle w:val="Heading3"/>
        <w:spacing w:after="80" w:before="180"/>
      </w:pPr>
      <w:r>
        <w:rPr>
          <w:b/>
          <w:bCs/>
          <w:color w:val="44546A"/>
          <w:sz w:val="21"/>
          <w:szCs w:val="21"/>
        </w:rPr>
        <w:t xml:space="preserve">Core pain points</w:t>
      </w:r>
    </w:p>
    <w:p>
      <w:pPr>
        <w:pStyle w:val="ListParagraph"/>
        <w:numPr>
          <w:ilvl w:val="0"/>
          <w:numId w:val="2"/>
        </w:numPr>
        <w:spacing w:after="60" w:line="280"/>
      </w:pPr>
      <w:r>
        <w:rPr>
          <w:b w:val="false"/>
          <w:bCs w:val="false"/>
          <w:sz w:val="21"/>
          <w:szCs w:val="21"/>
        </w:rPr>
        <w:t xml:space="preserve">Every invoice is built from scratch — no memory of past products or clients</w:t>
      </w:r>
    </w:p>
    <w:p>
      <w:pPr>
        <w:pStyle w:val="ListParagraph"/>
        <w:numPr>
          <w:ilvl w:val="0"/>
          <w:numId w:val="2"/>
        </w:numPr>
        <w:spacing w:after="60" w:line="280"/>
      </w:pPr>
      <w:r>
        <w:rPr>
          <w:b w:val="false"/>
          <w:bCs w:val="false"/>
          <w:sz w:val="21"/>
          <w:szCs w:val="21"/>
        </w:rPr>
        <w:t xml:space="preserve">Totals calculated manually, prone to arithmetic error</w:t>
      </w:r>
    </w:p>
    <w:p>
      <w:pPr>
        <w:pStyle w:val="ListParagraph"/>
        <w:numPr>
          <w:ilvl w:val="0"/>
          <w:numId w:val="2"/>
        </w:numPr>
        <w:spacing w:after="60" w:line="280"/>
      </w:pPr>
      <w:r>
        <w:rPr>
          <w:b w:val="false"/>
          <w:bCs w:val="false"/>
          <w:sz w:val="21"/>
          <w:szCs w:val="21"/>
        </w:rPr>
        <w:t xml:space="preserve">No structured record of manufacturer purchase rates over time</w:t>
      </w:r>
    </w:p>
    <w:p>
      <w:pPr>
        <w:pStyle w:val="ListParagraph"/>
        <w:numPr>
          <w:ilvl w:val="0"/>
          <w:numId w:val="2"/>
        </w:numPr>
        <w:spacing w:after="60" w:line="280"/>
      </w:pPr>
      <w:r>
        <w:rPr>
          <w:b w:val="false"/>
          <w:bCs w:val="false"/>
          <w:sz w:val="21"/>
          <w:szCs w:val="21"/>
        </w:rPr>
        <w:t xml:space="preserve">No visibility into margin (sale rate vs. purchase rate)</w:t>
      </w:r>
    </w:p>
    <w:p>
      <w:pPr>
        <w:pStyle w:val="ListParagraph"/>
        <w:numPr>
          <w:ilvl w:val="0"/>
          <w:numId w:val="2"/>
        </w:numPr>
        <w:spacing w:after="60" w:line="280"/>
      </w:pPr>
      <w:r>
        <w:rPr>
          <w:b w:val="false"/>
          <w:bCs w:val="false"/>
          <w:sz w:val="21"/>
          <w:szCs w:val="21"/>
        </w:rPr>
        <w:t xml:space="preserve">Word file is desktop-bound — not usable in the field or on mobile</w:t>
      </w:r>
    </w:p>
    <w:p>
      <w:pPr>
        <w:pStyle w:val="ListParagraph"/>
        <w:numPr>
          <w:ilvl w:val="0"/>
          <w:numId w:val="2"/>
        </w:numPr>
        <w:spacing w:after="60" w:line="280"/>
      </w:pPr>
      <w:r>
        <w:rPr>
          <w:b w:val="false"/>
          <w:bCs w:val="false"/>
          <w:sz w:val="21"/>
          <w:szCs w:val="21"/>
        </w:rPr>
        <w:t xml:space="preserve">Product entries risk duplication over time (e.g. “Bearing 6205” vs “Bearing-6205”)</w:t>
      </w:r>
    </w:p>
    <w:p>
      <w:pPr>
        <w:pStyle w:val="ListParagraph"/>
        <w:numPr>
          <w:ilvl w:val="0"/>
          <w:numId w:val="2"/>
        </w:numPr>
        <w:spacing w:after="60" w:line="280"/>
      </w:pPr>
      <w:r>
        <w:rPr>
          <w:b w:val="false"/>
          <w:bCs w:val="false"/>
          <w:sz w:val="21"/>
          <w:szCs w:val="21"/>
        </w:rPr>
        <w:t xml:space="preserve">A second document — a shipping label/sticker with client name and address — is currently handled separately</w:t>
      </w:r>
    </w:p>
    <w:p>
      <w:pPr>
        <w:pStyle w:val="Heading1"/>
        <w:spacing w:after="160" w:before="360"/>
      </w:pPr>
      <w:r>
        <w:rPr>
          <w:b/>
          <w:bCs/>
          <w:color w:val="1F3A5F"/>
          <w:sz w:val="30"/>
          <w:szCs w:val="30"/>
        </w:rPr>
        <w:t xml:space="preserve">2. Feasibility Assessment</w:t>
      </w:r>
    </w:p>
    <w:p>
      <w:pPr>
        <w:spacing w:after="120" w:line="300"/>
      </w:pPr>
      <w:r>
        <w:rPr>
          <w:sz w:val="21"/>
          <w:szCs w:val="21"/>
        </w:rPr>
        <w:t xml:space="preserve">This is a low technical-risk build. The functional core — product catalog, invoice generation, PDF export, multi-tenant templates — uses well-established patterns (CRUD + PDF rendering + multi-tenancy). Risk is concentrated in two areas that require real design attention rather than novel engineering:</w:t>
      </w:r>
    </w:p>
    <w:p>
      <w:pPr>
        <w:pStyle w:val="Heading3"/>
        <w:spacing w:after="80" w:before="180"/>
      </w:pPr>
      <w:r>
        <w:rPr>
          <w:b/>
          <w:bCs/>
          <w:color w:val="44546A"/>
          <w:sz w:val="21"/>
          <w:szCs w:val="21"/>
        </w:rPr>
        <w:t xml:space="preserve">a) GST compliance (confirmed requirement)</w:t>
      </w:r>
    </w:p>
    <w:p>
      <w:pPr>
        <w:spacing w:after="120" w:line="300"/>
      </w:pPr>
      <w:r>
        <w:rPr>
          <w:sz w:val="21"/>
          <w:szCs w:val="21"/>
        </w:rPr>
        <w:t xml:space="preserve">All companies are GST-registered. Invoices must include GSTIN, HSN codes per line, automatic CGST/SGST vs. IGST split based on buyer state, sequential invoice numbering per financial year, and place-of-supply. At least one company exceeds the government e-invoicing turnover threshold (currently ~₹5 crore), which requires IRN (Invoice Reference Number) generation via a GST Suvidha Provider (GSP) API integration — this is a genuine third-party integration, not just a PDF field, and should be scoped per-company since not all tenants will need it.</w:t>
      </w:r>
    </w:p>
    <w:p>
      <w:pPr>
        <w:pStyle w:val="Heading3"/>
        <w:spacing w:after="80" w:before="180"/>
      </w:pPr>
      <w:r>
        <w:rPr>
          <w:b/>
          <w:bCs/>
          <w:color w:val="44546A"/>
          <w:sz w:val="21"/>
          <w:szCs w:val="21"/>
        </w:rPr>
        <w:t xml:space="preserve">b) Connectivity (confirmed: weak signal, not true offline)</w:t>
      </w:r>
    </w:p>
    <w:p>
      <w:pPr>
        <w:spacing w:after="120" w:line="300"/>
      </w:pPr>
      <w:r>
        <w:rPr>
          <w:sz w:val="21"/>
          <w:szCs w:val="21"/>
        </w:rPr>
        <w:t xml:space="preserve">Since the requirement is patchy signal rather than zero-connectivity operation, a full offline-first sync engine is not required. A Progressive Web App (PWA) with service-worker caching for read-heavy data (product catalog, client list, rate history), local draft persistence for in-progress invoices, and an auto-retry submit queue covers this well. Invoice numbering remains fully server-authoritative, avoiding collision risk entirely. This keeps the build close to a standard web app in complexity.</w:t>
      </w:r>
    </w:p>
    <w:p>
      <w:pPr>
        <w:spacing w:after="100"/>
      </w:pPr>
    </w:p>
    <w:p>
      <w:pPr>
        <w:spacing w:after="120" w:line="300"/>
      </w:pPr>
      <w:r>
        <w:rPr>
          <w:i/>
          <w:iCs/>
          <w:color w:val="44546A"/>
          <w:sz w:val="21"/>
          <w:szCs w:val="21"/>
        </w:rPr>
        <w:t xml:space="preserve">Overall assessment: nothing in this scope requires unproven technology. The work is well-understood; the main execution risk is the same as with any invoicing system — GST/tax errors or invoice-numbering mistakes cost real trust with a live client, so the compliance logic deserves careful testing before go-live.</w:t>
      </w:r>
    </w:p>
    <w:p>
      <w:pPr>
        <w:pStyle w:val="Heading1"/>
        <w:spacing w:after="160" w:before="360"/>
      </w:pPr>
      <w:r>
        <w:rPr>
          <w:b/>
          <w:bCs/>
          <w:color w:val="1F3A5F"/>
          <w:sz w:val="30"/>
          <w:szCs w:val="30"/>
        </w:rPr>
        <w:t xml:space="preserve">3. Core Data Entities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F3A5F" w:val="clear"/>
            <w:tcMar>
              <w:top w:type="dxa" w:w="80"/>
              <w:left w:type="dxa" w:w="100"/>
              <w:bottom w:type="dxa" w:w="80"/>
              <w:right w:type="dxa" w:w="100"/>
            </w:tcMar>
          </w:tcPr>
          <w:p>
            <w:pPr>
              <w:jc w:val="left"/>
            </w:pPr>
            <w:r>
              <w:rPr>
                <w:b/>
                <w:bCs/>
                <w:color w:val="FFFFFF"/>
                <w:sz w:val="20"/>
                <w:szCs w:val="20"/>
              </w:rPr>
              <w:t xml:space="preserve">Entity</w:t>
            </w:r>
          </w:p>
        </w:tc>
        <w:tc>
          <w:tcPr>
            <w:tcW w:type="dxa" w:w="7600"/>
            <w:shd w:fill="1F3A5F"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Company (Tenant)</w:t>
            </w:r>
          </w:p>
        </w:tc>
        <w:tc>
          <w:tcPr>
            <w:tcW w:type="dxa" w:w="7600"/>
            <w:shd w:fill="FFFFFF" w:val="clear"/>
            <w:tcMar>
              <w:top w:type="dxa" w:w="80"/>
              <w:left w:type="dxa" w:w="100"/>
              <w:bottom w:type="dxa" w:w="80"/>
              <w:right w:type="dxa" w:w="100"/>
            </w:tcMar>
          </w:tcPr>
          <w:p>
            <w:pPr>
              <w:jc w:val="left"/>
            </w:pPr>
            <w:r>
              <w:rPr>
                <w:b w:val="false"/>
                <w:bCs w:val="false"/>
                <w:color w:val="000000"/>
                <w:sz w:val="20"/>
                <w:szCs w:val="20"/>
              </w:rPr>
              <w:t xml:space="preserve">One of the 3–4 businesses using the platform. Owns its own logo, letterhead, invoice template, invoice number sequence, and e-invoicing setting.</w:t>
            </w:r>
          </w:p>
        </w:tc>
      </w:tr>
      <w:tr>
        <w:tc>
          <w:tcPr>
            <w:tcW w:type="dxa" w:w="2600"/>
            <w:shd w:fill="EEF1F5" w:val="clear"/>
            <w:tcMar>
              <w:top w:type="dxa" w:w="80"/>
              <w:left w:type="dxa" w:w="100"/>
              <w:bottom w:type="dxa" w:w="80"/>
              <w:right w:type="dxa" w:w="100"/>
            </w:tcMar>
          </w:tcPr>
          <w:p>
            <w:pPr>
              <w:jc w:val="left"/>
            </w:pPr>
            <w:r>
              <w:rPr>
                <w:b w:val="false"/>
                <w:bCs w:val="false"/>
                <w:color w:val="000000"/>
                <w:sz w:val="20"/>
                <w:szCs w:val="20"/>
              </w:rPr>
              <w:t xml:space="preserve">Product</w:t>
            </w:r>
          </w:p>
        </w:tc>
        <w:tc>
          <w:tcPr>
            <w:tcW w:type="dxa" w:w="7600"/>
            <w:shd w:fill="EEF1F5" w:val="clear"/>
            <w:tcMar>
              <w:top w:type="dxa" w:w="80"/>
              <w:left w:type="dxa" w:w="100"/>
              <w:bottom w:type="dxa" w:w="80"/>
              <w:right w:type="dxa" w:w="100"/>
            </w:tcMar>
          </w:tcPr>
          <w:p>
            <w:pPr>
              <w:jc w:val="left"/>
            </w:pPr>
            <w:r>
              <w:rPr>
                <w:b w:val="false"/>
                <w:bCs w:val="false"/>
                <w:color w:val="000000"/>
                <w:sz w:val="20"/>
                <w:szCs w:val="20"/>
              </w:rPr>
              <w:t xml:space="preserve">Spare part master record: name, HSN code, unit of measure. Deduplicated on entry (exact HSN match + fuzzy name match).</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Manufacturer Rate History</w:t>
            </w:r>
          </w:p>
        </w:tc>
        <w:tc>
          <w:tcPr>
            <w:tcW w:type="dxa" w:w="7600"/>
            <w:shd w:fill="FFFFFF" w:val="clear"/>
            <w:tcMar>
              <w:top w:type="dxa" w:w="80"/>
              <w:left w:type="dxa" w:w="100"/>
              <w:bottom w:type="dxa" w:w="80"/>
              <w:right w:type="dxa" w:w="100"/>
            </w:tcMar>
          </w:tcPr>
          <w:p>
            <w:pPr>
              <w:jc w:val="left"/>
            </w:pPr>
            <w:r>
              <w:rPr>
                <w:b w:val="false"/>
                <w:bCs w:val="false"/>
                <w:color w:val="000000"/>
                <w:sz w:val="20"/>
                <w:szCs w:val="20"/>
              </w:rPr>
              <w:t xml:space="preserve">Timestamped record of purchase price paid to each manufacturer, per product. Powers margin visibility.</w:t>
            </w:r>
          </w:p>
        </w:tc>
      </w:tr>
      <w:tr>
        <w:tc>
          <w:tcPr>
            <w:tcW w:type="dxa" w:w="2600"/>
            <w:shd w:fill="EEF1F5" w:val="clear"/>
            <w:tcMar>
              <w:top w:type="dxa" w:w="80"/>
              <w:left w:type="dxa" w:w="100"/>
              <w:bottom w:type="dxa" w:w="80"/>
              <w:right w:type="dxa" w:w="100"/>
            </w:tcMar>
          </w:tcPr>
          <w:p>
            <w:pPr>
              <w:jc w:val="left"/>
            </w:pPr>
            <w:r>
              <w:rPr>
                <w:b w:val="false"/>
                <w:bCs w:val="false"/>
                <w:color w:val="000000"/>
                <w:sz w:val="20"/>
                <w:szCs w:val="20"/>
              </w:rPr>
              <w:t xml:space="preserve">Client</w:t>
            </w:r>
          </w:p>
        </w:tc>
        <w:tc>
          <w:tcPr>
            <w:tcW w:type="dxa" w:w="7600"/>
            <w:shd w:fill="EEF1F5" w:val="clear"/>
            <w:tcMar>
              <w:top w:type="dxa" w:w="80"/>
              <w:left w:type="dxa" w:w="100"/>
              <w:bottom w:type="dxa" w:w="80"/>
              <w:right w:type="dxa" w:w="100"/>
            </w:tcMar>
          </w:tcPr>
          <w:p>
            <w:pPr>
              <w:jc w:val="left"/>
            </w:pPr>
            <w:r>
              <w:rPr>
                <w:b w:val="false"/>
                <w:bCs w:val="false"/>
                <w:color w:val="000000"/>
                <w:sz w:val="20"/>
                <w:szCs w:val="20"/>
              </w:rPr>
              <w:t xml:space="preserve">Buyer master record: name, billing address, shipping address, GSTIN, state (for tax split).</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Invoice</w:t>
            </w:r>
          </w:p>
        </w:tc>
        <w:tc>
          <w:tcPr>
            <w:tcW w:type="dxa" w:w="7600"/>
            <w:shd w:fill="FFFFFF" w:val="clear"/>
            <w:tcMar>
              <w:top w:type="dxa" w:w="80"/>
              <w:left w:type="dxa" w:w="100"/>
              <w:bottom w:type="dxa" w:w="80"/>
              <w:right w:type="dxa" w:w="100"/>
            </w:tcMar>
          </w:tcPr>
          <w:p>
            <w:pPr>
              <w:jc w:val="left"/>
            </w:pPr>
            <w:r>
              <w:rPr>
                <w:b w:val="false"/>
                <w:bCs w:val="false"/>
                <w:color w:val="000000"/>
                <w:sz w:val="20"/>
                <w:szCs w:val="20"/>
              </w:rPr>
              <w:t xml:space="preserve">Draft → Issued → (Paid) state machine. Line items reference the Product store. Immutable once issued — corrections go through Credit Notes.</w:t>
            </w:r>
          </w:p>
        </w:tc>
      </w:tr>
      <w:tr>
        <w:tc>
          <w:tcPr>
            <w:tcW w:type="dxa" w:w="2600"/>
            <w:shd w:fill="EEF1F5" w:val="clear"/>
            <w:tcMar>
              <w:top w:type="dxa" w:w="80"/>
              <w:left w:type="dxa" w:w="100"/>
              <w:bottom w:type="dxa" w:w="80"/>
              <w:right w:type="dxa" w:w="100"/>
            </w:tcMar>
          </w:tcPr>
          <w:p>
            <w:pPr>
              <w:jc w:val="left"/>
            </w:pPr>
            <w:r>
              <w:rPr>
                <w:b w:val="false"/>
                <w:bCs w:val="false"/>
                <w:color w:val="000000"/>
                <w:sz w:val="20"/>
                <w:szCs w:val="20"/>
              </w:rPr>
              <w:t xml:space="preserve">Credit Note</w:t>
            </w:r>
          </w:p>
        </w:tc>
        <w:tc>
          <w:tcPr>
            <w:tcW w:type="dxa" w:w="7600"/>
            <w:shd w:fill="EEF1F5" w:val="clear"/>
            <w:tcMar>
              <w:top w:type="dxa" w:w="80"/>
              <w:left w:type="dxa" w:w="100"/>
              <w:bottom w:type="dxa" w:w="80"/>
              <w:right w:type="dxa" w:w="100"/>
            </w:tcMar>
          </w:tcPr>
          <w:p>
            <w:pPr>
              <w:jc w:val="left"/>
            </w:pPr>
            <w:r>
              <w:rPr>
                <w:b w:val="false"/>
                <w:bCs w:val="false"/>
                <w:color w:val="000000"/>
                <w:sz w:val="20"/>
                <w:szCs w:val="20"/>
              </w:rPr>
              <w:t xml:space="preserve">Formal correction mechanism for an issued invoice, required once invoices are immutable under GST practice.</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Shipping Label</w:t>
            </w:r>
          </w:p>
        </w:tc>
        <w:tc>
          <w:tcPr>
            <w:tcW w:type="dxa" w:w="7600"/>
            <w:shd w:fill="FFFFFF" w:val="clear"/>
            <w:tcMar>
              <w:top w:type="dxa" w:w="80"/>
              <w:left w:type="dxa" w:w="100"/>
              <w:bottom w:type="dxa" w:w="80"/>
              <w:right w:type="dxa" w:w="100"/>
            </w:tcMar>
          </w:tcPr>
          <w:p>
            <w:pPr>
              <w:jc w:val="left"/>
            </w:pPr>
            <w:r>
              <w:rPr>
                <w:b w:val="false"/>
                <w:bCs w:val="false"/>
                <w:color w:val="000000"/>
                <w:sz w:val="20"/>
                <w:szCs w:val="20"/>
              </w:rPr>
              <w:t xml:space="preserve">Separate small-format PDF (client name + address) generated from the same invoice/client data, distinct template from the A4 invoice.</w:t>
            </w:r>
          </w:p>
        </w:tc>
      </w:tr>
    </w:tbl>
    <w:p>
      <w:pPr>
        <w:pStyle w:val="Heading1"/>
        <w:spacing w:after="160" w:before="360"/>
      </w:pPr>
      <w:r>
        <w:rPr>
          <w:b/>
          <w:bCs/>
          <w:color w:val="1F3A5F"/>
          <w:sz w:val="30"/>
          <w:szCs w:val="30"/>
        </w:rPr>
        <w:t xml:space="preserve">4. Feature Scope &amp; Prioritization</w:t>
      </w:r>
    </w:p>
    <w:p>
      <w:pPr>
        <w:spacing w:after="120" w:line="300"/>
      </w:pPr>
      <w:r>
        <w:rPr>
          <w:sz w:val="21"/>
          <w:szCs w:val="21"/>
        </w:rPr>
        <w:t xml:space="preserve">Grouped into three phases so the client gets a working, trustworthy core first, with clear next-phase value rather than one large all-at-once build.</w:t>
      </w:r>
    </w:p>
    <w:p>
      <w:pPr>
        <w:pStyle w:val="Heading2"/>
        <w:spacing w:after="120" w:before="260"/>
      </w:pPr>
      <w:r>
        <w:rPr>
          <w:b/>
          <w:bCs/>
          <w:color w:val="1F3A5F"/>
          <w:sz w:val="24"/>
          <w:szCs w:val="24"/>
        </w:rPr>
        <w:t xml:space="preserve">Phase 1 — MVP (must-have, replaces the Word workflow)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300"/>
        <w:gridCol w:w="4600"/>
        <w:gridCol w:w="1300"/>
      </w:tblGrid>
      <w:tr>
        <w:trPr>
          <w:tblHeader/>
        </w:trPr>
        <w:tc>
          <w:tcPr>
            <w:tcW w:type="dxa" w:w="4300"/>
            <w:shd w:fill="1F3A5F" w:val="clear"/>
            <w:tcMar>
              <w:top w:type="dxa" w:w="80"/>
              <w:left w:type="dxa" w:w="100"/>
              <w:bottom w:type="dxa" w:w="80"/>
              <w:right w:type="dxa" w:w="100"/>
            </w:tcMar>
          </w:tcPr>
          <w:p>
            <w:pPr>
              <w:jc w:val="left"/>
            </w:pPr>
            <w:r>
              <w:rPr>
                <w:b/>
                <w:bCs/>
                <w:color w:val="FFFFFF"/>
                <w:sz w:val="20"/>
                <w:szCs w:val="20"/>
              </w:rPr>
              <w:t xml:space="preserve">Feature</w:t>
            </w:r>
          </w:p>
        </w:tc>
        <w:tc>
          <w:tcPr>
            <w:tcW w:type="dxa" w:w="4600"/>
            <w:shd w:fill="1F3A5F" w:val="clear"/>
            <w:tcMar>
              <w:top w:type="dxa" w:w="80"/>
              <w:left w:type="dxa" w:w="100"/>
              <w:bottom w:type="dxa" w:w="80"/>
              <w:right w:type="dxa" w:w="100"/>
            </w:tcMar>
          </w:tcPr>
          <w:p>
            <w:pPr>
              <w:jc w:val="left"/>
            </w:pPr>
            <w:r>
              <w:rPr>
                <w:b/>
                <w:bCs/>
                <w:color w:val="FFFFFF"/>
                <w:sz w:val="20"/>
                <w:szCs w:val="20"/>
              </w:rPr>
              <w:t xml:space="preserve">Why it matters</w:t>
            </w:r>
          </w:p>
        </w:tc>
        <w:tc>
          <w:tcPr>
            <w:tcW w:type="dxa" w:w="1300"/>
            <w:shd w:fill="1F3A5F" w:val="clear"/>
            <w:tcMar>
              <w:top w:type="dxa" w:w="80"/>
              <w:left w:type="dxa" w:w="100"/>
              <w:bottom w:type="dxa" w:w="80"/>
              <w:right w:type="dxa" w:w="100"/>
            </w:tcMar>
          </w:tcPr>
          <w:p>
            <w:pPr>
              <w:jc w:val="center"/>
            </w:pPr>
            <w:r>
              <w:rPr>
                <w:b/>
                <w:bCs/>
                <w:color w:val="FFFFFF"/>
                <w:sz w:val="20"/>
                <w:szCs w:val="20"/>
              </w:rPr>
              <w:t xml:space="preserve">Priority</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Multi-tenant company setup</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Each of the 3–4 companies gets isolated data, own logo/letterhead, own invoice numbering</w:t>
            </w:r>
          </w:p>
        </w:tc>
        <w:tc>
          <w:tcPr>
            <w:tcW w:type="dxa" w:w="1300"/>
            <w:shd w:fill="FFFFFF"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Product master store with HSN codes</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Core reusable data — eliminates retyping products</w:t>
            </w:r>
          </w:p>
        </w:tc>
        <w:tc>
          <w:tcPr>
            <w:tcW w:type="dxa" w:w="1300"/>
            <w:shd w:fill="EEF1F5"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Duplicate prevention on product entry</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Exact HSN match + fuzzy name match warning</w:t>
            </w:r>
          </w:p>
        </w:tc>
        <w:tc>
          <w:tcPr>
            <w:tcW w:type="dxa" w:w="1300"/>
            <w:shd w:fill="FFFFFF"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Manufacturer rate history</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Per product, per manufacturer, timestamped</w:t>
            </w:r>
          </w:p>
        </w:tc>
        <w:tc>
          <w:tcPr>
            <w:tcW w:type="dxa" w:w="1300"/>
            <w:shd w:fill="EEF1F5"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Invoice builder with autocomplete</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Search/select from product store; auto qty × rate × total</w:t>
            </w:r>
          </w:p>
        </w:tc>
        <w:tc>
          <w:tcPr>
            <w:tcW w:type="dxa" w:w="1300"/>
            <w:shd w:fill="FFFFFF"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Automatic GST calculation</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CGST/SGST vs IGST split by buyer state; place of supply</w:t>
            </w:r>
          </w:p>
        </w:tc>
        <w:tc>
          <w:tcPr>
            <w:tcW w:type="dxa" w:w="1300"/>
            <w:shd w:fill="EEF1F5"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Sequential invoice numbering</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Server-authoritative, per financial year, no gaps</w:t>
            </w:r>
          </w:p>
        </w:tc>
        <w:tc>
          <w:tcPr>
            <w:tcW w:type="dxa" w:w="1300"/>
            <w:shd w:fill="FFFFFF"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Invoice PDF generation (A4)</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Shareable PDF per company template</w:t>
            </w:r>
          </w:p>
        </w:tc>
        <w:tc>
          <w:tcPr>
            <w:tcW w:type="dxa" w:w="1300"/>
            <w:shd w:fill="EEF1F5"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Shipping label / sticker PDF</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Separate small-format template, client name + address</w:t>
            </w:r>
          </w:p>
        </w:tc>
        <w:tc>
          <w:tcPr>
            <w:tcW w:type="dxa" w:w="1300"/>
            <w:shd w:fill="FFFFFF"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Per-company e-invoicing (IRN)</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GSP integration for companies above turnover threshold</w:t>
            </w:r>
          </w:p>
        </w:tc>
        <w:tc>
          <w:tcPr>
            <w:tcW w:type="dxa" w:w="1300"/>
            <w:shd w:fill="EEF1F5"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Invoice history (searchable, mobile-viewable)</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Replaces “where did I save that Word file” problem</w:t>
            </w:r>
          </w:p>
        </w:tc>
        <w:tc>
          <w:tcPr>
            <w:tcW w:type="dxa" w:w="1300"/>
            <w:shd w:fill="FFFFFF" w:val="clear"/>
            <w:tcMar>
              <w:top w:type="dxa" w:w="80"/>
              <w:left w:type="dxa" w:w="100"/>
              <w:bottom w:type="dxa" w:w="80"/>
              <w:right w:type="dxa" w:w="100"/>
            </w:tcMar>
          </w:tcPr>
          <w:p>
            <w:pPr>
              <w:jc w:val="center"/>
            </w:pPr>
            <w:r>
              <w:rPr>
                <w:b w:val="false"/>
                <w:bCs w:val="false"/>
                <w:color w:val="2E7D32"/>
                <w:sz w:val="20"/>
                <w:szCs w:val="20"/>
              </w:rPr>
              <w:t xml:space="preserve">Must</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PWA with caching + submit queue</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Usable on patchy signal in the field</w:t>
            </w:r>
          </w:p>
        </w:tc>
        <w:tc>
          <w:tcPr>
            <w:tcW w:type="dxa" w:w="1300"/>
            <w:shd w:fill="EEF1F5" w:val="clear"/>
            <w:tcMar>
              <w:top w:type="dxa" w:w="80"/>
              <w:left w:type="dxa" w:w="100"/>
              <w:bottom w:type="dxa" w:w="80"/>
              <w:right w:type="dxa" w:w="100"/>
            </w:tcMar>
          </w:tcPr>
          <w:p>
            <w:pPr>
              <w:jc w:val="center"/>
            </w:pPr>
            <w:r>
              <w:rPr>
                <w:b w:val="false"/>
                <w:bCs w:val="false"/>
                <w:color w:val="2E7D32"/>
                <w:sz w:val="20"/>
                <w:szCs w:val="20"/>
              </w:rPr>
              <w:t xml:space="preserve">Must</w:t>
            </w:r>
          </w:p>
        </w:tc>
      </w:tr>
    </w:tbl>
    <w:p>
      <w:pPr>
        <w:pStyle w:val="Heading2"/>
        <w:spacing w:after="120" w:before="260"/>
      </w:pPr>
      <w:r>
        <w:rPr>
          <w:b/>
          <w:bCs/>
          <w:color w:val="1F3A5F"/>
          <w:sz w:val="24"/>
          <w:szCs w:val="24"/>
        </w:rPr>
        <w:t xml:space="preserve">Phase 2 — Fast Follow (directly reduces repeated work)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300"/>
        <w:gridCol w:w="4600"/>
        <w:gridCol w:w="1300"/>
      </w:tblGrid>
      <w:tr>
        <w:trPr>
          <w:tblHeader/>
        </w:trPr>
        <w:tc>
          <w:tcPr>
            <w:tcW w:type="dxa" w:w="4300"/>
            <w:shd w:fill="1F3A5F" w:val="clear"/>
            <w:tcMar>
              <w:top w:type="dxa" w:w="80"/>
              <w:left w:type="dxa" w:w="100"/>
              <w:bottom w:type="dxa" w:w="80"/>
              <w:right w:type="dxa" w:w="100"/>
            </w:tcMar>
          </w:tcPr>
          <w:p>
            <w:pPr>
              <w:jc w:val="left"/>
            </w:pPr>
            <w:r>
              <w:rPr>
                <w:b/>
                <w:bCs/>
                <w:color w:val="FFFFFF"/>
                <w:sz w:val="20"/>
                <w:szCs w:val="20"/>
              </w:rPr>
              <w:t xml:space="preserve">Feature</w:t>
            </w:r>
          </w:p>
        </w:tc>
        <w:tc>
          <w:tcPr>
            <w:tcW w:type="dxa" w:w="4600"/>
            <w:shd w:fill="1F3A5F" w:val="clear"/>
            <w:tcMar>
              <w:top w:type="dxa" w:w="80"/>
              <w:left w:type="dxa" w:w="100"/>
              <w:bottom w:type="dxa" w:w="80"/>
              <w:right w:type="dxa" w:w="100"/>
            </w:tcMar>
          </w:tcPr>
          <w:p>
            <w:pPr>
              <w:jc w:val="left"/>
            </w:pPr>
            <w:r>
              <w:rPr>
                <w:b/>
                <w:bCs/>
                <w:color w:val="FFFFFF"/>
                <w:sz w:val="20"/>
                <w:szCs w:val="20"/>
              </w:rPr>
              <w:t xml:space="preserve">Why it matters</w:t>
            </w:r>
          </w:p>
        </w:tc>
        <w:tc>
          <w:tcPr>
            <w:tcW w:type="dxa" w:w="1300"/>
            <w:shd w:fill="1F3A5F" w:val="clear"/>
            <w:tcMar>
              <w:top w:type="dxa" w:w="80"/>
              <w:left w:type="dxa" w:w="100"/>
              <w:bottom w:type="dxa" w:w="80"/>
              <w:right w:type="dxa" w:w="100"/>
            </w:tcMar>
          </w:tcPr>
          <w:p>
            <w:pPr>
              <w:jc w:val="center"/>
            </w:pPr>
            <w:r>
              <w:rPr>
                <w:b/>
                <w:bCs/>
                <w:color w:val="FFFFFF"/>
                <w:sz w:val="20"/>
                <w:szCs w:val="20"/>
              </w:rPr>
              <w:t xml:space="preserve">Priority</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Client master list with autocomplete</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Same reuse benefit as products — stop retyping client details</w:t>
            </w:r>
          </w:p>
        </w:tc>
        <w:tc>
          <w:tcPr>
            <w:tcW w:type="dxa" w:w="1300"/>
            <w:shd w:fill="FFFFFF" w:val="clear"/>
            <w:tcMar>
              <w:top w:type="dxa" w:w="80"/>
              <w:left w:type="dxa" w:w="100"/>
              <w:bottom w:type="dxa" w:w="80"/>
              <w:right w:type="dxa" w:w="100"/>
            </w:tcMar>
          </w:tcPr>
          <w:p>
            <w:pPr>
              <w:jc w:val="center"/>
            </w:pPr>
            <w:r>
              <w:rPr>
                <w:b w:val="false"/>
                <w:bCs w:val="false"/>
                <w:color w:val="B26A00"/>
                <w:sz w:val="20"/>
                <w:szCs w:val="20"/>
              </w:rPr>
              <w:t xml:space="preserve">Should</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“Recently sold to this client” suggestions</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Spare parts buyers often reorder similar sets — speeds invoice entry</w:t>
            </w:r>
          </w:p>
        </w:tc>
        <w:tc>
          <w:tcPr>
            <w:tcW w:type="dxa" w:w="1300"/>
            <w:shd w:fill="EEF1F5" w:val="clear"/>
            <w:tcMar>
              <w:top w:type="dxa" w:w="80"/>
              <w:left w:type="dxa" w:w="100"/>
              <w:bottom w:type="dxa" w:w="80"/>
              <w:right w:type="dxa" w:w="100"/>
            </w:tcMar>
          </w:tcPr>
          <w:p>
            <w:pPr>
              <w:jc w:val="center"/>
            </w:pPr>
            <w:r>
              <w:rPr>
                <w:b w:val="false"/>
                <w:bCs w:val="false"/>
                <w:color w:val="B26A00"/>
                <w:sz w:val="20"/>
                <w:szCs w:val="20"/>
              </w:rPr>
              <w:t xml:space="preserve">Should</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Margin visibility per invoice/line</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Sale rate vs. manufacturer rate is already tracked — nearly free to surface</w:t>
            </w:r>
          </w:p>
        </w:tc>
        <w:tc>
          <w:tcPr>
            <w:tcW w:type="dxa" w:w="1300"/>
            <w:shd w:fill="FFFFFF" w:val="clear"/>
            <w:tcMar>
              <w:top w:type="dxa" w:w="80"/>
              <w:left w:type="dxa" w:w="100"/>
              <w:bottom w:type="dxa" w:w="80"/>
              <w:right w:type="dxa" w:w="100"/>
            </w:tcMar>
          </w:tcPr>
          <w:p>
            <w:pPr>
              <w:jc w:val="center"/>
            </w:pPr>
            <w:r>
              <w:rPr>
                <w:b w:val="false"/>
                <w:bCs w:val="false"/>
                <w:color w:val="B26A00"/>
                <w:sz w:val="20"/>
                <w:szCs w:val="20"/>
              </w:rPr>
              <w:t xml:space="preserve">Should</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Credit note workflow</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Required once invoices are immutable post-issuance</w:t>
            </w:r>
          </w:p>
        </w:tc>
        <w:tc>
          <w:tcPr>
            <w:tcW w:type="dxa" w:w="1300"/>
            <w:shd w:fill="EEF1F5" w:val="clear"/>
            <w:tcMar>
              <w:top w:type="dxa" w:w="80"/>
              <w:left w:type="dxa" w:w="100"/>
              <w:bottom w:type="dxa" w:w="80"/>
              <w:right w:type="dxa" w:w="100"/>
            </w:tcMar>
          </w:tcPr>
          <w:p>
            <w:pPr>
              <w:jc w:val="center"/>
            </w:pPr>
            <w:r>
              <w:rPr>
                <w:b w:val="false"/>
                <w:bCs w:val="false"/>
                <w:color w:val="B26A00"/>
                <w:sz w:val="20"/>
                <w:szCs w:val="20"/>
              </w:rPr>
              <w:t xml:space="preserve">Should</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Role-based access (staff vs. owner)</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Manufacturer cost/margin data is sensitive; staff may only need invoice creation</w:t>
            </w:r>
          </w:p>
        </w:tc>
        <w:tc>
          <w:tcPr>
            <w:tcW w:type="dxa" w:w="1300"/>
            <w:shd w:fill="FFFFFF" w:val="clear"/>
            <w:tcMar>
              <w:top w:type="dxa" w:w="80"/>
              <w:left w:type="dxa" w:w="100"/>
              <w:bottom w:type="dxa" w:w="80"/>
              <w:right w:type="dxa" w:w="100"/>
            </w:tcMar>
          </w:tcPr>
          <w:p>
            <w:pPr>
              <w:jc w:val="center"/>
            </w:pPr>
            <w:r>
              <w:rPr>
                <w:b w:val="false"/>
                <w:bCs w:val="false"/>
                <w:color w:val="B26A00"/>
                <w:sz w:val="20"/>
                <w:szCs w:val="20"/>
              </w:rPr>
              <w:t xml:space="preserve">Should</w:t>
            </w:r>
          </w:p>
        </w:tc>
      </w:tr>
    </w:tbl>
    <w:p>
      <w:pPr>
        <w:pStyle w:val="Heading2"/>
        <w:spacing w:after="120" w:before="260"/>
      </w:pPr>
      <w:r>
        <w:rPr>
          <w:b/>
          <w:bCs/>
          <w:color w:val="1F3A5F"/>
          <w:sz w:val="24"/>
          <w:szCs w:val="24"/>
        </w:rPr>
        <w:t xml:space="preserve">Phase 3 — AI-Assisted Differentiators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300"/>
        <w:gridCol w:w="4600"/>
        <w:gridCol w:w="1300"/>
      </w:tblGrid>
      <w:tr>
        <w:trPr>
          <w:tblHeader/>
        </w:trPr>
        <w:tc>
          <w:tcPr>
            <w:tcW w:type="dxa" w:w="4300"/>
            <w:shd w:fill="1F3A5F" w:val="clear"/>
            <w:tcMar>
              <w:top w:type="dxa" w:w="80"/>
              <w:left w:type="dxa" w:w="100"/>
              <w:bottom w:type="dxa" w:w="80"/>
              <w:right w:type="dxa" w:w="100"/>
            </w:tcMar>
          </w:tcPr>
          <w:p>
            <w:pPr>
              <w:jc w:val="left"/>
            </w:pPr>
            <w:r>
              <w:rPr>
                <w:b/>
                <w:bCs/>
                <w:color w:val="FFFFFF"/>
                <w:sz w:val="20"/>
                <w:szCs w:val="20"/>
              </w:rPr>
              <w:t xml:space="preserve">Feature</w:t>
            </w:r>
          </w:p>
        </w:tc>
        <w:tc>
          <w:tcPr>
            <w:tcW w:type="dxa" w:w="4600"/>
            <w:shd w:fill="1F3A5F" w:val="clear"/>
            <w:tcMar>
              <w:top w:type="dxa" w:w="80"/>
              <w:left w:type="dxa" w:w="100"/>
              <w:bottom w:type="dxa" w:w="80"/>
              <w:right w:type="dxa" w:w="100"/>
            </w:tcMar>
          </w:tcPr>
          <w:p>
            <w:pPr>
              <w:jc w:val="left"/>
            </w:pPr>
            <w:r>
              <w:rPr>
                <w:b/>
                <w:bCs/>
                <w:color w:val="FFFFFF"/>
                <w:sz w:val="20"/>
                <w:szCs w:val="20"/>
              </w:rPr>
              <w:t xml:space="preserve">Why it matters</w:t>
            </w:r>
          </w:p>
        </w:tc>
        <w:tc>
          <w:tcPr>
            <w:tcW w:type="dxa" w:w="1300"/>
            <w:shd w:fill="1F3A5F" w:val="clear"/>
            <w:tcMar>
              <w:top w:type="dxa" w:w="80"/>
              <w:left w:type="dxa" w:w="100"/>
              <w:bottom w:type="dxa" w:w="80"/>
              <w:right w:type="dxa" w:w="100"/>
            </w:tcMar>
          </w:tcPr>
          <w:p>
            <w:pPr>
              <w:jc w:val="center"/>
            </w:pPr>
            <w:r>
              <w:rPr>
                <w:b/>
                <w:bCs/>
                <w:color w:val="FFFFFF"/>
                <w:sz w:val="20"/>
                <w:szCs w:val="20"/>
              </w:rPr>
              <w:t xml:space="preserve">Priority</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Smart duplicate/product matching</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Fuzzy match flags likely duplicates at entry time, stronger than exact search alone</w:t>
            </w:r>
          </w:p>
        </w:tc>
        <w:tc>
          <w:tcPr>
            <w:tcW w:type="dxa" w:w="1300"/>
            <w:shd w:fill="FFFFFF" w:val="clear"/>
            <w:tcMar>
              <w:top w:type="dxa" w:w="80"/>
              <w:left w:type="dxa" w:w="100"/>
              <w:bottom w:type="dxa" w:w="80"/>
              <w:right w:type="dxa" w:w="100"/>
            </w:tcMar>
          </w:tcPr>
          <w:p>
            <w:pPr>
              <w:jc w:val="center"/>
            </w:pPr>
            <w:r>
              <w:rPr>
                <w:b w:val="false"/>
                <w:bCs w:val="false"/>
                <w:color w:val="44546A"/>
                <w:sz w:val="20"/>
                <w:szCs w:val="20"/>
              </w:rPr>
              <w:t xml:space="preserve">Could</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OCR bulk import from old Word/PDF invoices</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One-time high-value migration aid — populate product store from history instead of manual re-entry</w:t>
            </w:r>
          </w:p>
        </w:tc>
        <w:tc>
          <w:tcPr>
            <w:tcW w:type="dxa" w:w="1300"/>
            <w:shd w:fill="EEF1F5" w:val="clear"/>
            <w:tcMar>
              <w:top w:type="dxa" w:w="80"/>
              <w:left w:type="dxa" w:w="100"/>
              <w:bottom w:type="dxa" w:w="80"/>
              <w:right w:type="dxa" w:w="100"/>
            </w:tcMar>
          </w:tcPr>
          <w:p>
            <w:pPr>
              <w:jc w:val="center"/>
            </w:pPr>
            <w:r>
              <w:rPr>
                <w:b w:val="false"/>
                <w:bCs w:val="false"/>
                <w:color w:val="44546A"/>
                <w:sz w:val="20"/>
                <w:szCs w:val="20"/>
              </w:rPr>
              <w:t xml:space="preserve">Could</w:t>
            </w:r>
          </w:p>
        </w:tc>
      </w:tr>
      <w:tr>
        <w:tc>
          <w:tcPr>
            <w:tcW w:type="dxa" w:w="4300"/>
            <w:shd w:fill="FFFFFF" w:val="clear"/>
            <w:tcMar>
              <w:top w:type="dxa" w:w="80"/>
              <w:left w:type="dxa" w:w="100"/>
              <w:bottom w:type="dxa" w:w="80"/>
              <w:right w:type="dxa" w:w="100"/>
            </w:tcMar>
          </w:tcPr>
          <w:p>
            <w:pPr>
              <w:jc w:val="left"/>
            </w:pPr>
            <w:r>
              <w:rPr>
                <w:b/>
                <w:bCs/>
                <w:color w:val="000000"/>
                <w:sz w:val="20"/>
                <w:szCs w:val="20"/>
              </w:rPr>
              <w:t xml:space="preserve">Rate anomaly detection</w:t>
            </w:r>
          </w:p>
        </w:tc>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Flags manufacturer rate changes that deviate sharply from recent purchases — catches errors and real price shifts</w:t>
            </w:r>
          </w:p>
        </w:tc>
        <w:tc>
          <w:tcPr>
            <w:tcW w:type="dxa" w:w="1300"/>
            <w:shd w:fill="FFFFFF" w:val="clear"/>
            <w:tcMar>
              <w:top w:type="dxa" w:w="80"/>
              <w:left w:type="dxa" w:w="100"/>
              <w:bottom w:type="dxa" w:w="80"/>
              <w:right w:type="dxa" w:w="100"/>
            </w:tcMar>
          </w:tcPr>
          <w:p>
            <w:pPr>
              <w:jc w:val="center"/>
            </w:pPr>
            <w:r>
              <w:rPr>
                <w:b w:val="false"/>
                <w:bCs w:val="false"/>
                <w:color w:val="44546A"/>
                <w:sz w:val="20"/>
                <w:szCs w:val="20"/>
              </w:rPr>
              <w:t xml:space="preserve">Could</w:t>
            </w:r>
          </w:p>
        </w:tc>
      </w:tr>
      <w:tr>
        <w:tc>
          <w:tcPr>
            <w:tcW w:type="dxa" w:w="4300"/>
            <w:shd w:fill="EEF1F5" w:val="clear"/>
            <w:tcMar>
              <w:top w:type="dxa" w:w="80"/>
              <w:left w:type="dxa" w:w="100"/>
              <w:bottom w:type="dxa" w:w="80"/>
              <w:right w:type="dxa" w:w="100"/>
            </w:tcMar>
          </w:tcPr>
          <w:p>
            <w:pPr>
              <w:jc w:val="left"/>
            </w:pPr>
            <w:r>
              <w:rPr>
                <w:b/>
                <w:bCs/>
                <w:color w:val="000000"/>
                <w:sz w:val="20"/>
                <w:szCs w:val="20"/>
              </w:rPr>
              <w:t xml:space="preserve">Natural-language invoice search</w:t>
            </w:r>
          </w:p>
        </w:tc>
        <w:tc>
          <w:tcPr>
            <w:tcW w:type="dxa" w:w="4600"/>
            <w:shd w:fill="EEF1F5" w:val="clear"/>
            <w:tcMar>
              <w:top w:type="dxa" w:w="80"/>
              <w:left w:type="dxa" w:w="100"/>
              <w:bottom w:type="dxa" w:w="80"/>
              <w:right w:type="dxa" w:w="100"/>
            </w:tcMar>
          </w:tcPr>
          <w:p>
            <w:pPr>
              <w:jc w:val="left"/>
            </w:pPr>
            <w:r>
              <w:rPr>
                <w:b w:val="false"/>
                <w:bCs w:val="false"/>
                <w:color w:val="000000"/>
                <w:sz w:val="20"/>
                <w:szCs w:val="20"/>
              </w:rPr>
              <w:t xml:space="preserve">“Show everything sold to Client X in the last 6 months”</w:t>
            </w:r>
          </w:p>
        </w:tc>
        <w:tc>
          <w:tcPr>
            <w:tcW w:type="dxa" w:w="1300"/>
            <w:shd w:fill="EEF1F5" w:val="clear"/>
            <w:tcMar>
              <w:top w:type="dxa" w:w="80"/>
              <w:left w:type="dxa" w:w="100"/>
              <w:bottom w:type="dxa" w:w="80"/>
              <w:right w:type="dxa" w:w="100"/>
            </w:tcMar>
          </w:tcPr>
          <w:p>
            <w:pPr>
              <w:jc w:val="center"/>
            </w:pPr>
            <w:r>
              <w:rPr>
                <w:b w:val="false"/>
                <w:bCs w:val="false"/>
                <w:color w:val="44546A"/>
                <w:sz w:val="20"/>
                <w:szCs w:val="20"/>
              </w:rPr>
              <w:t xml:space="preserve">Could</w:t>
            </w:r>
          </w:p>
        </w:tc>
      </w:tr>
    </w:tbl>
    <w:p>
      <w:pPr>
        <w:pStyle w:val="Heading1"/>
        <w:spacing w:after="160" w:before="360"/>
      </w:pPr>
      <w:r>
        <w:rPr>
          <w:b/>
          <w:bCs/>
          <w:color w:val="1F3A5F"/>
          <w:sz w:val="30"/>
          <w:szCs w:val="30"/>
        </w:rPr>
        <w:t xml:space="preserve">5. Two Distinct Output Documents</w:t>
      </w:r>
    </w:p>
    <w:p>
      <w:pPr>
        <w:spacing w:after="120" w:line="300"/>
      </w:pPr>
      <w:r>
        <w:rPr>
          <w:sz w:val="21"/>
          <w:szCs w:val="21"/>
        </w:rPr>
        <w:t xml:space="preserve">A key detail worth designing for explicitly: the system produces two separate PDF artifacts from overlapping data, not one document with two views.</w:t>
      </w:r>
    </w:p>
    <w:p>
      <w:pPr>
        <w:pStyle w:val="Heading3"/>
        <w:spacing w:after="80" w:before="180"/>
      </w:pPr>
      <w:r>
        <w:rPr>
          <w:b/>
          <w:bCs/>
          <w:color w:val="44546A"/>
          <w:sz w:val="21"/>
          <w:szCs w:val="21"/>
        </w:rPr>
        <w:t xml:space="preserve">Invoice (A4)</w:t>
      </w:r>
    </w:p>
    <w:p>
      <w:pPr>
        <w:pStyle w:val="ListParagraph"/>
        <w:numPr>
          <w:ilvl w:val="0"/>
          <w:numId w:val="2"/>
        </w:numPr>
        <w:spacing w:after="60" w:line="280"/>
      </w:pPr>
      <w:r>
        <w:rPr>
          <w:b w:val="false"/>
          <w:bCs w:val="false"/>
          <w:sz w:val="21"/>
          <w:szCs w:val="21"/>
        </w:rPr>
        <w:t xml:space="preserve">Full company letterhead, GSTIN, HSN codes, line items, tax split, totals</w:t>
      </w:r>
    </w:p>
    <w:p>
      <w:pPr>
        <w:pStyle w:val="ListParagraph"/>
        <w:numPr>
          <w:ilvl w:val="0"/>
          <w:numId w:val="2"/>
        </w:numPr>
        <w:spacing w:after="60" w:line="280"/>
      </w:pPr>
      <w:r>
        <w:rPr>
          <w:b w:val="false"/>
          <w:bCs w:val="false"/>
          <w:sz w:val="21"/>
          <w:szCs w:val="21"/>
        </w:rPr>
        <w:t xml:space="preserve">Optional IRN/QR code block for companies above the e-invoicing threshold</w:t>
      </w:r>
    </w:p>
    <w:p>
      <w:pPr>
        <w:pStyle w:val="ListParagraph"/>
        <w:numPr>
          <w:ilvl w:val="0"/>
          <w:numId w:val="2"/>
        </w:numPr>
        <w:spacing w:after="60" w:line="280"/>
      </w:pPr>
      <w:r>
        <w:rPr>
          <w:b w:val="false"/>
          <w:bCs w:val="false"/>
          <w:sz w:val="21"/>
          <w:szCs w:val="21"/>
        </w:rPr>
        <w:t xml:space="preserve">Per-company template (logo, footer terms, numbering format)</w:t>
      </w:r>
    </w:p>
    <w:p>
      <w:pPr>
        <w:pStyle w:val="Heading3"/>
        <w:spacing w:after="80" w:before="180"/>
      </w:pPr>
      <w:r>
        <w:rPr>
          <w:b/>
          <w:bCs/>
          <w:color w:val="44546A"/>
          <w:sz w:val="21"/>
          <w:szCs w:val="21"/>
        </w:rPr>
        <w:t xml:space="preserve">Shipping Label / Sticker</w:t>
      </w:r>
    </w:p>
    <w:p>
      <w:pPr>
        <w:pStyle w:val="ListParagraph"/>
        <w:numPr>
          <w:ilvl w:val="0"/>
          <w:numId w:val="2"/>
        </w:numPr>
        <w:spacing w:after="60" w:line="280"/>
      </w:pPr>
      <w:r>
        <w:rPr>
          <w:b w:val="false"/>
          <w:bCs w:val="false"/>
          <w:sz w:val="21"/>
          <w:szCs w:val="21"/>
        </w:rPr>
        <w:t xml:space="preserve">Small print format (e.g. 4×6″ or similar label size, not A4)</w:t>
      </w:r>
    </w:p>
    <w:p>
      <w:pPr>
        <w:pStyle w:val="ListParagraph"/>
        <w:numPr>
          <w:ilvl w:val="0"/>
          <w:numId w:val="2"/>
        </w:numPr>
        <w:spacing w:after="60" w:line="280"/>
      </w:pPr>
      <w:r>
        <w:rPr>
          <w:b w:val="false"/>
          <w:bCs w:val="false"/>
          <w:sz w:val="21"/>
          <w:szCs w:val="21"/>
        </w:rPr>
        <w:t xml:space="preserve">Client name and address only — pulled from the same Client record used on the invoice</w:t>
      </w:r>
    </w:p>
    <w:p>
      <w:pPr>
        <w:pStyle w:val="ListParagraph"/>
        <w:numPr>
          <w:ilvl w:val="0"/>
          <w:numId w:val="2"/>
        </w:numPr>
        <w:spacing w:after="60" w:line="280"/>
      </w:pPr>
      <w:r>
        <w:rPr>
          <w:b w:val="false"/>
          <w:bCs w:val="false"/>
          <w:sz w:val="21"/>
          <w:szCs w:val="21"/>
        </w:rPr>
        <w:t xml:space="preserve">Generated alongside or independently of the invoice PDF, since dispatch and billing may not always happen at the same moment</w:t>
      </w:r>
    </w:p>
    <w:p>
      <w:pPr>
        <w:pStyle w:val="Heading1"/>
        <w:spacing w:after="160" w:before="360"/>
      </w:pPr>
      <w:r>
        <w:rPr>
          <w:b/>
          <w:bCs/>
          <w:color w:val="1F3A5F"/>
          <w:sz w:val="30"/>
          <w:szCs w:val="30"/>
        </w:rPr>
        <w:t xml:space="preserve">6. Open Questions Before Build Starts</w:t>
      </w:r>
    </w:p>
    <w:p>
      <w:pPr>
        <w:spacing w:after="120" w:line="300"/>
      </w:pPr>
      <w:r>
        <w:rPr>
          <w:sz w:val="21"/>
          <w:szCs w:val="21"/>
        </w:rPr>
        <w:t xml:space="preserve">Answering these now avoids rework later:</w:t>
      </w:r>
    </w:p>
    <w:p>
      <w:pPr>
        <w:pStyle w:val="ListParagraph"/>
        <w:numPr>
          <w:ilvl w:val="0"/>
          <w:numId w:val="2"/>
        </w:numPr>
        <w:spacing w:after="60" w:line="280"/>
      </w:pPr>
      <w:r>
        <w:rPr>
          <w:b w:val="false"/>
          <w:bCs w:val="false"/>
          <w:sz w:val="21"/>
          <w:szCs w:val="21"/>
        </w:rPr>
        <w:t xml:space="preserve">Which specific company(s) are above the e-invoicing threshold, and which GSP should be used?</w:t>
      </w:r>
    </w:p>
    <w:p>
      <w:pPr>
        <w:pStyle w:val="ListParagraph"/>
        <w:numPr>
          <w:ilvl w:val="0"/>
          <w:numId w:val="2"/>
        </w:numPr>
        <w:spacing w:after="60" w:line="280"/>
      </w:pPr>
      <w:r>
        <w:rPr>
          <w:b w:val="false"/>
          <w:bCs w:val="false"/>
          <w:sz w:val="21"/>
          <w:szCs w:val="21"/>
        </w:rPr>
        <w:t xml:space="preserve">Do all 3–4 companies share one invoice numbering format, or does each need a distinct series/prefix?</w:t>
      </w:r>
    </w:p>
    <w:p>
      <w:pPr>
        <w:pStyle w:val="ListParagraph"/>
        <w:numPr>
          <w:ilvl w:val="0"/>
          <w:numId w:val="2"/>
        </w:numPr>
        <w:spacing w:after="60" w:line="280"/>
      </w:pPr>
      <w:r>
        <w:rPr>
          <w:b w:val="false"/>
          <w:bCs w:val="false"/>
          <w:sz w:val="21"/>
          <w:szCs w:val="21"/>
        </w:rPr>
        <w:t xml:space="preserve">Should staff who create invoices see manufacturer rates and margin, or is that owner-only?</w:t>
      </w:r>
    </w:p>
    <w:p>
      <w:pPr>
        <w:pStyle w:val="ListParagraph"/>
        <w:numPr>
          <w:ilvl w:val="0"/>
          <w:numId w:val="2"/>
        </w:numPr>
        <w:spacing w:after="60" w:line="280"/>
      </w:pPr>
      <w:r>
        <w:rPr>
          <w:b w:val="false"/>
          <w:bCs w:val="false"/>
          <w:sz w:val="21"/>
          <w:szCs w:val="21"/>
        </w:rPr>
        <w:t xml:space="preserve">What exact label size/format is currently used for the parcel sticker?</w:t>
      </w:r>
    </w:p>
    <w:p>
      <w:pPr>
        <w:pStyle w:val="ListParagraph"/>
        <w:numPr>
          <w:ilvl w:val="0"/>
          <w:numId w:val="2"/>
        </w:numPr>
        <w:spacing w:after="60" w:line="280"/>
      </w:pPr>
      <w:r>
        <w:rPr>
          <w:b w:val="false"/>
          <w:bCs w:val="false"/>
          <w:sz w:val="21"/>
          <w:szCs w:val="21"/>
        </w:rPr>
        <w:t xml:space="preserve">Is there existing historical invoice data (Word files) worth OCR-importing at launch, or starting fresh acceptable?</w:t>
      </w:r>
    </w:p>
    <w:p>
      <w:pPr>
        <w:pStyle w:val="ListParagraph"/>
        <w:numPr>
          <w:ilvl w:val="0"/>
          <w:numId w:val="2"/>
        </w:numPr>
        <w:spacing w:after="60" w:line="280"/>
      </w:pPr>
      <w:r>
        <w:rPr>
          <w:b w:val="false"/>
          <w:bCs w:val="false"/>
          <w:sz w:val="21"/>
          <w:szCs w:val="21"/>
        </w:rPr>
        <w:t xml:space="preserve">Who hosts/owns the GSP account and bears its per-invoice cost — the client or built into your SaaS pricing?</w:t>
      </w:r>
    </w:p>
    <w:p>
      <w:pPr>
        <w:spacing w:after="100"/>
      </w:pPr>
    </w:p>
    <w:p>
      <w:pPr>
        <w:pBdr>
          <w:bottom w:val="single" w:color="CCCCCC" w:sz="6" w:space="4"/>
        </w:pBdr>
        <w:spacing w:after="240" w:before="120"/>
      </w:pPr>
    </w:p>
    <w:p>
      <w:pPr>
        <w:spacing w:after="0"/>
      </w:pPr>
      <w:r>
        <w:rPr>
          <w:i/>
          <w:iCs/>
          <w:color w:val="888888"/>
          <w:sz w:val="18"/>
          <w:szCs w:val="18"/>
        </w:rPr>
        <w:t xml:space="preserve">Prepared as a planning document ahead of build — no code has been written yet.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Invoice Management SaaS — Scope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2026-08-27T17:30:43.113Z</dcterms:created>
  <dcterms:modified xsi:type="dcterms:W3CDTF">2026-08-27T17:30:43.124Z</dcterms:modified>
</cp:coreProperties>
</file>

<file path=docProps/custom.xml><?xml version="1.0" encoding="utf-8"?>
<Properties xmlns="http://schemas.openxmlformats.org/officeDocument/2006/custom-properties" xmlns:vt="http://schemas.openxmlformats.org/officeDocument/2006/docPropsVTypes"/>
</file>